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287020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247015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March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229870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Ltd.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218440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399"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331"/>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3"/>
        </w:trPr>
        <w:tc>
          <w:tcPr>
            <w:tcW w:w="9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533"/>
        </w:trPr>
        <w:tc>
          <w:tcPr>
            <w:tcW w:w="9920" w:type="dxa"/>
            <w:vAlign w:val="bottom"/>
            <w:tcBorders>
              <w:bottom w:val="single" w:sz="8" w:color="BFBFBF"/>
            </w:tcBorders>
          </w:tcPr>
          <w:p>
            <w:pPr>
              <w:spacing w:after="0"/>
              <w:rPr>
                <w:sz w:val="24"/>
                <w:szCs w:val="24"/>
                <w:color w:val="auto"/>
              </w:rPr>
            </w:pPr>
          </w:p>
        </w:tc>
        <w:tc>
          <w:tcPr>
            <w:tcW w:w="132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1125"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Entry into Merger Agreement and Rollover Agreement</w:t>
      </w:r>
    </w:p>
    <w:p>
      <w:pPr>
        <w:spacing w:after="0" w:line="233" w:lineRule="exact"/>
        <w:rPr>
          <w:sz w:val="20"/>
          <w:szCs w:val="20"/>
          <w:color w:val="auto"/>
        </w:rPr>
      </w:pPr>
    </w:p>
    <w:p>
      <w:pPr>
        <w:ind w:right="80" w:firstLine="648"/>
        <w:spacing w:after="0" w:line="276" w:lineRule="auto"/>
        <w:rPr>
          <w:sz w:val="20"/>
          <w:szCs w:val="20"/>
          <w:color w:val="auto"/>
        </w:rPr>
      </w:pPr>
      <w:r>
        <w:rPr>
          <w:rFonts w:ascii="Arial" w:cs="Arial" w:eastAsia="Arial" w:hAnsi="Arial"/>
          <w:sz w:val="19"/>
          <w:szCs w:val="19"/>
          <w:color w:val="auto"/>
        </w:rPr>
        <w:t>On February 21, 2021, GasLog Ltd. (the “</w:t>
      </w:r>
      <w:r>
        <w:rPr>
          <w:rFonts w:ascii="Arial" w:cs="Arial" w:eastAsia="Arial" w:hAnsi="Arial"/>
          <w:sz w:val="19"/>
          <w:szCs w:val="19"/>
          <w:b w:val="1"/>
          <w:bCs w:val="1"/>
          <w:color w:val="auto"/>
        </w:rPr>
        <w:t>Company</w:t>
      </w:r>
      <w:r>
        <w:rPr>
          <w:rFonts w:ascii="Arial" w:cs="Arial" w:eastAsia="Arial" w:hAnsi="Arial"/>
          <w:sz w:val="19"/>
          <w:szCs w:val="19"/>
          <w:color w:val="auto"/>
        </w:rPr>
        <w:t>”) entered into (i) the agreement and plan of merger by and among the Company, GEPIF III Crown Bidco L.P., a Cayman Islands exempted limited partnership (“</w:t>
      </w:r>
      <w:r>
        <w:rPr>
          <w:rFonts w:ascii="Arial" w:cs="Arial" w:eastAsia="Arial" w:hAnsi="Arial"/>
          <w:sz w:val="19"/>
          <w:szCs w:val="19"/>
          <w:b w:val="1"/>
          <w:bCs w:val="1"/>
          <w:color w:val="auto"/>
        </w:rPr>
        <w:t>Parent</w:t>
      </w:r>
      <w:r>
        <w:rPr>
          <w:rFonts w:ascii="Arial" w:cs="Arial" w:eastAsia="Arial" w:hAnsi="Arial"/>
          <w:sz w:val="19"/>
          <w:szCs w:val="19"/>
          <w:color w:val="auto"/>
        </w:rPr>
        <w:t>”), and GEPIF III Crown MergerCo Limited, a Bermuda exempted company and a wholly owned subsidiary of Parent (“</w:t>
      </w:r>
      <w:r>
        <w:rPr>
          <w:rFonts w:ascii="Arial" w:cs="Arial" w:eastAsia="Arial" w:hAnsi="Arial"/>
          <w:sz w:val="19"/>
          <w:szCs w:val="19"/>
          <w:b w:val="1"/>
          <w:bCs w:val="1"/>
          <w:color w:val="auto"/>
        </w:rPr>
        <w:t>Merger Sub</w:t>
      </w:r>
      <w:r>
        <w:rPr>
          <w:rFonts w:ascii="Arial" w:cs="Arial" w:eastAsia="Arial" w:hAnsi="Arial"/>
          <w:sz w:val="19"/>
          <w:szCs w:val="19"/>
          <w:color w:val="auto"/>
        </w:rPr>
        <w:t>”, together with Parent, “</w:t>
      </w:r>
      <w:r>
        <w:rPr>
          <w:rFonts w:ascii="Arial" w:cs="Arial" w:eastAsia="Arial" w:hAnsi="Arial"/>
          <w:sz w:val="19"/>
          <w:szCs w:val="19"/>
          <w:b w:val="1"/>
          <w:bCs w:val="1"/>
          <w:color w:val="auto"/>
        </w:rPr>
        <w:t>GEPIF</w:t>
      </w:r>
      <w:r>
        <w:rPr>
          <w:rFonts w:ascii="Arial" w:cs="Arial" w:eastAsia="Arial" w:hAnsi="Arial"/>
          <w:sz w:val="19"/>
          <w:szCs w:val="19"/>
          <w:color w:val="auto"/>
        </w:rPr>
        <w:t>”), dated as of February 21, 2021 (the “</w:t>
      </w:r>
      <w:r>
        <w:rPr>
          <w:rFonts w:ascii="Arial" w:cs="Arial" w:eastAsia="Arial" w:hAnsi="Arial"/>
          <w:sz w:val="19"/>
          <w:szCs w:val="19"/>
          <w:b w:val="1"/>
          <w:bCs w:val="1"/>
          <w:color w:val="auto"/>
        </w:rPr>
        <w:t>Merger Agreement</w:t>
      </w:r>
      <w:r>
        <w:rPr>
          <w:rFonts w:ascii="Arial" w:cs="Arial" w:eastAsia="Arial" w:hAnsi="Arial"/>
          <w:sz w:val="19"/>
          <w:szCs w:val="19"/>
          <w:color w:val="auto"/>
        </w:rPr>
        <w:t>”) and (ii) the rollover agreement, by and among Parent, the Company, Blenheim Holdings Ltd., Olympic LNG Investments Ltd., Blenheim Special Investments Holding Ltd. (“</w:t>
      </w:r>
      <w:r>
        <w:rPr>
          <w:rFonts w:ascii="Arial" w:cs="Arial" w:eastAsia="Arial" w:hAnsi="Arial"/>
          <w:sz w:val="19"/>
          <w:szCs w:val="19"/>
          <w:b w:val="1"/>
          <w:bCs w:val="1"/>
          <w:color w:val="auto"/>
        </w:rPr>
        <w:t>BSIH</w:t>
      </w:r>
      <w:r>
        <w:rPr>
          <w:rFonts w:ascii="Arial" w:cs="Arial" w:eastAsia="Arial" w:hAnsi="Arial"/>
          <w:sz w:val="19"/>
          <w:szCs w:val="19"/>
          <w:color w:val="auto"/>
        </w:rPr>
        <w:t>”), Falconera Navigation Inc., Chiara Holdings Inc., Maple Tree Holdings Ltd., Ash Tree SA, Acer Tree SA, Thatcher Investments Limited, Eleanor Investments Holdings, Nelson Equity Limited and JP Jones Holdings Limited (such persons, other than Parent and the Company, the “</w:t>
      </w:r>
      <w:r>
        <w:rPr>
          <w:rFonts w:ascii="Arial" w:cs="Arial" w:eastAsia="Arial" w:hAnsi="Arial"/>
          <w:sz w:val="19"/>
          <w:szCs w:val="19"/>
          <w:b w:val="1"/>
          <w:bCs w:val="1"/>
          <w:color w:val="auto"/>
        </w:rPr>
        <w:t>Rolling Shareholders</w:t>
      </w:r>
      <w:r>
        <w:rPr>
          <w:rFonts w:ascii="Arial" w:cs="Arial" w:eastAsia="Arial" w:hAnsi="Arial"/>
          <w:sz w:val="19"/>
          <w:szCs w:val="19"/>
          <w:color w:val="auto"/>
        </w:rPr>
        <w:t>”), dated as of February 21, 2021 (the “</w:t>
      </w:r>
      <w:r>
        <w:rPr>
          <w:rFonts w:ascii="Arial" w:cs="Arial" w:eastAsia="Arial" w:hAnsi="Arial"/>
          <w:sz w:val="19"/>
          <w:szCs w:val="19"/>
          <w:b w:val="1"/>
          <w:bCs w:val="1"/>
          <w:color w:val="auto"/>
        </w:rPr>
        <w:t>Rollover Agreement</w:t>
      </w:r>
      <w:r>
        <w:rPr>
          <w:rFonts w:ascii="Arial" w:cs="Arial" w:eastAsia="Arial" w:hAnsi="Arial"/>
          <w:sz w:val="19"/>
          <w:szCs w:val="19"/>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Merger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and subject to the terms and conditions of, the Merger Agreement, Merger Sub will be merged with and into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Company (the “</w:t>
      </w:r>
      <w:r>
        <w:rPr>
          <w:rFonts w:ascii="Arial" w:cs="Arial" w:eastAsia="Arial" w:hAnsi="Arial"/>
          <w:sz w:val="19"/>
          <w:szCs w:val="19"/>
          <w:b w:val="1"/>
          <w:bCs w:val="1"/>
          <w:color w:val="auto"/>
        </w:rPr>
        <w:t>Merger</w:t>
      </w:r>
      <w:r>
        <w:rPr>
          <w:rFonts w:ascii="Arial" w:cs="Arial" w:eastAsia="Arial" w:hAnsi="Arial"/>
          <w:sz w:val="19"/>
          <w:szCs w:val="19"/>
          <w:color w:val="auto"/>
        </w:rPr>
        <w:t>”), the separate corporate existence of Merger Sub will cease and the Company will be the surviving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in the Merger (the “</w:t>
      </w:r>
      <w:r>
        <w:rPr>
          <w:rFonts w:ascii="Arial" w:cs="Arial" w:eastAsia="Arial" w:hAnsi="Arial"/>
          <w:sz w:val="19"/>
          <w:szCs w:val="19"/>
          <w:b w:val="1"/>
          <w:bCs w:val="1"/>
          <w:color w:val="auto"/>
        </w:rPr>
        <w:t>Surviving Company</w:t>
      </w:r>
      <w:r>
        <w:rPr>
          <w:rFonts w:ascii="Arial" w:cs="Arial" w:eastAsia="Arial" w:hAnsi="Arial"/>
          <w:sz w:val="19"/>
          <w:szCs w:val="19"/>
          <w:color w:val="auto"/>
        </w:rPr>
        <w:t>”). Under the terms of the Merger Agreement, each common share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issued and outstanding immediately prior to the effective time of the Merger (the “</w:t>
      </w:r>
      <w:r>
        <w:rPr>
          <w:rFonts w:ascii="Arial" w:cs="Arial" w:eastAsia="Arial" w:hAnsi="Arial"/>
          <w:sz w:val="19"/>
          <w:szCs w:val="19"/>
          <w:b w:val="1"/>
          <w:bCs w:val="1"/>
          <w:color w:val="auto"/>
        </w:rPr>
        <w:t>Effective Time</w:t>
      </w:r>
      <w:r>
        <w:rPr>
          <w:rFonts w:ascii="Arial" w:cs="Arial" w:eastAsia="Arial" w:hAnsi="Arial"/>
          <w:sz w:val="19"/>
          <w:szCs w:val="19"/>
          <w:color w:val="auto"/>
        </w:rPr>
        <w:t>”) will, by virtue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Merger, be canceled and converted into the right to receive $5.80 per Share, without interest, except for any shares that, as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immediately prior to the Effective Time of the Merger, are held by (i) the Rolling Shareholders, (ii) any of Bruce Blythe, Jean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Haramis, Monhegetti Transport Inc., Dimitris Kolias and Stray Shipping Investments (the </w:t>
      </w:r>
      <w:r>
        <w:rPr>
          <w:rFonts w:ascii="Arial" w:cs="Arial" w:eastAsia="Arial" w:hAnsi="Arial"/>
          <w:sz w:val="19"/>
          <w:szCs w:val="19"/>
          <w:b w:val="1"/>
          <w:bCs w:val="1"/>
          <w:color w:val="auto"/>
        </w:rPr>
        <w:t>“Additional Rolling Shareholders</w:t>
      </w:r>
      <w:r>
        <w:rPr>
          <w:rFonts w:ascii="Arial" w:cs="Arial" w:eastAsia="Arial" w:hAnsi="Arial"/>
          <w:sz w:val="19"/>
          <w:szCs w:val="19"/>
          <w:color w:val="auto"/>
        </w:rPr>
        <w:t>”),</w:t>
      </w:r>
    </w:p>
    <w:p>
      <w:pPr>
        <w:spacing w:after="0" w:line="25" w:lineRule="exact"/>
        <w:rPr>
          <w:sz w:val="20"/>
          <w:szCs w:val="20"/>
          <w:color w:val="auto"/>
        </w:rPr>
      </w:pPr>
    </w:p>
    <w:p>
      <w:pPr>
        <w:ind w:right="60" w:firstLine="8"/>
        <w:spacing w:after="0" w:line="256" w:lineRule="auto"/>
        <w:tabs>
          <w:tab w:leader="none" w:pos="378" w:val="left"/>
        </w:tabs>
        <w:numPr>
          <w:ilvl w:val="0"/>
          <w:numId w:val="1"/>
        </w:numPr>
        <w:rPr>
          <w:rFonts w:ascii="Arial" w:cs="Arial" w:eastAsia="Arial" w:hAnsi="Arial"/>
          <w:sz w:val="21"/>
          <w:szCs w:val="21"/>
          <w:color w:val="auto"/>
        </w:rPr>
      </w:pPr>
      <w:r>
        <w:rPr>
          <w:rFonts w:ascii="Arial" w:cs="Arial" w:eastAsia="Arial" w:hAnsi="Arial"/>
          <w:sz w:val="21"/>
          <w:szCs w:val="21"/>
          <w:color w:val="auto"/>
        </w:rPr>
        <w:t>any direct or indirect wholly owned subsidiary of the Company, (iv) the Company as treasury shares or (v) holders of Shares who have properly exercised their appraisal rights with respect to such Shares (the “</w:t>
      </w:r>
      <w:r>
        <w:rPr>
          <w:rFonts w:ascii="Arial" w:cs="Arial" w:eastAsia="Arial" w:hAnsi="Arial"/>
          <w:sz w:val="21"/>
          <w:szCs w:val="21"/>
          <w:b w:val="1"/>
          <w:bCs w:val="1"/>
          <w:color w:val="auto"/>
        </w:rPr>
        <w:t>Transaction</w:t>
      </w:r>
      <w:r>
        <w:rPr>
          <w:rFonts w:ascii="Arial" w:cs="Arial" w:eastAsia="Arial" w:hAnsi="Arial"/>
          <w:sz w:val="21"/>
          <w:szCs w:val="21"/>
          <w:color w:val="auto"/>
        </w:rPr>
        <w:t>”).</w:t>
      </w:r>
    </w:p>
    <w:p>
      <w:pPr>
        <w:spacing w:after="0" w:line="196"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Prior to the consummation of the Transaction, each Rolling Shareholder (other than Blenheim Holdings Ltd. and Olympic LNG Investments Ltd.) and each Additional Rolling Shareholder intend to contribute its Shares to BSIH such that immediately prior to the consummation of the Transaction, BSIH will directly hold 10,660,198 Shares. Blenheim Holdings Ltd. and Olympic LNG Investments Ltd. will continue to directly hold 30,800,000 Shares and 11,164,904 Shares,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Promptly after consummation of the Transaction, the Shares will be delisted from the New York Stock Exchange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NYSE</w:t>
      </w:r>
      <w:r>
        <w:rPr>
          <w:rFonts w:ascii="Arial" w:cs="Arial" w:eastAsia="Arial" w:hAnsi="Arial"/>
          <w:sz w:val="19"/>
          <w:szCs w:val="19"/>
          <w:color w:val="auto"/>
        </w:rPr>
        <w:t>”). The Company’s preference shares (“</w:t>
      </w:r>
      <w:r>
        <w:rPr>
          <w:rFonts w:ascii="Arial" w:cs="Arial" w:eastAsia="Arial" w:hAnsi="Arial"/>
          <w:sz w:val="19"/>
          <w:szCs w:val="19"/>
          <w:b w:val="1"/>
          <w:bCs w:val="1"/>
          <w:color w:val="auto"/>
        </w:rPr>
        <w:t>Preference Shares</w:t>
      </w:r>
      <w:r>
        <w:rPr>
          <w:rFonts w:ascii="Arial" w:cs="Arial" w:eastAsia="Arial" w:hAnsi="Arial"/>
          <w:sz w:val="19"/>
          <w:szCs w:val="19"/>
          <w:color w:val="auto"/>
        </w:rPr>
        <w:t>”) will remain outstanding and continue to trade on the NYSE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immediately following the completion of the Transaction.</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221F1F"/>
        </w:rPr>
        <w:t>The Merger Agreement contains a number of conditions that must be fulfilled to consummate the Transaction. These conditions include, but are not limited to, the following conditions: (a) the affirmative vote by (i) the holders of a majority of the voting power of the Shares and Preference Shares entitled to vote thereon, voting together as a single class (and with each Preference Share carrying a single vote) and (ii) the holders of a majority of the Shares held by the holders of the issued and outstanding Shares, other than GEPIF, the Rolling Shareholders, the Additional Rolling Shareholders and their respective affiliates, that are present at the special meeting of shareholders that will be held in connection with the Transaction, (b) obtaining certain specified third-party consents, (c) the absence of any judgment enacted, issued, entered, amended or enforced by any governmental authority of competent jurisdiction restraining or otherwise making illegal, preventing or prohibiting the consummation of the Transaction and (d) the employment, retention or engagement by the Company of Peter G. Livanos in substantially the same capacity as prior to the date of the Merger Agreement.</w:t>
      </w:r>
    </w:p>
    <w:p>
      <w:pPr>
        <w:spacing w:after="0" w:line="188"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The Transaction is expected to close in the second quarter of 2021, subject to the approval of the Transaction by the Company’s shareholders and the satisfaction or waiver of closing conditions, each as described in the immediately preceding paragraph.</w:t>
      </w:r>
    </w:p>
    <w:p>
      <w:pPr>
        <w:spacing w:after="0" w:line="213" w:lineRule="exact"/>
        <w:rPr>
          <w:sz w:val="20"/>
          <w:szCs w:val="20"/>
          <w:color w:val="auto"/>
        </w:rPr>
      </w:pPr>
    </w:p>
    <w:p>
      <w:pPr>
        <w:ind w:right="560" w:firstLine="648"/>
        <w:spacing w:after="0" w:line="328" w:lineRule="auto"/>
        <w:rPr>
          <w:sz w:val="20"/>
          <w:szCs w:val="20"/>
          <w:color w:val="auto"/>
        </w:rPr>
      </w:pPr>
      <w:r>
        <w:rPr>
          <w:rFonts w:ascii="Arial" w:cs="Arial" w:eastAsia="Arial" w:hAnsi="Arial"/>
          <w:sz w:val="19"/>
          <w:szCs w:val="19"/>
          <w:color w:val="auto"/>
        </w:rPr>
        <w:t>The foregoing description of the Merger Agreement is not intended to be complete and is qualified in its entirety by reference to the Merger Agreement, a copy of which is attached as Exhibit 2.1 and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Rollover Agreement</w:t>
      </w:r>
    </w:p>
    <w:p>
      <w:pPr>
        <w:spacing w:after="0" w:line="233"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Concurrently with the execution of the Merger Agreement, the Parent, the Company and the Rolling Shareholders entered into the Rollover Agreement. Pursuant to the Rollover Agreement, (a) each Rolling Shareholder has agreed to vote or cause to be voted any Shares and Preference Shares beneficially owned by such Rolling Shareholder in favor of adopting the Merger Agreement, the Transaction and any other actions contemplated thereby for which approval of the Company’s shareholders is requested and (b) each Rolling Shareholder has agreed that their Shares and Preference Shares will remain outstanding as shares and preference shares, respectively, of the Surviving Company following consummation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 w:name="page3"/>
    <w:bookmarkEnd w:id="2"/>
    <w:p>
      <w:pPr>
        <w:ind w:firstLine="648"/>
        <w:spacing w:after="0" w:line="273" w:lineRule="auto"/>
        <w:rPr>
          <w:sz w:val="20"/>
          <w:szCs w:val="20"/>
          <w:color w:val="auto"/>
        </w:rPr>
      </w:pPr>
      <w:r>
        <w:rPr>
          <w:rFonts w:ascii="Arial" w:cs="Arial" w:eastAsia="Arial" w:hAnsi="Arial"/>
          <w:sz w:val="19"/>
          <w:szCs w:val="19"/>
          <w:color w:val="auto"/>
        </w:rPr>
        <w:t>In addition, at the consummation of the Transaction, the Company, GEPIF, Blenheim Holdings Ltd., BSIH and Olympic LNG Investments Ltd. agreed to enter into a shareholders’ agreement with respect to the governance of the Company following the consummation of the Transaction, a form of which is attached as Exhibit B to the Rollover Agreement (the “</w:t>
      </w:r>
      <w:r>
        <w:rPr>
          <w:rFonts w:ascii="Arial" w:cs="Arial" w:eastAsia="Arial" w:hAnsi="Arial"/>
          <w:sz w:val="19"/>
          <w:szCs w:val="19"/>
          <w:b w:val="1"/>
          <w:bCs w:val="1"/>
          <w:color w:val="auto"/>
        </w:rPr>
        <w:t>Shareholders’</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Pursuant to the Shareholders’ Agreement and following the consummation of the Transaction,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 the Company will be reduced to five persons, and the Rolling Shareholders that are party to the Shareholders’ Agreement will appoint a majority of the Company’s board of directors in accordance with the terms of the Shareholders’ Agreement. In addition, Peter G. Livanos, following consummation of the Transaction, will hold a proxy to vote the Shares of the Rolling Shareholders under the terms of the Shareholders’ Agreement and, as a result of holding such proxy, will control more than a majority of the voting stock of the Surviving Company and will control the right to appoint a majority of the board of the Surviving Company. Following consummation of the Transaction, the Issuer’s bye-laws will be amended and restated to be in the form attached as Exhibit B to the Merger Agreement.</w:t>
      </w:r>
    </w:p>
    <w:p>
      <w:pPr>
        <w:spacing w:after="0" w:line="200" w:lineRule="exact"/>
        <w:rPr>
          <w:sz w:val="20"/>
          <w:szCs w:val="20"/>
          <w:color w:val="auto"/>
        </w:rPr>
      </w:pPr>
    </w:p>
    <w:p>
      <w:pPr>
        <w:spacing w:after="0" w:line="231" w:lineRule="exact"/>
        <w:rPr>
          <w:sz w:val="20"/>
          <w:szCs w:val="20"/>
          <w:color w:val="auto"/>
        </w:rPr>
      </w:pPr>
    </w:p>
    <w:p>
      <w:pPr>
        <w:ind w:right="440" w:firstLine="648"/>
        <w:spacing w:after="0" w:line="328" w:lineRule="auto"/>
        <w:rPr>
          <w:sz w:val="20"/>
          <w:szCs w:val="20"/>
          <w:color w:val="auto"/>
        </w:rPr>
      </w:pPr>
      <w:r>
        <w:rPr>
          <w:rFonts w:ascii="Arial" w:cs="Arial" w:eastAsia="Arial" w:hAnsi="Arial"/>
          <w:sz w:val="19"/>
          <w:szCs w:val="19"/>
          <w:color w:val="auto"/>
        </w:rPr>
        <w:t>The foregoing description of the Rollover Agreement is not intended to be complete and is qualified in its entirety by reference to the Rollover Agreement, a copy of which is attached as Exhibit 2.2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1906270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8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960" w:type="dxa"/>
            <w:vAlign w:val="bottom"/>
            <w:gridSpan w:val="3"/>
          </w:tcPr>
          <w:p>
            <w:pPr>
              <w:ind w:left="2660"/>
              <w:spacing w:after="0"/>
              <w:rPr>
                <w:sz w:val="20"/>
                <w:szCs w:val="20"/>
                <w:color w:val="auto"/>
              </w:rPr>
            </w:pPr>
            <w:r>
              <w:rPr>
                <w:rFonts w:ascii="Arial" w:cs="Arial" w:eastAsia="Arial" w:hAnsi="Arial"/>
                <w:sz w:val="22"/>
                <w:szCs w:val="22"/>
                <w:color w:val="auto"/>
              </w:rPr>
              <w:t>EXHIBIT LIST</w:t>
            </w:r>
          </w:p>
        </w:tc>
      </w:tr>
      <w:tr>
        <w:trPr>
          <w:trHeight w:val="435"/>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3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880" w:type="dxa"/>
            <w:vAlign w:val="bottom"/>
          </w:tcPr>
          <w:p>
            <w:pPr>
              <w:spacing w:after="0" w:line="190"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2.1</w:t>
              </w:r>
            </w:hyperlink>
          </w:p>
        </w:tc>
        <w:tc>
          <w:tcPr>
            <w:tcW w:w="10360" w:type="dxa"/>
            <w:vAlign w:val="bottom"/>
            <w:gridSpan w:val="5"/>
          </w:tcPr>
          <w:p>
            <w:pPr>
              <w:spacing w:after="0" w:line="190"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Agreement and Plan of Merger by and among GasLog Ltd., GEPIF III Crown Bidco L.P. and GEPIF III Crown MergerCo Limited, dated as of</w:t>
              </w:r>
            </w:hyperlink>
          </w:p>
        </w:tc>
      </w:tr>
      <w:tr>
        <w:trPr>
          <w:trHeight w:val="196"/>
        </w:trPr>
        <w:tc>
          <w:tcPr>
            <w:tcW w:w="880" w:type="dxa"/>
            <w:vAlign w:val="bottom"/>
          </w:tcPr>
          <w:p>
            <w:pPr>
              <w:spacing w:after="0"/>
              <w:rPr>
                <w:sz w:val="17"/>
                <w:szCs w:val="17"/>
                <w:color w:val="auto"/>
              </w:rPr>
            </w:pPr>
          </w:p>
        </w:tc>
        <w:tc>
          <w:tcPr>
            <w:tcW w:w="10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February 21, 2021.</w:t>
              </w:r>
            </w:hyperlink>
          </w:p>
        </w:tc>
        <w:tc>
          <w:tcPr>
            <w:tcW w:w="1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412"/>
        </w:trPr>
        <w:tc>
          <w:tcPr>
            <w:tcW w:w="88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2.2</w:t>
              </w:r>
            </w:hyperlink>
          </w:p>
        </w:tc>
        <w:tc>
          <w:tcPr>
            <w:tcW w:w="100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35">
              <w:r>
                <w:rPr>
                  <w:rFonts w:ascii="Arial" w:cs="Arial" w:eastAsia="Arial" w:hAnsi="Arial"/>
                  <w:sz w:val="18"/>
                  <w:szCs w:val="18"/>
                  <w:color w:val="0000EE"/>
                  <w:w w:val="91"/>
                </w:rPr>
                <w:t>Rollover Agreement by and among GasLog Ltd., GEPIF III Crown Bidco L.P. and the Rolling Shareholders (as defined herein), dated as of</w:t>
              </w:r>
            </w:hyperlink>
          </w:p>
        </w:tc>
        <w:tc>
          <w:tcPr>
            <w:tcW w:w="32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360" w:type="dxa"/>
            <w:vAlign w:val="bottom"/>
            <w:gridSpan w:val="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February 21, 2021 .</w:t>
              </w:r>
            </w:hyperlink>
          </w:p>
        </w:tc>
      </w:tr>
      <w:tr>
        <w:trPr>
          <w:trHeight w:val="3092"/>
        </w:trPr>
        <w:tc>
          <w:tcPr>
            <w:tcW w:w="880" w:type="dxa"/>
            <w:vAlign w:val="bottom"/>
            <w:tcBorders>
              <w:bottom w:val="single" w:sz="8" w:color="BFBFBF"/>
            </w:tcBorders>
          </w:tcPr>
          <w:p>
            <w:pPr>
              <w:spacing w:after="0"/>
              <w:rPr>
                <w:sz w:val="24"/>
                <w:szCs w:val="24"/>
                <w:color w:val="auto"/>
              </w:rPr>
            </w:pPr>
          </w:p>
        </w:tc>
        <w:tc>
          <w:tcPr>
            <w:tcW w:w="1360" w:type="dxa"/>
            <w:vAlign w:val="bottom"/>
            <w:tcBorders>
              <w:top w:val="single" w:sz="8" w:color="0000EE"/>
              <w:bottom w:val="single" w:sz="8" w:color="BFBFBF"/>
            </w:tcBorders>
          </w:tcPr>
          <w:p>
            <w:pPr>
              <w:spacing w:after="0"/>
              <w:rPr>
                <w:sz w:val="24"/>
                <w:szCs w:val="24"/>
                <w:color w:val="auto"/>
              </w:rPr>
            </w:pPr>
          </w:p>
        </w:tc>
        <w:tc>
          <w:tcPr>
            <w:tcW w:w="40" w:type="dxa"/>
            <w:vAlign w:val="bottom"/>
            <w:tcBorders>
              <w:top w:val="single" w:sz="8" w:color="0000EE"/>
              <w:bottom w:val="single" w:sz="8" w:color="BFBFBF"/>
            </w:tcBorders>
          </w:tcPr>
          <w:p>
            <w:pPr>
              <w:spacing w:after="0"/>
              <w:rPr>
                <w:sz w:val="24"/>
                <w:szCs w:val="24"/>
                <w:color w:val="auto"/>
              </w:rPr>
            </w:pPr>
          </w:p>
        </w:tc>
        <w:tc>
          <w:tcPr>
            <w:tcW w:w="86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firstLine="356"/>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3, 2021</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Name:Paul Wogan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980"/>
          </w:cols>
          <w:pgMar w:left="320" w:top="361" w:right="59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692785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812800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AGREEMENT AND PLAN OF MERGER</w:t>
      </w:r>
    </w:p>
    <w:p>
      <w:pPr>
        <w:spacing w:after="0" w:line="26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GasLog Ltd.,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GEPIF III Crown Bidco L.P.</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GEPIF III Crown MergerCo Limited</w:t>
      </w:r>
    </w:p>
    <w:p>
      <w:pPr>
        <w:spacing w:after="0" w:line="233"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Dated as of February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847090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941705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1618615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900" w:type="dxa"/>
            <w:vAlign w:val="bottom"/>
          </w:tcPr>
          <w:p>
            <w:pPr>
              <w:spacing w:after="0"/>
              <w:rPr>
                <w:sz w:val="24"/>
                <w:szCs w:val="24"/>
                <w:color w:val="auto"/>
              </w:rPr>
            </w:pPr>
          </w:p>
        </w:tc>
        <w:tc>
          <w:tcPr>
            <w:tcW w:w="8820" w:type="dxa"/>
            <w:vAlign w:val="bottom"/>
          </w:tcPr>
          <w:p>
            <w:pPr>
              <w:jc w:val="center"/>
              <w:ind w:left="529"/>
              <w:spacing w:after="0"/>
              <w:rPr>
                <w:sz w:val="20"/>
                <w:szCs w:val="20"/>
                <w:color w:val="auto"/>
              </w:rPr>
            </w:pPr>
            <w:r>
              <w:rPr>
                <w:rFonts w:ascii="Arial" w:cs="Arial" w:eastAsia="Arial" w:hAnsi="Arial"/>
                <w:sz w:val="22"/>
                <w:szCs w:val="22"/>
                <w:b w:val="1"/>
                <w:bCs w:val="1"/>
                <w:color w:val="auto"/>
                <w:w w:val="97"/>
              </w:rPr>
              <w:t>TABLE OF CONTENTS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540" w:type="dxa"/>
            <w:vAlign w:val="bottom"/>
            <w:gridSpan w:val="3"/>
          </w:tcPr>
          <w:p>
            <w:pPr>
              <w:ind w:left="118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8820" w:type="dxa"/>
            <w:vAlign w:val="bottom"/>
          </w:tcPr>
          <w:p>
            <w:pPr>
              <w:jc w:val="center"/>
              <w:ind w:left="549"/>
              <w:spacing w:after="0"/>
              <w:rPr>
                <w:sz w:val="20"/>
                <w:szCs w:val="20"/>
                <w:color w:val="auto"/>
              </w:rPr>
            </w:pPr>
            <w:r>
              <w:rPr>
                <w:rFonts w:ascii="Arial" w:cs="Arial" w:eastAsia="Arial" w:hAnsi="Arial"/>
                <w:sz w:val="18"/>
                <w:szCs w:val="18"/>
                <w:color w:val="auto"/>
                <w:w w:val="99"/>
              </w:rPr>
              <w:t>ARTICLE I</w:t>
            </w:r>
          </w:p>
        </w:tc>
        <w:tc>
          <w:tcPr>
            <w:tcW w:w="1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820" w:type="dxa"/>
            <w:vAlign w:val="bottom"/>
          </w:tcPr>
          <w:p>
            <w:pPr>
              <w:jc w:val="center"/>
              <w:ind w:left="529"/>
              <w:spacing w:after="0"/>
              <w:rPr>
                <w:sz w:val="20"/>
                <w:szCs w:val="20"/>
                <w:color w:val="auto"/>
              </w:rPr>
            </w:pPr>
            <w:r>
              <w:rPr>
                <w:rFonts w:ascii="Arial" w:cs="Arial" w:eastAsia="Arial" w:hAnsi="Arial"/>
                <w:sz w:val="18"/>
                <w:szCs w:val="18"/>
                <w:color w:val="auto"/>
                <w:w w:val="90"/>
              </w:rPr>
              <w:t>The Merger</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Merger</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Merger Effective Time</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Effects of Merger</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Memorandum of Association and Bye-Laws of the Surviving Company</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Board of Directors and Officers of Surviving Company</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Closing</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820" w:type="dxa"/>
            <w:vAlign w:val="bottom"/>
          </w:tcPr>
          <w:p>
            <w:pPr>
              <w:jc w:val="center"/>
              <w:ind w:left="529"/>
              <w:spacing w:after="0"/>
              <w:rPr>
                <w:sz w:val="20"/>
                <w:szCs w:val="20"/>
                <w:color w:val="auto"/>
              </w:rPr>
            </w:pPr>
            <w:r>
              <w:rPr>
                <w:rFonts w:ascii="Arial" w:cs="Arial" w:eastAsia="Arial" w:hAnsi="Arial"/>
                <w:sz w:val="18"/>
                <w:szCs w:val="18"/>
                <w:color w:val="auto"/>
              </w:rPr>
              <w:t>ARTICLE II</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820" w:type="dxa"/>
            <w:vAlign w:val="bottom"/>
          </w:tcPr>
          <w:p>
            <w:pPr>
              <w:jc w:val="center"/>
              <w:ind w:left="529"/>
              <w:spacing w:after="0"/>
              <w:rPr>
                <w:sz w:val="20"/>
                <w:szCs w:val="20"/>
                <w:color w:val="auto"/>
              </w:rPr>
            </w:pPr>
            <w:r>
              <w:rPr>
                <w:rFonts w:ascii="Arial" w:cs="Arial" w:eastAsia="Arial" w:hAnsi="Arial"/>
                <w:sz w:val="18"/>
                <w:szCs w:val="18"/>
                <w:color w:val="auto"/>
                <w:w w:val="90"/>
              </w:rPr>
              <w:t>Effect on the Share Capital of the Constituent Entities; Payment of Consideration</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Effect of Merger on the Share Capital of Merger Sub and the Company</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2.01.</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Exchange Fund</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Company Awards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2.03.</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Shares of Dissenting Holders</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2.04.</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Adjustments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2.05.</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820" w:type="dxa"/>
            <w:vAlign w:val="bottom"/>
          </w:tcPr>
          <w:p>
            <w:pPr>
              <w:jc w:val="center"/>
              <w:ind w:left="549"/>
              <w:spacing w:after="0"/>
              <w:rPr>
                <w:sz w:val="20"/>
                <w:szCs w:val="20"/>
                <w:color w:val="auto"/>
              </w:rPr>
            </w:pPr>
            <w:r>
              <w:rPr>
                <w:rFonts w:ascii="Arial" w:cs="Arial" w:eastAsia="Arial" w:hAnsi="Arial"/>
                <w:sz w:val="18"/>
                <w:szCs w:val="18"/>
                <w:color w:val="auto"/>
              </w:rPr>
              <w:t>ARTICLE III</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820" w:type="dxa"/>
            <w:vAlign w:val="bottom"/>
          </w:tcPr>
          <w:p>
            <w:pPr>
              <w:jc w:val="center"/>
              <w:ind w:left="529"/>
              <w:spacing w:after="0"/>
              <w:rPr>
                <w:sz w:val="20"/>
                <w:szCs w:val="20"/>
                <w:color w:val="auto"/>
              </w:rPr>
            </w:pPr>
            <w:r>
              <w:rPr>
                <w:rFonts w:ascii="Arial" w:cs="Arial" w:eastAsia="Arial" w:hAnsi="Arial"/>
                <w:sz w:val="18"/>
                <w:szCs w:val="18"/>
                <w:color w:val="auto"/>
                <w:w w:val="89"/>
              </w:rPr>
              <w:t>Representations and Warranties of the Company</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Organization; Standing</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3.01.</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Capitalization</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3.02.</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Authority; Noncontravention; Voting Requirements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3.03.</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Governmental Approvals</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3.04.</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Company SEC Documents; Undisclosed Liabilities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3.05.</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Absence of Certain Changes</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3.06.</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Legal Proceedings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3.07.</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Compliance with Laws; Permits</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3.08.</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Anti-Corruption; Sanctions; Anti-Money Laundering.</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3.09.</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Tax Matters</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3.10.</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Employee Benefits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Labor Matters</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tcPr>
          <w:p>
            <w:pPr>
              <w:ind w:left="140"/>
              <w:spacing w:after="0" w:line="201" w:lineRule="exact"/>
              <w:rPr>
                <w:sz w:val="20"/>
                <w:szCs w:val="20"/>
                <w:color w:val="auto"/>
              </w:rPr>
            </w:pPr>
            <w:r>
              <w:rPr>
                <w:rFonts w:ascii="Arial" w:cs="Arial" w:eastAsia="Arial" w:hAnsi="Arial"/>
                <w:sz w:val="18"/>
                <w:szCs w:val="18"/>
                <w:color w:val="auto"/>
              </w:rPr>
              <w:t>Environmental Matters</w:t>
            </w: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3.13.</w:t>
            </w:r>
          </w:p>
        </w:tc>
        <w:tc>
          <w:tcPr>
            <w:tcW w:w="8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8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Intellectual Property</w:t>
            </w:r>
          </w:p>
        </w:tc>
        <w:tc>
          <w:tcPr>
            <w:tcW w:w="15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3.14.</w:t>
            </w:r>
          </w:p>
        </w:tc>
        <w:tc>
          <w:tcPr>
            <w:tcW w:w="88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831"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831"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rPr>
                <w:sz w:val="20"/>
                <w:szCs w:val="20"/>
                <w:color w:val="auto"/>
              </w:rPr>
            </w:pPr>
            <w:r>
              <w:rPr>
                <w:rFonts w:ascii="Arial" w:cs="Arial" w:eastAsia="Arial" w:hAnsi="Arial"/>
                <w:sz w:val="18"/>
                <w:szCs w:val="18"/>
                <w:color w:val="auto"/>
              </w:rPr>
              <w:t>Anti-Takeover Provisions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3.15.</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Contracts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3.16.</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Insurance</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3.17.</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Opinion of Financial Advisor</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3.18.</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Brokers and Other Advisors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3.19.</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Vessels; Maritime Matters.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3.20.</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Title to Properties and Assets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The Partnership</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Joint Venture Agreements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3.23.</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Customers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3.24.</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No Other Representations or Warranties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3.25.</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160" w:type="dxa"/>
            <w:vAlign w:val="bottom"/>
          </w:tcPr>
          <w:p>
            <w:pPr>
              <w:jc w:val="center"/>
              <w:ind w:left="210"/>
              <w:spacing w:after="0"/>
              <w:rPr>
                <w:sz w:val="20"/>
                <w:szCs w:val="20"/>
                <w:color w:val="auto"/>
              </w:rPr>
            </w:pPr>
            <w:r>
              <w:rPr>
                <w:rFonts w:ascii="Arial" w:cs="Arial" w:eastAsia="Arial" w:hAnsi="Arial"/>
                <w:sz w:val="18"/>
                <w:szCs w:val="18"/>
                <w:color w:val="auto"/>
                <w:w w:val="99"/>
              </w:rPr>
              <w:t>ARTICLE IV</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9160" w:type="dxa"/>
            <w:vAlign w:val="bottom"/>
          </w:tcPr>
          <w:p>
            <w:pPr>
              <w:jc w:val="center"/>
              <w:ind w:left="210"/>
              <w:spacing w:after="0"/>
              <w:rPr>
                <w:sz w:val="20"/>
                <w:szCs w:val="20"/>
                <w:color w:val="auto"/>
              </w:rPr>
            </w:pPr>
            <w:r>
              <w:rPr>
                <w:rFonts w:ascii="Arial" w:cs="Arial" w:eastAsia="Arial" w:hAnsi="Arial"/>
                <w:sz w:val="18"/>
                <w:szCs w:val="18"/>
                <w:color w:val="auto"/>
                <w:w w:val="88"/>
              </w:rPr>
              <w:t>Representations and Warranties of Parent and Merger Sub</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Organization; Standing</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4.01.</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Authority; Noncontravention</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4.02.</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Governmental Approvals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4.03.</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Ownership and Operations of Merger Sub</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4.04.</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Financing</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4.05.</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Guarantee</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4.06.</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Certain Arrangements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4.07.</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Brokers and Other Advisors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4.08.</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No Other Representations or Warranties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4.09.</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Non-Reliance on Company Estimates, Projections, Forecasts, Forward-Looking Statements and Business Plans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4.10.</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Information Supplied</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4.11.</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Legal Proceedings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4.12.</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Ownership of Common Shares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4.13.</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160" w:type="dxa"/>
            <w:vAlign w:val="bottom"/>
          </w:tcPr>
          <w:p>
            <w:pPr>
              <w:jc w:val="center"/>
              <w:ind w:left="190"/>
              <w:spacing w:after="0"/>
              <w:rPr>
                <w:sz w:val="20"/>
                <w:szCs w:val="20"/>
                <w:color w:val="auto"/>
              </w:rPr>
            </w:pPr>
            <w:r>
              <w:rPr>
                <w:rFonts w:ascii="Arial" w:cs="Arial" w:eastAsia="Arial" w:hAnsi="Arial"/>
                <w:sz w:val="18"/>
                <w:szCs w:val="18"/>
                <w:color w:val="auto"/>
                <w:w w:val="98"/>
              </w:rPr>
              <w:t>ARTICLE V</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9160" w:type="dxa"/>
            <w:vAlign w:val="bottom"/>
          </w:tcPr>
          <w:p>
            <w:pPr>
              <w:jc w:val="center"/>
              <w:ind w:left="190"/>
              <w:spacing w:after="0"/>
              <w:rPr>
                <w:sz w:val="20"/>
                <w:szCs w:val="20"/>
                <w:color w:val="auto"/>
              </w:rPr>
            </w:pPr>
            <w:r>
              <w:rPr>
                <w:rFonts w:ascii="Arial" w:cs="Arial" w:eastAsia="Arial" w:hAnsi="Arial"/>
                <w:sz w:val="18"/>
                <w:szCs w:val="18"/>
                <w:color w:val="auto"/>
                <w:w w:val="91"/>
              </w:rPr>
              <w:t>Additional Covenants and Agreements</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Conduct of Business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5.01.</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 Solicitation by the Company; Change in Recommendation</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5.02.</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Preparation of Schedule 13E-3</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5.03.</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Company Shareholders Meeting</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5.04.</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Reasonable Best Efforts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5.05.</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Transfer Taxes</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5.06.</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tcPr>
          <w:p>
            <w:pPr>
              <w:ind w:left="140"/>
              <w:spacing w:after="0" w:line="201" w:lineRule="exact"/>
              <w:rPr>
                <w:sz w:val="20"/>
                <w:szCs w:val="20"/>
                <w:color w:val="auto"/>
              </w:rPr>
            </w:pPr>
            <w:r>
              <w:rPr>
                <w:rFonts w:ascii="Arial" w:cs="Arial" w:eastAsia="Arial" w:hAnsi="Arial"/>
                <w:sz w:val="18"/>
                <w:szCs w:val="18"/>
                <w:color w:val="auto"/>
              </w:rPr>
              <w:t>Public Announcements</w:t>
            </w: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5.07.</w:t>
            </w:r>
          </w:p>
        </w:tc>
        <w:tc>
          <w:tcPr>
            <w:tcW w:w="9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91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Access to Information; Confidentiality</w:t>
            </w:r>
          </w:p>
        </w:tc>
        <w:tc>
          <w:tcPr>
            <w:tcW w:w="1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5.08.</w:t>
            </w:r>
          </w:p>
        </w:tc>
        <w:tc>
          <w:tcPr>
            <w:tcW w:w="9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SECTION</w:t>
            </w:r>
          </w:p>
        </w:tc>
        <w:tc>
          <w:tcPr>
            <w:tcW w:w="6680" w:type="dxa"/>
            <w:vAlign w:val="bottom"/>
          </w:tcPr>
          <w:p>
            <w:pPr>
              <w:ind w:left="140"/>
              <w:spacing w:after="0"/>
              <w:rPr>
                <w:sz w:val="20"/>
                <w:szCs w:val="20"/>
                <w:color w:val="auto"/>
              </w:rPr>
            </w:pPr>
            <w:r>
              <w:rPr>
                <w:rFonts w:ascii="Arial" w:cs="Arial" w:eastAsia="Arial" w:hAnsi="Arial"/>
                <w:sz w:val="18"/>
                <w:szCs w:val="18"/>
                <w:color w:val="auto"/>
              </w:rPr>
              <w:t>Equity Financing</w:t>
            </w:r>
          </w:p>
        </w:tc>
        <w:tc>
          <w:tcPr>
            <w:tcW w:w="3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5.09.</w:t>
            </w:r>
          </w:p>
        </w:tc>
        <w:tc>
          <w:tcPr>
            <w:tcW w:w="66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6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Notification of Certain Matters; Litigation</w:t>
            </w:r>
          </w:p>
        </w:tc>
        <w:tc>
          <w:tcPr>
            <w:tcW w:w="3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52</w:t>
            </w:r>
          </w:p>
        </w:tc>
      </w:tr>
      <w:tr>
        <w:trPr>
          <w:trHeight w:val="230"/>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5.10.</w:t>
            </w:r>
          </w:p>
        </w:tc>
        <w:tc>
          <w:tcPr>
            <w:tcW w:w="66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6680" w:type="dxa"/>
            <w:vAlign w:val="bottom"/>
          </w:tcPr>
          <w:p>
            <w:pPr>
              <w:ind w:left="140"/>
              <w:spacing w:after="0" w:line="201" w:lineRule="exact"/>
              <w:rPr>
                <w:sz w:val="20"/>
                <w:szCs w:val="20"/>
                <w:color w:val="auto"/>
              </w:rPr>
            </w:pPr>
            <w:r>
              <w:rPr>
                <w:rFonts w:ascii="Arial" w:cs="Arial" w:eastAsia="Arial" w:hAnsi="Arial"/>
                <w:sz w:val="18"/>
                <w:szCs w:val="18"/>
                <w:color w:val="auto"/>
              </w:rPr>
              <w:t>Merger Sub Shareholder Approval</w:t>
            </w:r>
          </w:p>
        </w:tc>
        <w:tc>
          <w:tcPr>
            <w:tcW w:w="366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5.11.</w:t>
            </w:r>
          </w:p>
        </w:tc>
        <w:tc>
          <w:tcPr>
            <w:tcW w:w="668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Exchange De-listing</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5.12.</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60" w:type="dxa"/>
            <w:vAlign w:val="bottom"/>
          </w:tcPr>
          <w:p>
            <w:pPr>
              <w:jc w:val="center"/>
              <w:ind w:left="1488"/>
              <w:spacing w:after="0"/>
              <w:rPr>
                <w:sz w:val="20"/>
                <w:szCs w:val="20"/>
                <w:color w:val="auto"/>
              </w:rPr>
            </w:pPr>
            <w:r>
              <w:rPr>
                <w:rFonts w:ascii="Arial" w:cs="Arial" w:eastAsia="Arial" w:hAnsi="Arial"/>
                <w:sz w:val="18"/>
                <w:szCs w:val="18"/>
                <w:color w:val="auto"/>
                <w:w w:val="99"/>
              </w:rPr>
              <w:t>ARTICLE VI</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60" w:type="dxa"/>
            <w:vAlign w:val="bottom"/>
          </w:tcPr>
          <w:p>
            <w:pPr>
              <w:jc w:val="center"/>
              <w:ind w:left="1488"/>
              <w:spacing w:after="0"/>
              <w:rPr>
                <w:sz w:val="20"/>
                <w:szCs w:val="20"/>
                <w:color w:val="auto"/>
              </w:rPr>
            </w:pPr>
            <w:r>
              <w:rPr>
                <w:rFonts w:ascii="Arial" w:cs="Arial" w:eastAsia="Arial" w:hAnsi="Arial"/>
                <w:sz w:val="18"/>
                <w:szCs w:val="18"/>
                <w:color w:val="auto"/>
                <w:w w:val="89"/>
              </w:rPr>
              <w:t>Conditions Precedent</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Conditions to Each Party’s Obligation to Effect the Merger</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6.01.</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Conditions to Obligations of Parent and Merger Sub</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6.02.</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Conditions to Obligations of the Company</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6.03.</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Frustration of Closing Conditions</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60" w:type="dxa"/>
            <w:vAlign w:val="bottom"/>
          </w:tcPr>
          <w:p>
            <w:pPr>
              <w:jc w:val="center"/>
              <w:ind w:left="1468"/>
              <w:spacing w:after="0"/>
              <w:rPr>
                <w:sz w:val="20"/>
                <w:szCs w:val="20"/>
                <w:color w:val="auto"/>
              </w:rPr>
            </w:pPr>
            <w:r>
              <w:rPr>
                <w:rFonts w:ascii="Arial" w:cs="Arial" w:eastAsia="Arial" w:hAnsi="Arial"/>
                <w:sz w:val="18"/>
                <w:szCs w:val="18"/>
                <w:color w:val="auto"/>
              </w:rPr>
              <w:t>ARTICLE VII</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760" w:type="dxa"/>
            <w:vAlign w:val="bottom"/>
          </w:tcPr>
          <w:p>
            <w:pPr>
              <w:jc w:val="center"/>
              <w:ind w:left="1468"/>
              <w:spacing w:after="0"/>
              <w:rPr>
                <w:sz w:val="20"/>
                <w:szCs w:val="20"/>
                <w:color w:val="auto"/>
              </w:rPr>
            </w:pPr>
            <w:r>
              <w:rPr>
                <w:rFonts w:ascii="Arial" w:cs="Arial" w:eastAsia="Arial" w:hAnsi="Arial"/>
                <w:sz w:val="18"/>
                <w:szCs w:val="18"/>
                <w:color w:val="auto"/>
                <w:w w:val="92"/>
              </w:rPr>
              <w:t>Termination</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Termination</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7.01.</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Effect of Termination</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7.02.</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Termination Fees and Expense Reimbursement</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7.03.</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760" w:type="dxa"/>
            <w:vAlign w:val="bottom"/>
          </w:tcPr>
          <w:p>
            <w:pPr>
              <w:jc w:val="center"/>
              <w:ind w:left="1488"/>
              <w:spacing w:after="0"/>
              <w:rPr>
                <w:sz w:val="20"/>
                <w:szCs w:val="20"/>
                <w:color w:val="auto"/>
              </w:rPr>
            </w:pPr>
            <w:r>
              <w:rPr>
                <w:rFonts w:ascii="Arial" w:cs="Arial" w:eastAsia="Arial" w:hAnsi="Arial"/>
                <w:sz w:val="18"/>
                <w:szCs w:val="18"/>
                <w:color w:val="auto"/>
              </w:rPr>
              <w:t>ARTICLE VIII</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7760" w:type="dxa"/>
            <w:vAlign w:val="bottom"/>
          </w:tcPr>
          <w:p>
            <w:pPr>
              <w:jc w:val="center"/>
              <w:ind w:left="1468"/>
              <w:spacing w:after="0"/>
              <w:rPr>
                <w:sz w:val="20"/>
                <w:szCs w:val="20"/>
                <w:color w:val="auto"/>
              </w:rPr>
            </w:pPr>
            <w:r>
              <w:rPr>
                <w:rFonts w:ascii="Arial" w:cs="Arial" w:eastAsia="Arial" w:hAnsi="Arial"/>
                <w:sz w:val="18"/>
                <w:szCs w:val="18"/>
                <w:color w:val="auto"/>
                <w:w w:val="91"/>
              </w:rPr>
              <w:t>Miscellaneous</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No Survival of Representations, Warranties and Covenants</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8.01.</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Amendment or Supplement</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8.02.</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Extension of Time, Waiver, Etc</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8.03.</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Assignment</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8.04.</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Counterparts</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8.05.</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Entire Agreement; No Third-Party Beneficiaries</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8.06.</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Governing Law; Jurisdiction</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8.07.</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Specific Enforcement</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8.08.</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WAIVER OF JURY TRIAL</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8.09.</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Notices</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8.10.</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Severability</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8.11.</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Definitions</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8.12.</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Fees and Expenses</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8.13.</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Interpretation</w:t>
            </w:r>
          </w:p>
        </w:tc>
        <w:tc>
          <w:tcPr>
            <w:tcW w:w="2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8.14.</w:t>
            </w:r>
          </w:p>
        </w:tc>
        <w:tc>
          <w:tcPr>
            <w:tcW w:w="776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SECTION</w:t>
            </w: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No Recourse</w:t>
            </w:r>
          </w:p>
        </w:tc>
        <w:tc>
          <w:tcPr>
            <w:tcW w:w="2520" w:type="dxa"/>
            <w:vAlign w:val="bottom"/>
          </w:tcPr>
          <w:p>
            <w:pPr>
              <w:jc w:val="right"/>
              <w:spacing w:after="0" w:line="201"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8.15.</w:t>
            </w:r>
          </w:p>
        </w:tc>
        <w:tc>
          <w:tcPr>
            <w:tcW w:w="7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8"/>
        </w:trPr>
        <w:tc>
          <w:tcPr>
            <w:tcW w:w="960" w:type="dxa"/>
            <w:vAlign w:val="bottom"/>
          </w:tcPr>
          <w:p>
            <w:pPr>
              <w:spacing w:after="0"/>
              <w:rPr>
                <w:sz w:val="20"/>
                <w:szCs w:val="20"/>
                <w:color w:val="auto"/>
              </w:rPr>
            </w:pPr>
            <w:r>
              <w:rPr>
                <w:rFonts w:ascii="Arial" w:cs="Arial" w:eastAsia="Arial" w:hAnsi="Arial"/>
                <w:sz w:val="22"/>
                <w:szCs w:val="22"/>
                <w:color w:val="auto"/>
              </w:rPr>
              <w:t>Exhibit A</w:t>
            </w:r>
          </w:p>
        </w:tc>
        <w:tc>
          <w:tcPr>
            <w:tcW w:w="7760" w:type="dxa"/>
            <w:vAlign w:val="bottom"/>
          </w:tcPr>
          <w:p>
            <w:pPr>
              <w:ind w:left="360"/>
              <w:spacing w:after="0"/>
              <w:rPr>
                <w:sz w:val="20"/>
                <w:szCs w:val="20"/>
                <w:color w:val="auto"/>
              </w:rPr>
            </w:pPr>
            <w:r>
              <w:rPr>
                <w:rFonts w:ascii="Arial" w:cs="Arial" w:eastAsia="Arial" w:hAnsi="Arial"/>
                <w:sz w:val="22"/>
                <w:szCs w:val="22"/>
                <w:color w:val="auto"/>
              </w:rPr>
              <w:t>Statutory Merger Agreement</w:t>
            </w: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7760" w:type="dxa"/>
            <w:vAlign w:val="bottom"/>
          </w:tcPr>
          <w:p>
            <w:pPr>
              <w:ind w:left="420"/>
              <w:spacing w:after="0" w:line="243" w:lineRule="exact"/>
              <w:rPr>
                <w:sz w:val="20"/>
                <w:szCs w:val="20"/>
                <w:color w:val="auto"/>
              </w:rPr>
            </w:pPr>
            <w:r>
              <w:rPr>
                <w:rFonts w:ascii="Arial" w:cs="Arial" w:eastAsia="Arial" w:hAnsi="Arial"/>
                <w:sz w:val="22"/>
                <w:szCs w:val="22"/>
                <w:color w:val="auto"/>
              </w:rPr>
              <w:t>Surviving Company Bye-Laws</w:t>
            </w:r>
          </w:p>
        </w:tc>
        <w:tc>
          <w:tcPr>
            <w:tcW w:w="2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Exhibit C</w:t>
            </w:r>
          </w:p>
        </w:tc>
        <w:tc>
          <w:tcPr>
            <w:tcW w:w="7760" w:type="dxa"/>
            <w:vAlign w:val="bottom"/>
          </w:tcPr>
          <w:p>
            <w:pPr>
              <w:ind w:left="420"/>
              <w:spacing w:after="0"/>
              <w:rPr>
                <w:sz w:val="20"/>
                <w:szCs w:val="20"/>
                <w:color w:val="auto"/>
              </w:rPr>
            </w:pPr>
            <w:r>
              <w:rPr>
                <w:rFonts w:ascii="Arial" w:cs="Arial" w:eastAsia="Arial" w:hAnsi="Arial"/>
                <w:sz w:val="22"/>
                <w:szCs w:val="22"/>
                <w:color w:val="auto"/>
              </w:rPr>
              <w:t>Surviving Company Board</w:t>
            </w:r>
          </w:p>
        </w:tc>
        <w:tc>
          <w:tcPr>
            <w:tcW w:w="2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20" w:right="339" w:bottom="2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0" w:right="339" w:bottom="210" w:gutter="0" w:footer="0" w:header="0"/>
          <w:type w:val="continuous"/>
        </w:sectPr>
      </w:pPr>
    </w:p>
    <w:bookmarkStart w:id="10" w:name="page11"/>
    <w:bookmarkEnd w:id="10"/>
    <w:p>
      <w:pPr>
        <w:jc w:val="both"/>
        <w:ind w:firstLine="1296"/>
        <w:spacing w:after="0" w:line="236" w:lineRule="auto"/>
        <w:rPr>
          <w:sz w:val="20"/>
          <w:szCs w:val="20"/>
          <w:color w:val="auto"/>
        </w:rPr>
      </w:pPr>
      <w:r>
        <w:rPr>
          <w:rFonts w:ascii="Arial" w:cs="Arial" w:eastAsia="Arial" w:hAnsi="Arial"/>
          <w:sz w:val="22"/>
          <w:szCs w:val="22"/>
          <w:color w:val="auto"/>
        </w:rPr>
        <w:t>This AGREEMENT AND PLAN OF MERGER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February 21, 2021, among GasLog Ltd., a Bermuda exempted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GEPIF III Crown Bidco L.P., a Cayman Islands exempted limited partnership (“</w:t>
      </w:r>
      <w:r>
        <w:rPr>
          <w:rFonts w:ascii="Arial" w:cs="Arial" w:eastAsia="Arial" w:hAnsi="Arial"/>
          <w:sz w:val="22"/>
          <w:szCs w:val="22"/>
          <w:u w:val="single" w:color="auto"/>
          <w:color w:val="auto"/>
        </w:rPr>
        <w:t>Parent</w:t>
      </w:r>
      <w:r>
        <w:rPr>
          <w:rFonts w:ascii="Arial" w:cs="Arial" w:eastAsia="Arial" w:hAnsi="Arial"/>
          <w:sz w:val="22"/>
          <w:szCs w:val="22"/>
          <w:color w:val="auto"/>
        </w:rPr>
        <w:t>”), and GEPIF III Crown MergerCo Limited, a Bermuda exempted company and a wholly owned Subsidiary of Parent (“</w:t>
      </w:r>
      <w:r>
        <w:rPr>
          <w:rFonts w:ascii="Arial" w:cs="Arial" w:eastAsia="Arial" w:hAnsi="Arial"/>
          <w:sz w:val="22"/>
          <w:szCs w:val="22"/>
          <w:u w:val="single" w:color="auto"/>
          <w:color w:val="auto"/>
        </w:rPr>
        <w:t>Merger Sub</w:t>
      </w:r>
      <w:r>
        <w:rPr>
          <w:rFonts w:ascii="Arial" w:cs="Arial" w:eastAsia="Arial" w:hAnsi="Arial"/>
          <w:sz w:val="22"/>
          <w:szCs w:val="22"/>
          <w:color w:val="auto"/>
        </w:rPr>
        <w:t xml:space="preserve">”). Capitalized terms used but not defined elsewhere in this Agreement shall have the meanings set forth in </w:t>
      </w:r>
      <w:r>
        <w:rPr>
          <w:rFonts w:ascii="Arial" w:cs="Arial" w:eastAsia="Arial" w:hAnsi="Arial"/>
          <w:sz w:val="22"/>
          <w:szCs w:val="22"/>
          <w:u w:val="single" w:color="auto"/>
          <w:color w:val="auto"/>
        </w:rPr>
        <w:t>Section 8.12</w:t>
      </w:r>
      <w:r>
        <w:rPr>
          <w:rFonts w:ascii="Arial" w:cs="Arial" w:eastAsia="Arial" w:hAnsi="Arial"/>
          <w:sz w:val="22"/>
          <w:szCs w:val="22"/>
          <w:color w:val="auto"/>
        </w:rPr>
        <w:t>.</w:t>
      </w:r>
    </w:p>
    <w:p>
      <w:pPr>
        <w:spacing w:after="0" w:line="215"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WHEREAS the parties hereto intend that, on the terms and subject to the conditions set forth in this Agreement and the Statutory Merger Agreement and in accordance with the Bermuda Companies Act, Merger Sub will merge with and into the Company, with the Company surviving such merger (the “</w:t>
      </w:r>
      <w:r>
        <w:rPr>
          <w:rFonts w:ascii="Arial" w:cs="Arial" w:eastAsia="Arial" w:hAnsi="Arial"/>
          <w:sz w:val="22"/>
          <w:szCs w:val="22"/>
          <w:u w:val="single" w:color="auto"/>
          <w:color w:val="auto"/>
        </w:rPr>
        <w:t>Merger</w:t>
      </w:r>
      <w:r>
        <w:rPr>
          <w:rFonts w:ascii="Arial" w:cs="Arial" w:eastAsia="Arial" w:hAnsi="Arial"/>
          <w:sz w:val="22"/>
          <w:szCs w:val="22"/>
          <w:color w:val="auto"/>
        </w:rPr>
        <w:t>”);</w:t>
      </w:r>
    </w:p>
    <w:p>
      <w:pPr>
        <w:spacing w:after="0" w:line="21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u w:val="single" w:color="auto"/>
          <w:color w:val="auto"/>
        </w:rPr>
        <w:t>Company Board</w:t>
      </w:r>
      <w:r>
        <w:rPr>
          <w:rFonts w:ascii="Arial" w:cs="Arial" w:eastAsia="Arial" w:hAnsi="Arial"/>
          <w:sz w:val="22"/>
          <w:szCs w:val="22"/>
          <w:color w:val="auto"/>
        </w:rPr>
        <w:t>”) (a) established a special committee of the Company Board consisting only of independent and disinterested directors of the Company (the “</w:t>
      </w:r>
      <w:r>
        <w:rPr>
          <w:rFonts w:ascii="Arial" w:cs="Arial" w:eastAsia="Arial" w:hAnsi="Arial"/>
          <w:sz w:val="22"/>
          <w:szCs w:val="22"/>
          <w:u w:val="single" w:color="auto"/>
          <w:color w:val="auto"/>
        </w:rPr>
        <w:t>Special Committee</w:t>
      </w:r>
      <w:r>
        <w:rPr>
          <w:rFonts w:ascii="Arial" w:cs="Arial" w:eastAsia="Arial" w:hAnsi="Arial"/>
          <w:sz w:val="22"/>
          <w:szCs w:val="22"/>
          <w:color w:val="auto"/>
        </w:rPr>
        <w:t>”) to, among other things, review, evaluate and negotiate this Agreement and the Transactions and (b) resolved not to approve or implement any transaction of the type contemplated by this Agreement without the prior recommendation of the Special Committee;</w:t>
      </w:r>
    </w:p>
    <w:p>
      <w:pPr>
        <w:spacing w:after="0" w:line="21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WHEREAS the Special Committee has unanimously (a) determined that (i) the Merger Consideration constitutes fair value for each common share, par value $0.01 per share, of the Company (each, a “</w:t>
      </w:r>
      <w:r>
        <w:rPr>
          <w:rFonts w:ascii="Arial" w:cs="Arial" w:eastAsia="Arial" w:hAnsi="Arial"/>
          <w:sz w:val="19"/>
          <w:szCs w:val="19"/>
          <w:u w:val="single" w:color="auto"/>
          <w:color w:val="auto"/>
        </w:rPr>
        <w:t>Common Share</w:t>
      </w:r>
      <w:r>
        <w:rPr>
          <w:rFonts w:ascii="Arial" w:cs="Arial" w:eastAsia="Arial" w:hAnsi="Arial"/>
          <w:sz w:val="19"/>
          <w:szCs w:val="19"/>
          <w:color w:val="auto"/>
        </w:rPr>
        <w:t>”) and (ii) the conversion of each share of the Company’s 8.75% Series A Cumulative Redeemable Perpetual Preference Shares, par value $0.01 per share (the “</w:t>
      </w:r>
      <w:r>
        <w:rPr>
          <w:rFonts w:ascii="Arial" w:cs="Arial" w:eastAsia="Arial" w:hAnsi="Arial"/>
          <w:sz w:val="19"/>
          <w:szCs w:val="19"/>
          <w:u w:val="single" w:color="auto"/>
          <w:color w:val="auto"/>
        </w:rPr>
        <w:t>Preference Shares</w:t>
      </w:r>
      <w:r>
        <w:rPr>
          <w:rFonts w:ascii="Arial" w:cs="Arial" w:eastAsia="Arial" w:hAnsi="Arial"/>
          <w:sz w:val="19"/>
          <w:szCs w:val="19"/>
          <w:color w:val="auto"/>
        </w:rPr>
        <w:t xml:space="preserve">”) into a Surviving Company Preference Share constitutes fair value for each such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(c) recommended that the Company Board (i) approve this Agreement, the Statutory Merger Agreement and the Transactions, including the Merger, and (ii) subject to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recommend approval of the Merger, this Agreement and the Statutory Merger Agreement to the Public Shareholders and the holders of Preference Shares (this </w:t>
      </w:r>
      <w:r>
        <w:rPr>
          <w:rFonts w:ascii="Arial" w:cs="Arial" w:eastAsia="Arial" w:hAnsi="Arial"/>
          <w:sz w:val="19"/>
          <w:szCs w:val="19"/>
          <w:u w:val="single" w:color="auto"/>
          <w:color w:val="auto"/>
        </w:rPr>
        <w:t>clause (c)</w:t>
      </w:r>
      <w:r>
        <w:rPr>
          <w:rFonts w:ascii="Arial" w:cs="Arial" w:eastAsia="Arial" w:hAnsi="Arial"/>
          <w:sz w:val="19"/>
          <w:szCs w:val="19"/>
          <w:color w:val="auto"/>
        </w:rPr>
        <w:t>, the “</w:t>
      </w:r>
      <w:r>
        <w:rPr>
          <w:rFonts w:ascii="Arial" w:cs="Arial" w:eastAsia="Arial" w:hAnsi="Arial"/>
          <w:sz w:val="19"/>
          <w:szCs w:val="19"/>
          <w:u w:val="single" w:color="auto"/>
          <w:color w:val="auto"/>
        </w:rPr>
        <w:t>Special Committee Recommendation</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WHEREAS the Company Board, acting upon the Special Committee Recommendation, has unanimously (a) determined that (i) the Merger Consideration constitutes fair value for each Common Share and (ii) the conversion of each Preference Share into a Surviving Company Preference Share constitutes fair value for each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(c) approved this Agreement, the Statutory Merger Agreement and the Transactions, including the Merger, and (d) resolved,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5.02</w:t>
      </w:r>
      <w:r>
        <w:rPr>
          <w:rFonts w:ascii="Arial" w:cs="Arial" w:eastAsia="Arial" w:hAnsi="Arial"/>
          <w:sz w:val="19"/>
          <w:szCs w:val="19"/>
          <w:color w:val="auto"/>
        </w:rPr>
        <w:t xml:space="preserve">, to recommend approval of the Merger, this Agreement and the Statutory Merger Agreement to the Public Shareholders and the holders of Preference Shares (this </w:t>
      </w:r>
      <w:r>
        <w:rPr>
          <w:rFonts w:ascii="Arial" w:cs="Arial" w:eastAsia="Arial" w:hAnsi="Arial"/>
          <w:sz w:val="19"/>
          <w:szCs w:val="19"/>
          <w:u w:val="single" w:color="auto"/>
          <w:color w:val="auto"/>
        </w:rPr>
        <w:t>clause (d)</w:t>
      </w:r>
      <w:r>
        <w:rPr>
          <w:rFonts w:ascii="Arial" w:cs="Arial" w:eastAsia="Arial" w:hAnsi="Arial"/>
          <w:sz w:val="19"/>
          <w:szCs w:val="19"/>
          <w:color w:val="auto"/>
        </w:rPr>
        <w:t>, the “</w:t>
      </w:r>
      <w:r>
        <w:rPr>
          <w:rFonts w:ascii="Arial" w:cs="Arial" w:eastAsia="Arial" w:hAnsi="Arial"/>
          <w:sz w:val="19"/>
          <w:szCs w:val="19"/>
          <w:u w:val="single" w:color="auto"/>
          <w:color w:val="auto"/>
        </w:rPr>
        <w:t>Company Board Recommendation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11160"/>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WHEREAS the general partner of Parent (the “</w:t>
      </w:r>
      <w:r>
        <w:rPr>
          <w:rFonts w:ascii="Arial" w:cs="Arial" w:eastAsia="Arial" w:hAnsi="Arial"/>
          <w:sz w:val="19"/>
          <w:szCs w:val="19"/>
          <w:u w:val="single" w:color="auto"/>
          <w:color w:val="auto"/>
        </w:rPr>
        <w:t>Parent GP</w:t>
      </w:r>
      <w:r>
        <w:rPr>
          <w:rFonts w:ascii="Arial" w:cs="Arial" w:eastAsia="Arial" w:hAnsi="Arial"/>
          <w:sz w:val="19"/>
          <w:szCs w:val="19"/>
          <w:color w:val="auto"/>
        </w:rPr>
        <w:t>”) has, and the Board of Directors of Merger Sub (the “</w:t>
      </w:r>
      <w:r>
        <w:rPr>
          <w:rFonts w:ascii="Arial" w:cs="Arial" w:eastAsia="Arial" w:hAnsi="Arial"/>
          <w:sz w:val="19"/>
          <w:szCs w:val="19"/>
          <w:u w:val="single" w:color="auto"/>
          <w:color w:val="auto"/>
        </w:rPr>
        <w:t>Merger Sub Board</w:t>
      </w:r>
      <w:r>
        <w:rPr>
          <w:rFonts w:ascii="Arial" w:cs="Arial" w:eastAsia="Arial" w:hAnsi="Arial"/>
          <w:sz w:val="19"/>
          <w:szCs w:val="19"/>
          <w:color w:val="auto"/>
        </w:rPr>
        <w:t>”) has unanimously, (a) determined that this Agreement and the Transactions, including the Merger, on the terms and subject to the conditions set forth herein, are fair to, and in the best interest of, Parent and Merger Sub and (b) adopted resolutions that have approved and declared advisable this Agreement, the Statutory Merger Agreement and the Transactions;</w:t>
      </w:r>
    </w:p>
    <w:p>
      <w:pPr>
        <w:spacing w:after="0" w:line="170"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as promptly as practicable following the execution of this Agreement, Parent will execute and deliver, in accordance with Section 106 of the Bermuda Companies Act and in its capacity as the sole shareholder of Merger Sub, a written consent approving the Merger, this Agreement and the Statutory Merger Agreement (the “</w:t>
      </w:r>
      <w:r>
        <w:rPr>
          <w:rFonts w:ascii="Arial" w:cs="Arial" w:eastAsia="Arial" w:hAnsi="Arial"/>
          <w:sz w:val="22"/>
          <w:szCs w:val="22"/>
          <w:u w:val="single" w:color="auto"/>
          <w:color w:val="auto"/>
        </w:rPr>
        <w:t>Merger Sub Shareholder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Approval</w:t>
      </w:r>
      <w:r>
        <w:rPr>
          <w:rFonts w:ascii="Arial" w:cs="Arial" w:eastAsia="Arial" w:hAnsi="Arial"/>
          <w:sz w:val="22"/>
          <w:szCs w:val="22"/>
          <w:color w:val="auto"/>
        </w:rPr>
        <w:t>”);</w:t>
      </w:r>
    </w:p>
    <w:p>
      <w:pPr>
        <w:spacing w:after="0" w:line="21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the Company’s willingness to enter into this Agreement, Global Energy &amp; Power Infrastructure Fund III, L.P., a Cayman Islands exempted limited partnership (the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is entering into the Guarantee with respect to the obligations of Parent to pay the Parent Termination Fee and any amounts required pursuant to </w:t>
      </w:r>
      <w:r>
        <w:rPr>
          <w:rFonts w:ascii="Arial" w:cs="Arial" w:eastAsia="Arial" w:hAnsi="Arial"/>
          <w:sz w:val="19"/>
          <w:szCs w:val="19"/>
          <w:u w:val="single" w:color="auto"/>
          <w:color w:val="auto"/>
        </w:rPr>
        <w:t>Section 7.03(e)</w:t>
      </w:r>
      <w:r>
        <w:rPr>
          <w:rFonts w:ascii="Arial" w:cs="Arial" w:eastAsia="Arial" w:hAnsi="Arial"/>
          <w:sz w:val="19"/>
          <w:szCs w:val="19"/>
          <w:color w:val="auto"/>
        </w:rPr>
        <w:t>, subject to the limitations set forth therein;</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the willingness of Parent and Merger Sub to enter into this Agreement, Blenheim Holdings Ltd., Olympic LNG Investments Ltd., Blenheim Special Investments Holding Ltd., Falconera Navigation Inc., Chiara Holdings Inc., Maple Tree Holdings Ltd., Ash Tree SA, Acer Tree SA, Thatcher Investments Limited, Eleanor Investments Holdings, Nelson Equity Limited and JP Jones Holdings Limited (collectively, the “</w:t>
      </w:r>
      <w:r>
        <w:rPr>
          <w:rFonts w:ascii="Arial" w:cs="Arial" w:eastAsia="Arial" w:hAnsi="Arial"/>
          <w:sz w:val="19"/>
          <w:szCs w:val="19"/>
          <w:u w:val="single" w:color="auto"/>
          <w:color w:val="auto"/>
        </w:rPr>
        <w:t>Rolling Shareholders</w:t>
      </w:r>
      <w:r>
        <w:rPr>
          <w:rFonts w:ascii="Arial" w:cs="Arial" w:eastAsia="Arial" w:hAnsi="Arial"/>
          <w:sz w:val="19"/>
          <w:szCs w:val="19"/>
          <w:color w:val="auto"/>
        </w:rPr>
        <w:t>”) are entering into a share rollover agreement (as may be amended or modified in accordance with its terms, the “</w:t>
      </w:r>
      <w:r>
        <w:rPr>
          <w:rFonts w:ascii="Arial" w:cs="Arial" w:eastAsia="Arial" w:hAnsi="Arial"/>
          <w:sz w:val="19"/>
          <w:szCs w:val="19"/>
          <w:u w:val="single" w:color="auto"/>
          <w:color w:val="auto"/>
        </w:rPr>
        <w:t>Rollover Agreement</w:t>
      </w:r>
      <w:r>
        <w:rPr>
          <w:rFonts w:ascii="Arial" w:cs="Arial" w:eastAsia="Arial" w:hAnsi="Arial"/>
          <w:sz w:val="19"/>
          <w:szCs w:val="19"/>
          <w:color w:val="auto"/>
        </w:rPr>
        <w:t>”), pursuant to which the Rolling Shareholders will agree, subject to the terms and conditions set forth therein (a) that their Common Shares and Preference Shares will remain outstanding as Surviving Company Shares and Surviving Company Preference Shares, respectively, immediately following, and otherwise not be affected by, the Merger and (b) to vote or cause to be voted any Common Shares and Preference Shares beneficially owned by them in favor of adopting this Agreement and any other actions contemplated hereby in respect of which approval of the Company’s shareholders is requested; and</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Company, Parent and Merger Sub desire to make certain representations, warranties, covenants and agreements in connection with the Merger and also to prescribe various conditions to the Merger.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in consideration of the foregoing, the parties hereto agree as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Merger</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Merger</w:t>
      </w:r>
      <w:r>
        <w:rPr>
          <w:rFonts w:ascii="Arial" w:cs="Arial" w:eastAsia="Arial" w:hAnsi="Arial"/>
          <w:sz w:val="22"/>
          <w:szCs w:val="22"/>
          <w:color w:val="auto"/>
        </w:rPr>
        <w:t>. On the terms and subject to the conditions set forth in this Agreement and the Statutory Merger Agreement, and pursuant to and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Section 104H of the Companies Act 1981 of Bermuda (the “</w:t>
      </w:r>
      <w:r>
        <w:rPr>
          <w:rFonts w:ascii="Arial" w:cs="Arial" w:eastAsia="Arial" w:hAnsi="Arial"/>
          <w:sz w:val="21"/>
          <w:szCs w:val="21"/>
          <w:u w:val="single" w:color="auto"/>
          <w:color w:val="auto"/>
        </w:rPr>
        <w:t>Bermuda Companies Act</w:t>
      </w:r>
      <w:r>
        <w:rPr>
          <w:rFonts w:ascii="Arial" w:cs="Arial" w:eastAsia="Arial" w:hAnsi="Arial"/>
          <w:sz w:val="21"/>
          <w:szCs w:val="21"/>
          <w:color w:val="auto"/>
        </w:rPr>
        <w:t>”), at the Effective Time, Merger Sub shall be merged with and into the Company, the separate corporate existence of Merger Sub shall thereupon cease, and the Company shall be the surviving company in the Merger (such surviving company, the “</w:t>
      </w:r>
      <w:r>
        <w:rPr>
          <w:rFonts w:ascii="Arial" w:cs="Arial" w:eastAsia="Arial" w:hAnsi="Arial"/>
          <w:sz w:val="21"/>
          <w:szCs w:val="21"/>
          <w:u w:val="single" w:color="auto"/>
          <w:color w:val="auto"/>
        </w:rPr>
        <w:t>Surviving Company</w:t>
      </w:r>
      <w:r>
        <w:rPr>
          <w:rFonts w:ascii="Arial" w:cs="Arial" w:eastAsia="Arial" w:hAnsi="Arial"/>
          <w:sz w:val="21"/>
          <w:szCs w:val="21"/>
          <w:color w:val="auto"/>
        </w:rPr>
        <w:t>”).</w:t>
      </w:r>
    </w:p>
    <w:p>
      <w:pPr>
        <w:spacing w:after="0" w:line="19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Merger Effective Time</w:t>
      </w:r>
      <w:r>
        <w:rPr>
          <w:rFonts w:ascii="Arial" w:cs="Arial" w:eastAsia="Arial" w:hAnsi="Arial"/>
          <w:sz w:val="19"/>
          <w:szCs w:val="19"/>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Arial" w:cs="Arial" w:eastAsia="Arial" w:hAnsi="Arial"/>
          <w:sz w:val="19"/>
          <w:szCs w:val="19"/>
          <w:u w:val="single" w:color="auto"/>
          <w:color w:val="auto"/>
        </w:rPr>
        <w:t>Merger Application</w:t>
      </w:r>
      <w:r>
        <w:rPr>
          <w:rFonts w:ascii="Arial" w:cs="Arial" w:eastAsia="Arial" w:hAnsi="Arial"/>
          <w:sz w:val="19"/>
          <w:szCs w:val="19"/>
          <w:color w:val="auto"/>
        </w:rPr>
        <w:t>”) to be executed and delivered to the Registrar of Companies in Bermuda (the “</w:t>
      </w:r>
      <w:r>
        <w:rPr>
          <w:rFonts w:ascii="Arial" w:cs="Arial" w:eastAsia="Arial" w:hAnsi="Arial"/>
          <w:sz w:val="19"/>
          <w:szCs w:val="19"/>
          <w:u w:val="single" w:color="auto"/>
          <w:color w:val="auto"/>
        </w:rPr>
        <w:t>Registrar</w:t>
      </w:r>
      <w:r>
        <w:rPr>
          <w:rFonts w:ascii="Arial" w:cs="Arial" w:eastAsia="Arial" w:hAnsi="Arial"/>
          <w:sz w:val="19"/>
          <w:szCs w:val="19"/>
          <w:color w:val="auto"/>
        </w:rPr>
        <w:t>”) as provided under Section 108 of the Bermuda Companies Act and to be accompanied by the documents required by Section 108(2) of the Bermuda Companies Act and (c) cause to be included in the Merger Application a request that the Registrar issue the certificate of merger with respect to the Merger (the “</w:t>
      </w:r>
      <w:r>
        <w:rPr>
          <w:rFonts w:ascii="Arial" w:cs="Arial" w:eastAsia="Arial" w:hAnsi="Arial"/>
          <w:sz w:val="19"/>
          <w:szCs w:val="19"/>
          <w:u w:val="single" w:color="auto"/>
          <w:color w:val="auto"/>
        </w:rPr>
        <w:t>Certificate of Merger</w:t>
      </w:r>
      <w:r>
        <w:rPr>
          <w:rFonts w:ascii="Arial" w:cs="Arial" w:eastAsia="Arial" w:hAnsi="Arial"/>
          <w:sz w:val="19"/>
          <w:szCs w:val="19"/>
          <w:color w:val="auto"/>
        </w:rPr>
        <w:t>”) on the Closing Date at the time of day mutually agreed upon by the Company and Parent and set forth in the Merger Application. The Merger shall become effective upon the issuance of the Certificate of Merger by the Registrar at the time and date shown on the Certificate of Merger. The Company, Parent and Merger Sub agree that they will request that the Registrar provide in the Certificate of Merger that the effective time of the Merger shall be 10:00 a.m., Bermuda time (or such other time mutually agreed upon by the Company and Parent) on the Closing Date (such time, the “</w:t>
      </w:r>
      <w:r>
        <w:rPr>
          <w:rFonts w:ascii="Arial" w:cs="Arial" w:eastAsia="Arial" w:hAnsi="Arial"/>
          <w:sz w:val="19"/>
          <w:szCs w:val="19"/>
          <w:u w:val="single" w:color="auto"/>
          <w:color w:val="auto"/>
        </w:rPr>
        <w:t>Effective Time</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Effects of Merger</w:t>
      </w:r>
      <w:r>
        <w:rPr>
          <w:rFonts w:ascii="Arial" w:cs="Arial" w:eastAsia="Arial" w:hAnsi="Arial"/>
          <w:sz w:val="21"/>
          <w:szCs w:val="21"/>
          <w:color w:val="auto"/>
        </w:rPr>
        <w:t>. From and after the Effective Time, the Merger shall have the effects set forth in this Agreement, the Statutory Merger Agreement and Section 109(2) of the Bermuda Companies Act.</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Memorandum of Association and Bye-Laws of the Surviving Company</w:t>
      </w:r>
      <w:r>
        <w:rPr>
          <w:rFonts w:ascii="Arial" w:cs="Arial" w:eastAsia="Arial" w:hAnsi="Arial"/>
          <w:sz w:val="19"/>
          <w:szCs w:val="19"/>
          <w:color w:val="auto"/>
        </w:rPr>
        <w:t>. At the Effective Time, (a) the memorandum of association of the Company as in effect immediately prior to the Effective Time, as set forth in Annex A to the Statutory Merger Agreement shall be the memorandum of association of the Surviving Company and (b) the bye-laws of the Surviving Company shall be in the form of such document set forth in Annex B to the Statutory Merger Agreement and Exhibit B to this Agreement (collectively, the “</w:t>
      </w:r>
      <w:r>
        <w:rPr>
          <w:rFonts w:ascii="Arial" w:cs="Arial" w:eastAsia="Arial" w:hAnsi="Arial"/>
          <w:sz w:val="19"/>
          <w:szCs w:val="19"/>
          <w:u w:val="single" w:color="auto"/>
          <w:color w:val="auto"/>
        </w:rPr>
        <w:t>Surviving Company Organizational Documents</w:t>
      </w:r>
      <w:r>
        <w:rPr>
          <w:rFonts w:ascii="Arial" w:cs="Arial" w:eastAsia="Arial" w:hAnsi="Arial"/>
          <w:sz w:val="19"/>
          <w:szCs w:val="19"/>
          <w:color w:val="auto"/>
        </w:rPr>
        <w:t>”). Such Surviving Company Organizational Documents shall thereafter be the memorandum of association and bye-laws of the Surviving Company until changed or amended as provided therein or the Shareholder Agreement or pursuant to applicable Law.</w:t>
      </w:r>
    </w:p>
    <w:p>
      <w:pPr>
        <w:spacing w:after="0" w:line="179"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u w:val="single" w:color="auto"/>
          <w:color w:val="auto"/>
        </w:rPr>
        <w:t>Board of Directors and Officers of Surviving Company</w:t>
      </w:r>
      <w:r>
        <w:rPr>
          <w:rFonts w:ascii="Arial" w:cs="Arial" w:eastAsia="Arial" w:hAnsi="Arial"/>
          <w:sz w:val="21"/>
          <w:szCs w:val="21"/>
          <w:color w:val="auto"/>
        </w:rPr>
        <w:t xml:space="preserve">. The directors of the Company in office immediately prior to the Effective Time shall be the directors of the Surviving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directors who are not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shall as promptly as practicable following the date of this Agreement provide resignations from the board of the Surviving Company that are contingent upon the Closing occurring and that are effective as of immediately after the Effective Time. The parties hereto shall take all such actions necessary such that, immediately following the Effective Time, the persons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shall become the sole directors of the Surviving Company. Each such director shall hold his or her office until the earlier of his or her resignation or removal or until his or her successor is elected and qualified, as the case may be, in each case in accordance with the Surviving Company Organizational Documents or the Shareholder Agreement. The officers of the Company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immediately prior to the Effective Time shall be the officers of the Surviving Company until the earlier of their resignation or removal or until their respective successors are elected or appointed and qualified, as the case may be, in each case in accordance with the Surviving Company Organizational Documents or the Shareholder Agreement.</w:t>
      </w:r>
    </w:p>
    <w:p>
      <w:pPr>
        <w:spacing w:after="0" w:line="19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Closing</w:t>
      </w:r>
      <w:r>
        <w:rPr>
          <w:rFonts w:ascii="Arial" w:cs="Arial" w:eastAsia="Arial" w:hAnsi="Arial"/>
          <w:sz w:val="21"/>
          <w:szCs w:val="21"/>
          <w:color w:val="auto"/>
        </w:rPr>
        <w:t>. The closing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of the Merger shall take place either (a) remotely by telephone and electronic communication or (b) physically at the offices of Appleby (Bermuda) Limited, Canon’s Court, 22 Victoria Street, Hamilton, Bermuda, in each case at 10:00 a.m., Bermuda time, on a date to be specified by the Company and Parent, which date shall be on the third business day following the satisfaction or (to the extent permitted herein and by applicable Law) waiver by the party or parties entitled to the benefits thereof of the conditions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(other than those conditions that by their nature are to be satisfied at the Closing, but subject to the satisfaction or (to the extent permitted herein and by applicable Law) waiver of those conditions at such time), or at such other place, time and date as shall be agreed to in writing by the Company and Parent;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on the date on which the Required Shareholder Approvals have been obtained there are any conditions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that have not been satisfied or waived at least twelve business days prior to such date (other than those conditions that by their nature are to be satisfied at the Closing), the Closing shall occur on the 12th business day following the first date on which all such other conditions are satisfied or waived (other than those conditions that by their nature are to be satisfied at the Closing, but subject to the satisfaction or (to the extent permitted herein and by applicable Law) waiver of those conditions at such time), or such other place, time and date as shall be agreed to in writing by the Company and Parent;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Parent and Merger Sub shall use commercially reasonable efforts to minimize or eliminate any such delay, including by accessing any credit facilities of the Guarantor, if any, that have sufficient available capacity to borrow the Merger Consideration. The date on which the Closing occurs is referred to in this Agreement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Effect on the Share Capital of the Constituent Entities;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Payment of Consideration</w:t>
      </w:r>
    </w:p>
    <w:p>
      <w:pPr>
        <w:spacing w:after="0" w:line="215" w:lineRule="exact"/>
        <w:rPr>
          <w:sz w:val="20"/>
          <w:szCs w:val="20"/>
          <w:color w:val="auto"/>
        </w:rPr>
      </w:pPr>
    </w:p>
    <w:p>
      <w:pPr>
        <w:jc w:val="both"/>
        <w:ind w:right="240" w:firstLine="1296"/>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Effect of Merger on the Share Capital of Merger Sub and the Company</w:t>
      </w:r>
      <w:r>
        <w:rPr>
          <w:rFonts w:ascii="Arial" w:cs="Arial" w:eastAsia="Arial" w:hAnsi="Arial"/>
          <w:sz w:val="22"/>
          <w:szCs w:val="22"/>
          <w:color w:val="auto"/>
        </w:rPr>
        <w:t>. At the Effective Time, by virtue of the occurrence of the Merger, and without any action on the part of the Company, Parent, Merger Sub or any holder of any equity thereof:</w:t>
      </w:r>
    </w:p>
    <w:p>
      <w:pPr>
        <w:spacing w:after="0" w:line="213" w:lineRule="exact"/>
        <w:rPr>
          <w:sz w:val="20"/>
          <w:szCs w:val="20"/>
          <w:color w:val="auto"/>
        </w:rPr>
      </w:pPr>
    </w:p>
    <w:p>
      <w:pPr>
        <w:jc w:val="both"/>
        <w:ind w:firstLine="1304"/>
        <w:spacing w:after="0" w:line="248" w:lineRule="auto"/>
        <w:tabs>
          <w:tab w:leader="none" w:pos="1644"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Share Capital of Merger Sub</w:t>
      </w:r>
      <w:r>
        <w:rPr>
          <w:rFonts w:ascii="Arial" w:cs="Arial" w:eastAsia="Arial" w:hAnsi="Arial"/>
          <w:sz w:val="21"/>
          <w:szCs w:val="21"/>
          <w:color w:val="auto"/>
        </w:rPr>
        <w:t>. Each common share, par value $1.00 per share, of Merger Sub (each, a “</w:t>
      </w:r>
      <w:r>
        <w:rPr>
          <w:rFonts w:ascii="Arial" w:cs="Arial" w:eastAsia="Arial" w:hAnsi="Arial"/>
          <w:sz w:val="21"/>
          <w:szCs w:val="21"/>
          <w:u w:val="single" w:color="auto"/>
          <w:color w:val="auto"/>
        </w:rPr>
        <w:t>Merger</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 Share</w:t>
      </w:r>
      <w:r>
        <w:rPr>
          <w:rFonts w:ascii="Arial" w:cs="Arial" w:eastAsia="Arial" w:hAnsi="Arial"/>
          <w:sz w:val="21"/>
          <w:szCs w:val="21"/>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21"/>
          <w:szCs w:val="21"/>
          <w:u w:val="single" w:color="auto"/>
          <w:color w:val="auto"/>
        </w:rPr>
        <w:t>Surviving Company Shares</w:t>
      </w:r>
      <w:r>
        <w:rPr>
          <w:rFonts w:ascii="Arial" w:cs="Arial" w:eastAsia="Arial" w:hAnsi="Arial"/>
          <w:sz w:val="21"/>
          <w:szCs w:val="21"/>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1304"/>
        <w:spacing w:after="0" w:line="248" w:lineRule="auto"/>
        <w:tabs>
          <w:tab w:leader="none" w:pos="1656"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Cancelation of Treasury Shares; Treatment of Shares Held by Company Subsidiaries</w:t>
      </w:r>
      <w:r>
        <w:rPr>
          <w:rFonts w:ascii="Arial" w:cs="Arial" w:eastAsia="Arial" w:hAnsi="Arial"/>
          <w:sz w:val="21"/>
          <w:szCs w:val="21"/>
          <w:color w:val="auto"/>
        </w:rPr>
        <w:t>. All Common Shares that are owned by the Company as treasury shares shall automatically be canceled and shall cease to exist and be outstanding and no consideration shall be delivered in exchange therefor. Each Common Share issued and outstanding immediately prior to the Effective Time and owned by any direct or indirect wholly owned Subsidiary of the Company (each, a “</w:t>
      </w:r>
      <w:r>
        <w:rPr>
          <w:rFonts w:ascii="Arial" w:cs="Arial" w:eastAsia="Arial" w:hAnsi="Arial"/>
          <w:sz w:val="21"/>
          <w:szCs w:val="21"/>
          <w:u w:val="single" w:color="auto"/>
          <w:color w:val="auto"/>
        </w:rPr>
        <w:t>Hook Share</w:t>
      </w:r>
      <w:r>
        <w:rPr>
          <w:rFonts w:ascii="Arial" w:cs="Arial" w:eastAsia="Arial" w:hAnsi="Arial"/>
          <w:sz w:val="21"/>
          <w:szCs w:val="21"/>
          <w:color w:val="auto"/>
        </w:rPr>
        <w:t>”) shall not represent the right to receive the Merger Consideration and shall instead remain outstanding as one authorized, validly issued, fully paid and nonassessable Surviving Company Share.</w:t>
      </w:r>
    </w:p>
    <w:p>
      <w:pPr>
        <w:spacing w:after="0" w:line="203" w:lineRule="exact"/>
        <w:rPr>
          <w:rFonts w:ascii="Arial" w:cs="Arial" w:eastAsia="Arial" w:hAnsi="Arial"/>
          <w:sz w:val="21"/>
          <w:szCs w:val="21"/>
          <w:color w:val="auto"/>
        </w:rPr>
      </w:pPr>
    </w:p>
    <w:p>
      <w:pPr>
        <w:jc w:val="both"/>
        <w:ind w:firstLine="1304"/>
        <w:spacing w:after="0" w:line="245" w:lineRule="auto"/>
        <w:tabs>
          <w:tab w:leader="none" w:pos="1657"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Treatment of Rollover Shares</w:t>
      </w:r>
      <w:r>
        <w:rPr>
          <w:rFonts w:ascii="Arial" w:cs="Arial" w:eastAsia="Arial" w:hAnsi="Arial"/>
          <w:sz w:val="21"/>
          <w:szCs w:val="21"/>
          <w:color w:val="auto"/>
        </w:rPr>
        <w:t>. In accordance with the Rollover Agreement, each Common Share issued and outstanding immediately prior to the Effective Time and owned by, without duplication, (i) any Rolling Shareholder or (ii) any of Bruce Blythe, Jean Haramis, Monhegetti Transport Inc., Dimitris Kolias and Stray Shipping Investments (the “</w:t>
      </w:r>
      <w:r>
        <w:rPr>
          <w:rFonts w:ascii="Arial" w:cs="Arial" w:eastAsia="Arial" w:hAnsi="Arial"/>
          <w:sz w:val="21"/>
          <w:szCs w:val="21"/>
          <w:u w:val="single" w:color="auto"/>
          <w:color w:val="auto"/>
        </w:rPr>
        <w:t>Additional Rolling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Shareholders</w:t>
      </w:r>
      <w:r>
        <w:rPr>
          <w:rFonts w:ascii="Arial" w:cs="Arial" w:eastAsia="Arial" w:hAnsi="Arial"/>
          <w:sz w:val="21"/>
          <w:szCs w:val="21"/>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Company Shareholders Meeting) (each, a “</w:t>
      </w:r>
      <w:r>
        <w:rPr>
          <w:rFonts w:ascii="Arial" w:cs="Arial" w:eastAsia="Arial" w:hAnsi="Arial"/>
          <w:sz w:val="21"/>
          <w:szCs w:val="21"/>
          <w:u w:val="single" w:color="auto"/>
          <w:color w:val="auto"/>
        </w:rPr>
        <w:t>Rollover Share</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Rollover Shares</w:t>
      </w:r>
      <w:r>
        <w:rPr>
          <w:rFonts w:ascii="Arial" w:cs="Arial" w:eastAsia="Arial" w:hAnsi="Arial"/>
          <w:sz w:val="21"/>
          <w:szCs w:val="21"/>
          <w:color w:val="auto"/>
        </w:rPr>
        <w:t>”) shall not represent the right to receive the Merger Consideration and shall remain outstanding as one authorized, validly issued, fully paid and nonassessable Surviving Company Share.</w:t>
      </w:r>
    </w:p>
    <w:p>
      <w:pPr>
        <w:spacing w:after="0" w:line="211" w:lineRule="exact"/>
        <w:rPr>
          <w:rFonts w:ascii="Arial" w:cs="Arial" w:eastAsia="Arial" w:hAnsi="Arial"/>
          <w:sz w:val="21"/>
          <w:szCs w:val="21"/>
          <w:color w:val="auto"/>
        </w:rPr>
      </w:pPr>
    </w:p>
    <w:p>
      <w:pPr>
        <w:jc w:val="both"/>
        <w:ind w:firstLine="1304"/>
        <w:spacing w:after="0" w:line="272" w:lineRule="auto"/>
        <w:tabs>
          <w:tab w:leader="none" w:pos="1683"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Conversion of Common Shares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Sections 2.01(b)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w:t>
      </w:r>
      <w:r>
        <w:rPr>
          <w:rFonts w:ascii="Arial" w:cs="Arial" w:eastAsia="Arial" w:hAnsi="Arial"/>
          <w:sz w:val="19"/>
          <w:szCs w:val="19"/>
          <w:color w:val="auto"/>
        </w:rPr>
        <w:t>, each Common Share that is issued and outstanding immediately prior to the Effective Time, other than (x) any Rollover Share or (y) any Hook Share, shall automatically be canceled and converted into and shall thereafter represent the right to receive an amount in cash equal to $5.80, without interest (the “</w:t>
      </w:r>
      <w:r>
        <w:rPr>
          <w:rFonts w:ascii="Arial" w:cs="Arial" w:eastAsia="Arial" w:hAnsi="Arial"/>
          <w:sz w:val="19"/>
          <w:szCs w:val="19"/>
          <w:u w:val="single" w:color="auto"/>
          <w:color w:val="auto"/>
        </w:rPr>
        <w:t>Merger Consideration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2.04</w:t>
      </w:r>
      <w:r>
        <w:rPr>
          <w:rFonts w:ascii="Arial" w:cs="Arial" w:eastAsia="Arial" w:hAnsi="Arial"/>
          <w:sz w:val="19"/>
          <w:szCs w:val="19"/>
          <w:color w:val="auto"/>
        </w:rPr>
        <w:t>, as of the Effective Time, all such Common Shares shall no longer be issued and outstanding and shall automatically be canceled and shall cease to exist, and each holder of (i) a certificate that immediately prior to the Effective Time evidenced any such Common Shares (each, a “</w:t>
      </w:r>
      <w:r>
        <w:rPr>
          <w:rFonts w:ascii="Arial" w:cs="Arial" w:eastAsia="Arial" w:hAnsi="Arial"/>
          <w:sz w:val="19"/>
          <w:szCs w:val="19"/>
          <w:u w:val="single" w:color="auto"/>
          <w:color w:val="auto"/>
        </w:rPr>
        <w:t>Certificate</w:t>
      </w:r>
      <w:r>
        <w:rPr>
          <w:rFonts w:ascii="Arial" w:cs="Arial" w:eastAsia="Arial" w:hAnsi="Arial"/>
          <w:sz w:val="19"/>
          <w:szCs w:val="19"/>
          <w:color w:val="auto"/>
        </w:rPr>
        <w:t>”) or (ii) any such Common Shares that were uncertificated and represented by book-entry immediately prior to the Effective Time (each, a “</w:t>
      </w:r>
      <w:r>
        <w:rPr>
          <w:rFonts w:ascii="Arial" w:cs="Arial" w:eastAsia="Arial" w:hAnsi="Arial"/>
          <w:sz w:val="19"/>
          <w:szCs w:val="19"/>
          <w:u w:val="single" w:color="auto"/>
          <w:color w:val="auto"/>
        </w:rPr>
        <w:t>Book-Entry Share</w:t>
      </w:r>
      <w:r>
        <w:rPr>
          <w:rFonts w:ascii="Arial" w:cs="Arial" w:eastAsia="Arial" w:hAnsi="Arial"/>
          <w:sz w:val="19"/>
          <w:szCs w:val="19"/>
          <w:color w:val="auto"/>
        </w:rPr>
        <w:t xml:space="preserve">”) shall cease to have any rights with respect thereto, except the right to receive the Merger Consideration (less any applicable withholding Taxes) pertaining to the Common Shares represented by such Certificate or Book-Entry Share, as applicable, to be paid in consideration therefor, in accordance with </w:t>
      </w:r>
      <w:r>
        <w:rPr>
          <w:rFonts w:ascii="Arial" w:cs="Arial" w:eastAsia="Arial" w:hAnsi="Arial"/>
          <w:sz w:val="19"/>
          <w:szCs w:val="19"/>
          <w:u w:val="single" w:color="auto"/>
          <w:color w:val="auto"/>
        </w:rPr>
        <w:t>Section 2.02(b)</w:t>
      </w:r>
      <w:r>
        <w:rPr>
          <w:rFonts w:ascii="Arial" w:cs="Arial" w:eastAsia="Arial" w:hAnsi="Arial"/>
          <w:sz w:val="19"/>
          <w:szCs w:val="19"/>
          <w:color w:val="auto"/>
        </w:rPr>
        <w:t xml:space="preserve"> and the right to receive dividends and other distributions in accordance with this </w:t>
      </w:r>
      <w:r>
        <w:rPr>
          <w:rFonts w:ascii="Arial" w:cs="Arial" w:eastAsia="Arial" w:hAnsi="Arial"/>
          <w:sz w:val="19"/>
          <w:szCs w:val="19"/>
          <w:u w:val="single" w:color="auto"/>
          <w:color w:val="auto"/>
        </w:rPr>
        <w:t>Article II</w:t>
      </w:r>
      <w:r>
        <w:rPr>
          <w:rFonts w:ascii="Arial" w:cs="Arial" w:eastAsia="Arial" w:hAnsi="Arial"/>
          <w:sz w:val="19"/>
          <w:szCs w:val="19"/>
          <w:color w:val="auto"/>
        </w:rPr>
        <w:t>, in each case without interest. For the avoidance of doubt, the term “Certificate” shall not be deemed to include any certificate evidencing any Rollover Shares or Hook Shares and the term “Book-Entry Share” shall not be deemed to include any Rollover Shares or Hook Shares that are represented by book-entry.</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657"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Preference Shares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2.04</w:t>
      </w:r>
      <w:r>
        <w:rPr>
          <w:rFonts w:ascii="Arial" w:cs="Arial" w:eastAsia="Arial" w:hAnsi="Arial"/>
          <w:sz w:val="21"/>
          <w:szCs w:val="21"/>
          <w:color w:val="auto"/>
        </w:rPr>
        <w:t>, each Preference Share issued and outstanding immediately prior to the Effective Time shall remain issued and outstanding as a preference share of the Surviving Company (the “</w:t>
      </w:r>
      <w:r>
        <w:rPr>
          <w:rFonts w:ascii="Arial" w:cs="Arial" w:eastAsia="Arial" w:hAnsi="Arial"/>
          <w:sz w:val="21"/>
          <w:szCs w:val="21"/>
          <w:u w:val="single" w:color="auto"/>
          <w:color w:val="auto"/>
        </w:rPr>
        <w:t>Surviving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 Preference Shares</w:t>
      </w:r>
      <w:r>
        <w:rPr>
          <w:rFonts w:ascii="Arial" w:cs="Arial" w:eastAsia="Arial" w:hAnsi="Arial"/>
          <w:sz w:val="21"/>
          <w:szCs w:val="21"/>
          <w:color w:val="auto"/>
        </w:rPr>
        <w:t>”) and shall be entitled to the same dividend and other relative rights, preferences, limitations and restrictions as are now provided by the certificate of designations of such Preference Shares, which certificate of designations shall remain at and following the Effective Time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ind w:left="11160"/>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as an obligation of the Surviving Company in accordance with Section 109(2) of the Bermuda Companies Act.</w:t>
      </w:r>
    </w:p>
    <w:p>
      <w:pPr>
        <w:spacing w:after="0" w:line="233"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Exchange Fund</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0" w:lineRule="auto"/>
        <w:tabs>
          <w:tab w:leader="none" w:pos="1657"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Paying Agent</w:t>
      </w:r>
      <w:r>
        <w:rPr>
          <w:rFonts w:ascii="Arial" w:cs="Arial" w:eastAsia="Arial" w:hAnsi="Arial"/>
          <w:sz w:val="19"/>
          <w:szCs w:val="19"/>
          <w:color w:val="auto"/>
        </w:rPr>
        <w:t>. Not less than ten business days prior to the anticipated Closing Date, Parent shall designate a bank or trust company reasonably acceptable to the Company to act as agent (the “</w:t>
      </w:r>
      <w:r>
        <w:rPr>
          <w:rFonts w:ascii="Arial" w:cs="Arial" w:eastAsia="Arial" w:hAnsi="Arial"/>
          <w:sz w:val="19"/>
          <w:szCs w:val="19"/>
          <w:u w:val="single" w:color="auto"/>
          <w:color w:val="auto"/>
        </w:rPr>
        <w:t>Paying Agent</w:t>
      </w:r>
      <w:r>
        <w:rPr>
          <w:rFonts w:ascii="Arial" w:cs="Arial" w:eastAsia="Arial" w:hAnsi="Arial"/>
          <w:sz w:val="19"/>
          <w:szCs w:val="19"/>
          <w:color w:val="auto"/>
        </w:rPr>
        <w:t xml:space="preserve">”) for the payment and delivery of the aggregate Merger Consideration in accordance with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(such aggregate Merger Consideration to be calculated assuming there shall be no Dissenting Shares) and, in connection therewith, Parent and the Company shall enter into an agreement with the Paying Agent at or prior to the Closing Date in a form reasonably acceptable to Parent and the Company. At or prior to the Effective Time, Parent or Merger Sub shall deposit or cause to be deposited with the Paying Agent an amount in cash sufficient to pay the aggregate Merger Consideration (the “</w:t>
      </w:r>
      <w:r>
        <w:rPr>
          <w:rFonts w:ascii="Arial" w:cs="Arial" w:eastAsia="Arial" w:hAnsi="Arial"/>
          <w:sz w:val="19"/>
          <w:szCs w:val="19"/>
          <w:u w:val="single" w:color="auto"/>
          <w:color w:val="auto"/>
        </w:rPr>
        <w:t>Exchange Fund</w:t>
      </w:r>
      <w:r>
        <w:rPr>
          <w:rFonts w:ascii="Arial" w:cs="Arial" w:eastAsia="Arial" w:hAnsi="Arial"/>
          <w:sz w:val="19"/>
          <w:szCs w:val="19"/>
          <w:color w:val="auto"/>
        </w:rPr>
        <w:t xml:space="preserve">”). Pending its disbursement in accordance with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holder of Common Shares to receive the Merger Consideration in accordance with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Except as directed by Parent, the Exchange Fund shall not be used for any purpose other than the payment to holders of Common Shares of the Merger Consideration or payment to the Surviving Company as contemplated in this </w:t>
      </w:r>
      <w:r>
        <w:rPr>
          <w:rFonts w:ascii="Arial" w:cs="Arial" w:eastAsia="Arial" w:hAnsi="Arial"/>
          <w:sz w:val="19"/>
          <w:szCs w:val="19"/>
          <w:u w:val="single" w:color="auto"/>
          <w:color w:val="auto"/>
        </w:rPr>
        <w:t>Section 2.02</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304"/>
        <w:spacing w:after="0" w:line="271" w:lineRule="auto"/>
        <w:tabs>
          <w:tab w:leader="none" w:pos="1683"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Letter of Transmittal; Exchange of Common Shares</w:t>
      </w:r>
      <w:r>
        <w:rPr>
          <w:rFonts w:ascii="Arial" w:cs="Arial" w:eastAsia="Arial" w:hAnsi="Arial"/>
          <w:sz w:val="19"/>
          <w:szCs w:val="19"/>
          <w:color w:val="auto"/>
        </w:rPr>
        <w:t xml:space="preserve">. As soon as practicable after the Effective Time (but in no event later than three business days after the Effective Time), the Surviving Company or Parent shall cause the Paying Agent to mail to each holder of record of a Certificate a form of letter of transmittal (which (i) shall specify that delivery of a Certificate shall be effected, and risk of loss and title to such Certificate shall pass, only upon delivery of such Certificate to the Paying Agent and (ii) shall be in such form and have such other customary provisions as the Surviving Company may specify, subject to Parent’s consent (such consent not to be unreasonably withheld, conditioned or delayed)), together with instructions thereto, setting forth, inter alia, the procedures by which holders of Certificates may receive the Merger Consideration and any dividends or other distributions to which they are entitled pursuant to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Upon the completion of such applicable procedures by a holder and the surrender of such holder’s Certificates, and without any action by any holder of record of Book-Entry Shares, the Paying Agent shall deliver to such holder (other than any holder of Common Shares representing Dissenting Shares), (A) in the case of Book-Entry Shares, a notice of the effectiveness of the Merger and (B) cash in an amount (subject to </w:t>
      </w:r>
      <w:r>
        <w:rPr>
          <w:rFonts w:ascii="Arial" w:cs="Arial" w:eastAsia="Arial" w:hAnsi="Arial"/>
          <w:sz w:val="19"/>
          <w:szCs w:val="19"/>
          <w:u w:val="single" w:color="auto"/>
          <w:color w:val="auto"/>
        </w:rPr>
        <w:t>Section 2.02(g)</w:t>
      </w:r>
      <w:r>
        <w:rPr>
          <w:rFonts w:ascii="Arial" w:cs="Arial" w:eastAsia="Arial" w:hAnsi="Arial"/>
          <w:sz w:val="19"/>
          <w:szCs w:val="19"/>
          <w:color w:val="auto"/>
        </w:rPr>
        <w:t xml:space="preserve">) equal to the number of Common Shares represented by such Certificate or Book-Entry Shares immediately prior to the Effective Time multiplied by the Merger Consideration to which such holder is entitled under this </w:t>
      </w:r>
      <w:r>
        <w:rPr>
          <w:rFonts w:ascii="Arial" w:cs="Arial" w:eastAsia="Arial" w:hAnsi="Arial"/>
          <w:sz w:val="19"/>
          <w:szCs w:val="19"/>
          <w:u w:val="single" w:color="auto"/>
          <w:color w:val="auto"/>
        </w:rPr>
        <w:t>Article II</w:t>
      </w:r>
      <w:r>
        <w:rPr>
          <w:rFonts w:ascii="Arial" w:cs="Arial" w:eastAsia="Arial" w:hAnsi="Arial"/>
          <w:sz w:val="19"/>
          <w:szCs w:val="19"/>
          <w:color w:val="auto"/>
        </w:rPr>
        <w:t>, and such Certificates or Book-Entry Shares shall forthwith be canceled. If payment of the Merger Consideration is to be made to a Person other than the Person in whose name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11160"/>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Certificate surrendered is registered, it shall be a condition of payment that (x) the Certificate so surrendered shall be properly endorsed or shall otherwise be in proper form for transfer and (y) the Person requesting such payment shall have established to the reasonable satisfaction of the Surviving Company and Parent that any transfer and other Taxes required by reason of the payment of the Merger Consideration to a Person other than the registered holder either has been paid or is not applicable. Until satisfaction of the applicable procedures contemplated by 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Certificate or Book-Entry Share shall be deemed at any time after the Effective Time to represent only the right to receive the Merger Consideration and any dividends or other distributions pertaining to Common Shares formerly represented by such Certificate or Book-Entry Share as contemplated by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No interest shall be paid or shall accrue on the Merger Consideration payable with respect to Common Shares pursuant to this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35" w:lineRule="auto"/>
        <w:tabs>
          <w:tab w:leader="none" w:pos="1671"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Lost, Stolen or Destroyed Certificates</w:t>
      </w:r>
      <w:r>
        <w:rPr>
          <w:rFonts w:ascii="Arial" w:cs="Arial" w:eastAsia="Arial" w:hAnsi="Arial"/>
          <w:sz w:val="22"/>
          <w:szCs w:val="22"/>
          <w:color w:val="auto"/>
        </w:rPr>
        <w:t xml:space="preserve">. If any Certificate shall have been lost, stolen or destroyed, upon the making of an affidavit of that fact by the Person claiming such Certificate to be lost, stolen or destroyed and, if required by the Surviving Company or Parent, the posting by such Person of a bond, in such reasonable amount as the Surviving Company or Parent may direct, as indemnity against any claim that may be made against it with respect to such Certificate, the Surviving Company shall cause the Paying Agent to pay, in exchange for such lost, stolen or destroyed Certificate, the applicable Merger Consideration as contemplated by this </w:t>
      </w:r>
      <w:r>
        <w:rPr>
          <w:rFonts w:ascii="Arial" w:cs="Arial" w:eastAsia="Arial" w:hAnsi="Arial"/>
          <w:sz w:val="22"/>
          <w:szCs w:val="22"/>
          <w:u w:val="single" w:color="auto"/>
          <w:color w:val="auto"/>
        </w:rPr>
        <w:t>Article II</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1304"/>
        <w:spacing w:after="0" w:line="274" w:lineRule="auto"/>
        <w:tabs>
          <w:tab w:leader="none" w:pos="166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Termination of Exchange Fund</w:t>
      </w:r>
      <w:r>
        <w:rPr>
          <w:rFonts w:ascii="Arial" w:cs="Arial" w:eastAsia="Arial" w:hAnsi="Arial"/>
          <w:sz w:val="19"/>
          <w:szCs w:val="19"/>
          <w:color w:val="auto"/>
        </w:rPr>
        <w:t xml:space="preserve">. At any time, the Surviving Company shall be entitled to require the Paying Agent to deliver to it any portion of the Exchange Fund (including any interest received with respect thereto) that had been delivered to the Paying Agent and which has not been disbursed to former holders of Common Shares, and thereafter such former holders shall be entitled to look only to the Surviving Company for, and the Surviving Company shall remain liable for, payment of their claims of the Merger Consideration and any dividends or other distributions pertaining to their former Common Shares that such former holders have the right to receive pursuant to the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Any amounts remaining unclaimed by such holders at such time at which such amounts would otherwise escheat to or become property of any Governmental Authority shall become, to the extent permitted by applicable Law, the property of the Surviving Company or its designee, free and clear of all claims or interest of any Person previously entitled thereto.</w:t>
      </w:r>
    </w:p>
    <w:p>
      <w:pPr>
        <w:spacing w:after="0" w:line="185" w:lineRule="exact"/>
        <w:rPr>
          <w:rFonts w:ascii="Arial" w:cs="Arial" w:eastAsia="Arial" w:hAnsi="Arial"/>
          <w:sz w:val="19"/>
          <w:szCs w:val="19"/>
          <w:color w:val="auto"/>
        </w:rPr>
      </w:pPr>
    </w:p>
    <w:p>
      <w:pPr>
        <w:jc w:val="both"/>
        <w:ind w:firstLine="1304"/>
        <w:spacing w:after="0" w:line="257" w:lineRule="auto"/>
        <w:tabs>
          <w:tab w:leader="none" w:pos="1644"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No Liability</w:t>
      </w:r>
      <w:r>
        <w:rPr>
          <w:rFonts w:ascii="Arial" w:cs="Arial" w:eastAsia="Arial" w:hAnsi="Arial"/>
          <w:sz w:val="21"/>
          <w:szCs w:val="21"/>
          <w:color w:val="auto"/>
        </w:rPr>
        <w:t>. Notwithstanding any provision of this Agreement to the contrary, none of the parties hereto, the Surviving Company or the Paying Agent shall be liable to any Person for Merger Consideration delivered to a public official pursuant to any applicable state, federal or other abandoned property, escheat or similar Law.</w:t>
      </w:r>
    </w:p>
    <w:p>
      <w:pPr>
        <w:spacing w:after="0" w:line="196" w:lineRule="exact"/>
        <w:rPr>
          <w:rFonts w:ascii="Arial" w:cs="Arial" w:eastAsia="Arial" w:hAnsi="Arial"/>
          <w:sz w:val="21"/>
          <w:szCs w:val="21"/>
          <w:color w:val="auto"/>
        </w:rPr>
      </w:pPr>
    </w:p>
    <w:p>
      <w:pPr>
        <w:jc w:val="both"/>
        <w:ind w:firstLine="1304"/>
        <w:spacing w:after="0" w:line="235" w:lineRule="auto"/>
        <w:tabs>
          <w:tab w:leader="none" w:pos="163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Transfer Books; No Further Ownership Rights in Common Shares</w:t>
      </w:r>
      <w:r>
        <w:rPr>
          <w:rFonts w:ascii="Arial" w:cs="Arial" w:eastAsia="Arial" w:hAnsi="Arial"/>
          <w:sz w:val="22"/>
          <w:szCs w:val="22"/>
          <w:color w:val="auto"/>
        </w:rPr>
        <w:t xml:space="preserve">. The Merger Consideration paid in respect of each Common Share upon surrender of Certificates or Book-Entry Shares in accordance with the terms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shall be deemed to have been paid in full satisfaction of all rights pertaining to such Common Shares previously represented by such Certificates or Book-Entry Shares, subject, however, to (i) </w:t>
      </w:r>
      <w:r>
        <w:rPr>
          <w:rFonts w:ascii="Arial" w:cs="Arial" w:eastAsia="Arial" w:hAnsi="Arial"/>
          <w:sz w:val="22"/>
          <w:szCs w:val="22"/>
          <w:u w:val="single" w:color="auto"/>
          <w:color w:val="auto"/>
        </w:rPr>
        <w:t>Section 2.04</w:t>
      </w:r>
      <w:r>
        <w:rPr>
          <w:rFonts w:ascii="Arial" w:cs="Arial" w:eastAsia="Arial" w:hAnsi="Arial"/>
          <w:sz w:val="22"/>
          <w:szCs w:val="22"/>
          <w:color w:val="auto"/>
        </w:rPr>
        <w:t xml:space="preserve"> and (ii) the Surviving Company’s obligation to pay any dividends or make any other distributions with a record date prior to the Effective Time that may have been declared by the Company on Common Shares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ind w:left="11160"/>
        <w:spacing w:after="0"/>
        <w:rPr>
          <w:sz w:val="20"/>
          <w:szCs w:val="20"/>
          <w:color w:val="auto"/>
        </w:rPr>
      </w:pPr>
      <w:r>
        <w:rPr>
          <w:rFonts w:ascii="Arial" w:cs="Arial" w:eastAsia="Arial" w:hAnsi="Arial"/>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in violation of the terms of this Agreement or prior to the date of this Agreement and which remain unpaid at the Effective Time. At the Effective Time, the share transfer books of the Company shall be closed and thereafter there shall be no further registration of transfers on the share transfer books of the Surviving Company of Common Shares that were issued and outstanding immediately prior to the Effective Time (other than with respect to any Common Shares that remain outstanding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From and after the Effective Time, the holders of Common Shares formerly represented by Certificates or Book-Entry Shares immediately prior to the Effective Time shall cease to have any rights with respect to such underlying Common Shares, except as otherwise provided for herein or by applicable Law. Subject to the last sentence of </w:t>
      </w:r>
      <w:r>
        <w:rPr>
          <w:rFonts w:ascii="Arial" w:cs="Arial" w:eastAsia="Arial" w:hAnsi="Arial"/>
          <w:sz w:val="19"/>
          <w:szCs w:val="19"/>
          <w:u w:val="single" w:color="auto"/>
          <w:color w:val="auto"/>
        </w:rPr>
        <w:t>Section 2.02(d)</w:t>
      </w:r>
      <w:r>
        <w:rPr>
          <w:rFonts w:ascii="Arial" w:cs="Arial" w:eastAsia="Arial" w:hAnsi="Arial"/>
          <w:sz w:val="19"/>
          <w:szCs w:val="19"/>
          <w:color w:val="auto"/>
        </w:rPr>
        <w:t xml:space="preserve">, if, at any time after the Effective Time, Certificates or Book-Entry Shares are presented to the Surviving Company for any reason, they shall be canceled and exchanged as provided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8" w:lineRule="auto"/>
        <w:tabs>
          <w:tab w:leader="none" w:pos="1656"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Merger Sub, the Surviving Company and the Paying Agent (without duplication) shall be entitled to deduct and withhold from the consideration otherwise payable pursuant to this Agreement such amounts as are required to be deducted and withheld with respect to the making of such payment under the U.S. Internal Revenue Code of 1986 (the “</w:t>
      </w:r>
      <w:r>
        <w:rPr>
          <w:rFonts w:ascii="Arial" w:cs="Arial" w:eastAsia="Arial" w:hAnsi="Arial"/>
          <w:sz w:val="21"/>
          <w:szCs w:val="21"/>
          <w:u w:val="single" w:color="auto"/>
          <w:color w:val="auto"/>
        </w:rPr>
        <w:t>Code</w:t>
      </w:r>
      <w:r>
        <w:rPr>
          <w:rFonts w:ascii="Arial" w:cs="Arial" w:eastAsia="Arial" w:hAnsi="Arial"/>
          <w:sz w:val="21"/>
          <w:szCs w:val="21"/>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Company Awards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5" w:lineRule="auto"/>
        <w:tabs>
          <w:tab w:leader="none" w:pos="1683" w:val="left"/>
        </w:tabs>
        <w:numPr>
          <w:ilvl w:val="0"/>
          <w:numId w:val="7"/>
        </w:numPr>
        <w:rPr>
          <w:rFonts w:ascii="Arial" w:cs="Arial" w:eastAsia="Arial" w:hAnsi="Arial"/>
          <w:sz w:val="21"/>
          <w:szCs w:val="21"/>
          <w:color w:val="auto"/>
        </w:rPr>
      </w:pPr>
      <w:r>
        <w:rPr>
          <w:rFonts w:ascii="Arial" w:cs="Arial" w:eastAsia="Arial" w:hAnsi="Arial"/>
          <w:sz w:val="21"/>
          <w:szCs w:val="21"/>
          <w:color w:val="auto"/>
        </w:rPr>
        <w:t xml:space="preserve">At the Effective Time, by virtue of the occurrence of the Merger, and without any action on the part of the Company, Parent, Merger Sub or the holder thereof, each Company Option and each Company SAR, in each case, that is outstanding immediately prior to the Effective Time shall automatically be canceled and converted into and shall thereafter represent the right to receive an amount in cash, without interest, equal to the product of (i) the total number of shares of Common Shares subject to such Company Option or Company SAR multiplied by (ii) the excess, if any, of the Merger Consideration over the exercise price per share or base price per share, as applicable, of such Company Option or Company SAR;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exercise price per share or base price per share, as applicable, of such Company Option or Company SAR is equal to or greater than the Merger Consideration, then such Company Option or Company SAR shall automatically be canceled for no consideration.</w:t>
      </w:r>
    </w:p>
    <w:p>
      <w:pPr>
        <w:spacing w:after="0" w:line="211" w:lineRule="exact"/>
        <w:rPr>
          <w:rFonts w:ascii="Arial" w:cs="Arial" w:eastAsia="Arial" w:hAnsi="Arial"/>
          <w:sz w:val="21"/>
          <w:szCs w:val="21"/>
          <w:color w:val="auto"/>
        </w:rPr>
      </w:pPr>
    </w:p>
    <w:p>
      <w:pPr>
        <w:jc w:val="both"/>
        <w:ind w:firstLine="1304"/>
        <w:spacing w:after="0" w:line="287" w:lineRule="auto"/>
        <w:tabs>
          <w:tab w:leader="none" w:pos="1694" w:val="left"/>
        </w:tabs>
        <w:numPr>
          <w:ilvl w:val="0"/>
          <w:numId w:val="7"/>
        </w:numPr>
        <w:rPr>
          <w:rFonts w:ascii="Arial" w:cs="Arial" w:eastAsia="Arial" w:hAnsi="Arial"/>
          <w:sz w:val="19"/>
          <w:szCs w:val="19"/>
          <w:color w:val="auto"/>
        </w:rPr>
      </w:pPr>
      <w:r>
        <w:rPr>
          <w:rFonts w:ascii="Arial" w:cs="Arial" w:eastAsia="Arial" w:hAnsi="Arial"/>
          <w:sz w:val="19"/>
          <w:szCs w:val="19"/>
          <w:color w:val="auto"/>
        </w:rPr>
        <w:t>At the Effective Time, by virtue of the occurrence of the Merger, and without any action on the part of the Company, Parent, Merger Sub or the holder thereof, each Company RSU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RSU Award.</w:t>
      </w:r>
    </w:p>
    <w:p>
      <w:pPr>
        <w:spacing w:after="0" w:line="169" w:lineRule="exact"/>
        <w:rPr>
          <w:rFonts w:ascii="Arial" w:cs="Arial" w:eastAsia="Arial" w:hAnsi="Arial"/>
          <w:sz w:val="19"/>
          <w:szCs w:val="19"/>
          <w:color w:val="auto"/>
        </w:rPr>
      </w:pPr>
    </w:p>
    <w:p>
      <w:pPr>
        <w:jc w:val="both"/>
        <w:ind w:firstLine="1304"/>
        <w:spacing w:after="0" w:line="238" w:lineRule="auto"/>
        <w:tabs>
          <w:tab w:leader="none" w:pos="1683" w:val="left"/>
        </w:tabs>
        <w:numPr>
          <w:ilvl w:val="0"/>
          <w:numId w:val="7"/>
        </w:numPr>
        <w:rPr>
          <w:rFonts w:ascii="Arial" w:cs="Arial" w:eastAsia="Arial" w:hAnsi="Arial"/>
          <w:sz w:val="22"/>
          <w:szCs w:val="22"/>
          <w:color w:val="auto"/>
        </w:rPr>
      </w:pPr>
      <w:r>
        <w:rPr>
          <w:rFonts w:ascii="Arial" w:cs="Arial" w:eastAsia="Arial" w:hAnsi="Arial"/>
          <w:sz w:val="22"/>
          <w:szCs w:val="22"/>
          <w:color w:val="auto"/>
        </w:rPr>
        <w:t>At the Effective Time, by virtue of the occurrence of the Merger, and without any action on the part of the Company, Parent, Merger Sub or the holder thereof, each Company PSU Award that is outstanding immediately prior to the Effective Time shall automatically be canceled and converted into the right to receive an amount in cash, without interest,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ind w:left="11160"/>
        <w:spacing w:after="0"/>
        <w:rPr>
          <w:sz w:val="20"/>
          <w:szCs w:val="20"/>
          <w:color w:val="auto"/>
        </w:rPr>
      </w:pPr>
      <w:r>
        <w:rPr>
          <w:rFonts w:ascii="Arial" w:cs="Arial" w:eastAsia="Arial" w:hAnsi="Arial"/>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product of (i) the Merger Consideration and (ii) the number of Common Shares subject to such Company PSU Award determined based on the achievement of applicable performance goals at target levels.</w:t>
      </w:r>
    </w:p>
    <w:p>
      <w:pPr>
        <w:spacing w:after="0" w:line="202" w:lineRule="exact"/>
        <w:rPr>
          <w:sz w:val="20"/>
          <w:szCs w:val="20"/>
          <w:color w:val="auto"/>
        </w:rPr>
      </w:pPr>
    </w:p>
    <w:p>
      <w:pPr>
        <w:jc w:val="both"/>
        <w:ind w:firstLine="1304"/>
        <w:spacing w:after="0" w:line="257" w:lineRule="auto"/>
        <w:tabs>
          <w:tab w:leader="none" w:pos="1658" w:val="left"/>
        </w:tabs>
        <w:numPr>
          <w:ilvl w:val="0"/>
          <w:numId w:val="8"/>
        </w:numPr>
        <w:rPr>
          <w:rFonts w:ascii="Arial" w:cs="Arial" w:eastAsia="Arial" w:hAnsi="Arial"/>
          <w:sz w:val="21"/>
          <w:szCs w:val="21"/>
          <w:color w:val="auto"/>
        </w:rPr>
      </w:pPr>
      <w:r>
        <w:rPr>
          <w:rFonts w:ascii="Arial" w:cs="Arial" w:eastAsia="Arial" w:hAnsi="Arial"/>
          <w:sz w:val="21"/>
          <w:szCs w:val="21"/>
          <w:color w:val="auto"/>
        </w:rPr>
        <w:t xml:space="preserve">Promptly following the Effective Time (but in any event, no later than the end of the first regular payroll cycle commencing following the Effective Time), the Surviving Company shall pay to the holders of Company Awards, through its payroll systems, any amounts due, less applicable Tax withholdings, pursuant to this </w:t>
      </w:r>
      <w:r>
        <w:rPr>
          <w:rFonts w:ascii="Arial" w:cs="Arial" w:eastAsia="Arial" w:hAnsi="Arial"/>
          <w:sz w:val="21"/>
          <w:szCs w:val="21"/>
          <w:u w:val="single" w:color="auto"/>
          <w:color w:val="auto"/>
        </w:rPr>
        <w:t>Section 2.03</w:t>
      </w:r>
      <w:r>
        <w:rPr>
          <w:rFonts w:ascii="Arial" w:cs="Arial" w:eastAsia="Arial" w:hAnsi="Arial"/>
          <w:sz w:val="21"/>
          <w:szCs w:val="21"/>
          <w:color w:val="auto"/>
        </w:rPr>
        <w:t>.</w:t>
      </w:r>
    </w:p>
    <w:p>
      <w:pPr>
        <w:spacing w:after="0" w:line="196"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Shares of Dissenting Holders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6" w:lineRule="auto"/>
        <w:tabs>
          <w:tab w:leader="none" w:pos="1656" w:val="left"/>
        </w:tabs>
        <w:numPr>
          <w:ilvl w:val="1"/>
          <w:numId w:val="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at the Effective Time, all Dissenting Shares shall automatically be canceled (but shall not entitle their holders to receive the Merger Consideration) and, without any further action on the part of the Company, Merger Sub or the holder of such Dissenting Share, automatically be converted into the right to receive the fair value of such Dissenting Share as appraised by the Supreme Court of Bermuda under Section 106(6) of the Bermuda Companies Act (the “</w:t>
      </w:r>
      <w:r>
        <w:rPr>
          <w:rFonts w:ascii="Arial" w:cs="Arial" w:eastAsia="Arial" w:hAnsi="Arial"/>
          <w:sz w:val="21"/>
          <w:szCs w:val="21"/>
          <w:u w:val="single" w:color="auto"/>
          <w:color w:val="auto"/>
        </w:rPr>
        <w:t>Appraised Fair Value</w:t>
      </w:r>
      <w:r>
        <w:rPr>
          <w:rFonts w:ascii="Arial" w:cs="Arial" w:eastAsia="Arial" w:hAnsi="Arial"/>
          <w:sz w:val="21"/>
          <w:szCs w:val="21"/>
          <w:color w:val="auto"/>
        </w:rPr>
        <w:t xml:space="preserve">”) from, subject to </w:t>
      </w:r>
      <w:r>
        <w:rPr>
          <w:rFonts w:ascii="Arial" w:cs="Arial" w:eastAsia="Arial" w:hAnsi="Arial"/>
          <w:sz w:val="21"/>
          <w:szCs w:val="21"/>
          <w:u w:val="single" w:color="auto"/>
          <w:color w:val="auto"/>
        </w:rPr>
        <w:t>Section 2.04(e)</w:t>
      </w:r>
      <w:r>
        <w:rPr>
          <w:rFonts w:ascii="Arial" w:cs="Arial" w:eastAsia="Arial" w:hAnsi="Arial"/>
          <w:sz w:val="21"/>
          <w:szCs w:val="21"/>
          <w:color w:val="auto"/>
        </w:rPr>
        <w:t>, the Surviving Company by payment to the holder of the Dissenting Shares made within one month after such Appraised Fair Value is finally determined pursuant to such statutory appraisal procedure.</w:t>
      </w:r>
    </w:p>
    <w:p>
      <w:pPr>
        <w:spacing w:after="0" w:line="211" w:lineRule="exact"/>
        <w:rPr>
          <w:rFonts w:ascii="Arial" w:cs="Arial" w:eastAsia="Arial" w:hAnsi="Arial"/>
          <w:sz w:val="21"/>
          <w:szCs w:val="21"/>
          <w:color w:val="auto"/>
        </w:rPr>
      </w:pPr>
    </w:p>
    <w:p>
      <w:pPr>
        <w:jc w:val="both"/>
        <w:ind w:firstLine="1304"/>
        <w:spacing w:after="0" w:line="248" w:lineRule="auto"/>
        <w:tabs>
          <w:tab w:leader="none" w:pos="1688" w:val="left"/>
        </w:tabs>
        <w:numPr>
          <w:ilvl w:val="1"/>
          <w:numId w:val="9"/>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at the Effective Time, all holders of Dissenting Preference Shares shall, unless otherwise required by applicable Law, be entitled to retain such Dissenting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(the “</w:t>
      </w:r>
      <w:r>
        <w:rPr>
          <w:rFonts w:ascii="Arial" w:cs="Arial" w:eastAsia="Arial" w:hAnsi="Arial"/>
          <w:sz w:val="21"/>
          <w:szCs w:val="21"/>
          <w:u w:val="single" w:color="auto"/>
          <w:color w:val="auto"/>
        </w:rPr>
        <w:t>Additional Amount</w:t>
      </w:r>
      <w:r>
        <w:rPr>
          <w:rFonts w:ascii="Arial" w:cs="Arial" w:eastAsia="Arial" w:hAnsi="Arial"/>
          <w:sz w:val="21"/>
          <w:szCs w:val="21"/>
          <w:color w:val="auto"/>
        </w:rPr>
        <w:t>”), in addition to the Surviving Company Preference Shares from the Surviving Company.</w:t>
      </w:r>
    </w:p>
    <w:p>
      <w:pPr>
        <w:spacing w:after="0" w:line="203" w:lineRule="exact"/>
        <w:rPr>
          <w:rFonts w:ascii="Arial" w:cs="Arial" w:eastAsia="Arial" w:hAnsi="Arial"/>
          <w:sz w:val="21"/>
          <w:szCs w:val="21"/>
          <w:color w:val="auto"/>
        </w:rPr>
      </w:pPr>
    </w:p>
    <w:p>
      <w:pPr>
        <w:jc w:val="both"/>
        <w:ind w:firstLine="1304"/>
        <w:spacing w:after="0" w:line="235" w:lineRule="auto"/>
        <w:tabs>
          <w:tab w:leader="none" w:pos="1693" w:val="left"/>
        </w:tabs>
        <w:numPr>
          <w:ilvl w:val="1"/>
          <w:numId w:val="9"/>
        </w:numPr>
        <w:rPr>
          <w:rFonts w:ascii="Arial" w:cs="Arial" w:eastAsia="Arial" w:hAnsi="Arial"/>
          <w:sz w:val="22"/>
          <w:szCs w:val="22"/>
          <w:color w:val="auto"/>
        </w:rPr>
      </w:pPr>
      <w:r>
        <w:rPr>
          <w:rFonts w:ascii="Arial" w:cs="Arial" w:eastAsia="Arial" w:hAnsi="Arial"/>
          <w:sz w:val="22"/>
          <w:szCs w:val="22"/>
          <w:color w:val="auto"/>
        </w:rPr>
        <w:t>In the event that a holder of Dissenting Shares or Dissenting Preference Shares fails to perfect, effectively withdraws or otherwise waives any right to appraisal (each, an “</w:t>
      </w:r>
      <w:r>
        <w:rPr>
          <w:rFonts w:ascii="Arial" w:cs="Arial" w:eastAsia="Arial" w:hAnsi="Arial"/>
          <w:sz w:val="22"/>
          <w:szCs w:val="22"/>
          <w:u w:val="single" w:color="auto"/>
          <w:color w:val="auto"/>
        </w:rPr>
        <w:t>Appraisal Withdrawal</w:t>
      </w:r>
      <w:r>
        <w:rPr>
          <w:rFonts w:ascii="Arial" w:cs="Arial" w:eastAsia="Arial" w:hAnsi="Arial"/>
          <w:sz w:val="22"/>
          <w:szCs w:val="22"/>
          <w:color w:val="auto"/>
        </w:rPr>
        <w:t xml:space="preserve">”), then (i) in the case of Dissenting Shares, such holder shall have no other rights with respect to such Dissenting Shares, other than the right to receive the Merger Consideration as contemplated by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(ii) in the case of Dissenting Preference Shares, such holder shall have no other rights with respect to such Dissenting Preference Shares other than to receive an equivalent number of Surviving Company Preference Shares.</w:t>
      </w:r>
    </w:p>
    <w:p>
      <w:pPr>
        <w:spacing w:after="0" w:line="214" w:lineRule="exact"/>
        <w:rPr>
          <w:rFonts w:ascii="Arial" w:cs="Arial" w:eastAsia="Arial" w:hAnsi="Arial"/>
          <w:sz w:val="22"/>
          <w:szCs w:val="22"/>
          <w:color w:val="auto"/>
        </w:rPr>
      </w:pPr>
    </w:p>
    <w:p>
      <w:pPr>
        <w:jc w:val="both"/>
        <w:ind w:firstLine="1268"/>
        <w:spacing w:after="0" w:line="277" w:lineRule="auto"/>
        <w:tabs>
          <w:tab w:leader="none" w:pos="1683"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shall give Parent (i) prompt written notice of (A) any demands for appraisal of Dissenting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Shares or Dissenting Preference Shares and (ii) to the extent permitted by applicable Law, the opportunity to participate with the Company in any settlement negotiations and proceedings with respect to any demands for appraisal under the Bermuda Companies Act. The Company shall not, without the prior written consent of Parent,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Shares or Dissenting Preference Shares shall be the obligation of the Surviving Company.</w:t>
      </w:r>
    </w:p>
    <w:p>
      <w:pPr>
        <w:spacing w:after="0" w:line="212" w:lineRule="exact"/>
        <w:rPr>
          <w:sz w:val="20"/>
          <w:szCs w:val="20"/>
          <w:color w:val="auto"/>
        </w:rPr>
      </w:pPr>
    </w:p>
    <w:p>
      <w:pPr>
        <w:ind w:firstLine="1304"/>
        <w:spacing w:after="0" w:line="250" w:lineRule="auto"/>
        <w:tabs>
          <w:tab w:leader="none" w:pos="1666"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Exchange Fund shall be available to fund payments of the Appraised Fair Value up to the amount of the Merger Consideration to holders of Dissenting Shares.</w:t>
      </w:r>
    </w:p>
    <w:p>
      <w:pPr>
        <w:spacing w:after="0" w:line="20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Adjustments</w:t>
      </w:r>
      <w:r>
        <w:rPr>
          <w:rFonts w:ascii="Arial" w:cs="Arial" w:eastAsia="Arial" w:hAnsi="Arial"/>
          <w:sz w:val="22"/>
          <w:szCs w:val="22"/>
          <w:color w:val="auto"/>
        </w:rPr>
        <w:t xml:space="preserve">. Notwithstanding any provision of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to the contrary, if between the date of this Agreement and the Effective Time the issued and outstanding Common Shares shall have been changed into a different number of Common Shares or a different class by reason of the occurrence or record date of any stock dividend, subdivision, reclassification, recapitalization, split, combination, exchange of shares or similar transaction, the Merger Consideration shall be appropriately adjusted to reflect such stock dividend, subdivision, reclassification, recapitalization, split, combination, exchange of shares or similar transaction.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of the Company</w:t>
      </w:r>
    </w:p>
    <w:p>
      <w:pPr>
        <w:spacing w:after="0" w:line="233"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The Company represents and warrants to Parent and Merger Sub that, except as (A) set forth in the disclosure letter delivered by the Company to Parent and Merger Sub on the date of this Agreement (the “</w:t>
      </w:r>
      <w:r>
        <w:rPr>
          <w:rFonts w:ascii="Arial" w:cs="Arial" w:eastAsia="Arial" w:hAnsi="Arial"/>
          <w:sz w:val="19"/>
          <w:szCs w:val="19"/>
          <w:u w:val="single" w:color="auto"/>
          <w:color w:val="auto"/>
        </w:rPr>
        <w:t>Company Disclosure Letter</w:t>
      </w:r>
      <w:r>
        <w:rPr>
          <w:rFonts w:ascii="Arial" w:cs="Arial" w:eastAsia="Arial" w:hAnsi="Arial"/>
          <w:sz w:val="19"/>
          <w:szCs w:val="19"/>
          <w:color w:val="auto"/>
        </w:rPr>
        <w:t>”) (it being understood that any information, item or matter set forth on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(B) disclosed in any report, schedule, form, statement or other document (including exhibits) filed with, or furnished to, the SEC on or after January 1, 2019 and prior to the date of this Agreement by the Company and publicly available prior to the date of this Agreement (the “</w:t>
      </w:r>
      <w:r>
        <w:rPr>
          <w:rFonts w:ascii="Arial" w:cs="Arial" w:eastAsia="Arial" w:hAnsi="Arial"/>
          <w:sz w:val="19"/>
          <w:szCs w:val="19"/>
          <w:u w:val="single" w:color="auto"/>
          <w:color w:val="auto"/>
        </w:rPr>
        <w:t>Filed Company SEC Documents</w:t>
      </w:r>
      <w:r>
        <w:rPr>
          <w:rFonts w:ascii="Arial" w:cs="Arial" w:eastAsia="Arial" w:hAnsi="Arial"/>
          <w:sz w:val="19"/>
          <w:szCs w:val="19"/>
          <w:color w:val="auto"/>
        </w:rPr>
        <w:t>”) or (C) disclosed in any report, schedule, form, statement or other document (including exhibits) filed with, or furnished to, the SEC on or after January 1, 2019 and prior to the date of this Agreement by the Partnership and publicly available prior to the date of this Agreement (the “</w:t>
      </w:r>
      <w:r>
        <w:rPr>
          <w:rFonts w:ascii="Arial" w:cs="Arial" w:eastAsia="Arial" w:hAnsi="Arial"/>
          <w:sz w:val="19"/>
          <w:szCs w:val="19"/>
          <w:u w:val="single" w:color="auto"/>
          <w:color w:val="auto"/>
        </w:rPr>
        <w:t>Filed Partnership SEC Documents</w:t>
      </w:r>
      <w:r>
        <w:rPr>
          <w:rFonts w:ascii="Arial" w:cs="Arial" w:eastAsia="Arial" w:hAnsi="Arial"/>
          <w:sz w:val="19"/>
          <w:szCs w:val="19"/>
          <w:color w:val="auto"/>
        </w:rPr>
        <w:t>” and, together with the Filed Company SEC Documents, the “</w:t>
      </w:r>
      <w:r>
        <w:rPr>
          <w:rFonts w:ascii="Arial" w:cs="Arial" w:eastAsia="Arial" w:hAnsi="Arial"/>
          <w:sz w:val="19"/>
          <w:szCs w:val="19"/>
          <w:u w:val="single" w:color="auto"/>
          <w:color w:val="auto"/>
        </w:rPr>
        <w:t>Filed SEC Documents</w:t>
      </w:r>
      <w:r>
        <w:rPr>
          <w:rFonts w:ascii="Arial" w:cs="Arial" w:eastAsia="Arial" w:hAnsi="Arial"/>
          <w:sz w:val="19"/>
          <w:szCs w:val="19"/>
          <w:color w:val="auto"/>
        </w:rPr>
        <w:t xml:space="preserve">”), other than, in the case of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and</w:t>
      </w:r>
    </w:p>
    <w:p>
      <w:pPr>
        <w:spacing w:after="0" w:line="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 xml:space="preserve">, disclosure contained in any such Filed SEC Documents under the headings “Risk Factors” or “Cautionary Statements About Forward Looking Statements” or similar headings, or disclosure of any risks generally faced by participants in the industries in which the Company and the Partnership, as applicable, operates, in each case without disclosure of specific facts and circumstances (it being understood that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shall not be applicable to the representations and warranties set forth in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3.06(b)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color w:val="auto"/>
        </w:rPr>
        <w:t>11</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Organization; Standing</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3" w:lineRule="auto"/>
        <w:tabs>
          <w:tab w:leader="none" w:pos="1704"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is an exempted company duly organized, existing and in good standing under the Laws of Bermuda. The Company has all requisite power and authority necessary to carry on its business as it is now being conducted and to own, lease and operate its assets and properties, except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A true and complete copy of each of the Company Organizational Documents is included in the Filed Company SEC Documents. The Company is not in violation of the Company Organizational Documents and no Subsidiary of the Company is in violation of any of its organizational documents.</w:t>
      </w:r>
    </w:p>
    <w:p>
      <w:pPr>
        <w:spacing w:after="0" w:line="187" w:lineRule="exact"/>
        <w:rPr>
          <w:rFonts w:ascii="Arial" w:cs="Arial" w:eastAsia="Arial" w:hAnsi="Arial"/>
          <w:sz w:val="19"/>
          <w:szCs w:val="19"/>
          <w:color w:val="auto"/>
        </w:rPr>
      </w:pPr>
    </w:p>
    <w:p>
      <w:pPr>
        <w:jc w:val="both"/>
        <w:ind w:firstLine="1304"/>
        <w:spacing w:after="0" w:line="273" w:lineRule="auto"/>
        <w:tabs>
          <w:tab w:leader="none" w:pos="1681" w:val="left"/>
        </w:tabs>
        <w:numPr>
          <w:ilvl w:val="0"/>
          <w:numId w:val="12"/>
        </w:numPr>
        <w:rPr>
          <w:rFonts w:ascii="Arial" w:cs="Arial" w:eastAsia="Arial" w:hAnsi="Arial"/>
          <w:sz w:val="19"/>
          <w:szCs w:val="19"/>
          <w:color w:val="auto"/>
        </w:rPr>
      </w:pPr>
      <w:r>
        <w:rPr>
          <w:rFonts w:ascii="Arial" w:cs="Arial" w:eastAsia="Arial" w:hAnsi="Arial"/>
          <w:sz w:val="19"/>
          <w:szCs w:val="19"/>
          <w:color w:val="auto"/>
        </w:rPr>
        <w:t>Each of the Company’s Subsidiaries is duly incorporated or organized, existing and in good standing (where such concept is recognized under applicable Law) under the Laws of the jurisdiction of its incorporation or organization, except where the failure to be so incorporated or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such Subsidiary or the character or location of the properties and assets owned or leased by such Subsidiary makes such licensing or qualification necessary, except where the failure to be so licensed, qualified or in good standing would not, individually or in the aggregate, reasonably be expected to have a Material Adverse Effect. A true and complete copy of the organizational documents of each of the Company’s Subsidiaries (other than the Partnership) has been made available to Parent prior to the date hereof. A true and complete copy of each of the organizational documents of the Partnership is included in the Filed Partnership SEC Documents.</w:t>
      </w:r>
    </w:p>
    <w:p>
      <w:pPr>
        <w:spacing w:after="0" w:line="182"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3" w:lineRule="auto"/>
        <w:tabs>
          <w:tab w:leader="none" w:pos="1691"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authorized share capital of the Company consists of 500,000,000 shares with a par value of $0.01 per share. At the close of business on February 17, 2021 (the “</w:t>
      </w:r>
      <w:r>
        <w:rPr>
          <w:rFonts w:ascii="Arial" w:cs="Arial" w:eastAsia="Arial" w:hAnsi="Arial"/>
          <w:sz w:val="19"/>
          <w:szCs w:val="19"/>
          <w:u w:val="single" w:color="auto"/>
          <w:color w:val="auto"/>
        </w:rPr>
        <w:t>Capitalization Date</w:t>
      </w:r>
      <w:r>
        <w:rPr>
          <w:rFonts w:ascii="Arial" w:cs="Arial" w:eastAsia="Arial" w:hAnsi="Arial"/>
          <w:sz w:val="19"/>
          <w:szCs w:val="19"/>
          <w:color w:val="auto"/>
        </w:rPr>
        <w:t>”), (i) 95,393,126 Common Shares were issued and outstanding, (ii) 4,600,000 Preference Shares were issued and outstanding, (iii) 200,314 Common Shares were held by the Company as treasury shares or held by its Subsidiaries, (iv) 1,989,947 Common Shares were issuable in the aggregate in respect of outstanding Company Options, with a weighted average exercise price of $13.49, (v) 462,531 Common Shares were issuable in respect of outstanding Company SARs, (vi) 642,637 Common Shares were issuable in respect of outstanding Company RSU Awards and (vii) 501,444 Common Shares were issuable in respect of outstanding Company PSU Awards (assuming attainment of all applicable performance goals at target levels for payout and in settlement in Common Shares). Since the Capitalization Date through the date of this Agreement, other than in connection with the settlement or exercise, as applicable, of Company Awards that were outstanding on the Capitalization Date and included in the preceding sentence, neither the Company nor any of its Subsidiaries has issued any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9980"/>
        <w:spacing w:after="0"/>
        <w:rPr>
          <w:sz w:val="20"/>
          <w:szCs w:val="20"/>
          <w:color w:val="auto"/>
        </w:rPr>
      </w:pPr>
      <w:r>
        <w:rPr>
          <w:rFonts w:ascii="Arial" w:cs="Arial" w:eastAsia="Arial" w:hAnsi="Arial"/>
          <w:sz w:val="12"/>
          <w:szCs w:val="1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120" w:firstLine="1304"/>
        <w:spacing w:after="0" w:line="270" w:lineRule="auto"/>
        <w:tabs>
          <w:tab w:leader="none" w:pos="604"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Except as set forth in, or as contemplated by the last sentence of, </w:t>
      </w:r>
      <w:r>
        <w:rPr>
          <w:rFonts w:ascii="Arial" w:cs="Arial" w:eastAsia="Arial" w:hAnsi="Arial"/>
          <w:sz w:val="19"/>
          <w:szCs w:val="19"/>
          <w:u w:val="single" w:color="auto"/>
          <w:color w:val="auto"/>
        </w:rPr>
        <w:t>Section 3.02(a)</w:t>
      </w:r>
      <w:r>
        <w:rPr>
          <w:rFonts w:ascii="Arial" w:cs="Arial" w:eastAsia="Arial" w:hAnsi="Arial"/>
          <w:sz w:val="19"/>
          <w:szCs w:val="19"/>
          <w:color w:val="auto"/>
        </w:rPr>
        <w:t>, as of the date of this Agreement, there were (i) no outstanding shares of capital stock of, or other equity or voting interests in, the Company, (ii) no outstanding securities of the Company convertible into or exchangeable for shares of capital stock of, or other equity or voting interests in, the Company, (iii) no outstanding subscriptions, options, warrants, calls, phantom equity rights or other commitments or agreements to acquire from the Company, or that obligate the Company to issue, any capital stock of or other equity or voting interests in, or any securities convertible into or exchangeable for shares of capital stock of, or other equity or voting interests in, the Company (collectively, “</w:t>
      </w:r>
      <w:r>
        <w:rPr>
          <w:rFonts w:ascii="Arial" w:cs="Arial" w:eastAsia="Arial" w:hAnsi="Arial"/>
          <w:sz w:val="19"/>
          <w:szCs w:val="19"/>
          <w:u w:val="single" w:color="auto"/>
          <w:color w:val="auto"/>
        </w:rPr>
        <w:t>Company Rights</w:t>
      </w:r>
      <w:r>
        <w:rPr>
          <w:rFonts w:ascii="Arial" w:cs="Arial" w:eastAsia="Arial" w:hAnsi="Arial"/>
          <w:sz w:val="19"/>
          <w:szCs w:val="19"/>
          <w:color w:val="auto"/>
        </w:rPr>
        <w:t xml:space="preserve">”, and the items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being referred to collectively as “</w:t>
      </w:r>
      <w:r>
        <w:rPr>
          <w:rFonts w:ascii="Arial" w:cs="Arial" w:eastAsia="Arial" w:hAnsi="Arial"/>
          <w:sz w:val="19"/>
          <w:szCs w:val="19"/>
          <w:u w:val="single" w:color="auto"/>
          <w:color w:val="auto"/>
        </w:rPr>
        <w:t>Company Securities</w:t>
      </w:r>
      <w:r>
        <w:rPr>
          <w:rFonts w:ascii="Arial" w:cs="Arial" w:eastAsia="Arial" w:hAnsi="Arial"/>
          <w:sz w:val="19"/>
          <w:szCs w:val="19"/>
          <w:color w:val="auto"/>
        </w:rPr>
        <w:t xml:space="preserve">”) and (iv) no other obligations by the Company or any of its Subsidiaries to make any payments based on the price or value of any Company Securities or dividends paid thereon. Other than in connection with the Company Awards, there are no outstanding agreements or instruments of any kind that obligate the Company or any of its Subsidiaries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w:t>
      </w:r>
      <w:r>
        <w:rPr>
          <w:rFonts w:ascii="Arial" w:cs="Arial" w:eastAsia="Arial" w:hAnsi="Arial"/>
          <w:sz w:val="19"/>
          <w:szCs w:val="19"/>
          <w:u w:val="single" w:color="auto"/>
          <w:color w:val="auto"/>
        </w:rPr>
        <w:t>Section 3.02(b)</w:t>
      </w:r>
      <w:r>
        <w:rPr>
          <w:rFonts w:ascii="Arial" w:cs="Arial" w:eastAsia="Arial" w:hAnsi="Arial"/>
          <w:sz w:val="19"/>
          <w:szCs w:val="19"/>
          <w:color w:val="auto"/>
        </w:rPr>
        <w:t>, no direct or indirect Subsidiary of the Company owns any Common Shares. None of the Company or any Subsidiary of the Company is a party to any shareholders’ agreement, voting trust agreement, registration rights agreement or other similar agreement or understanding relating to any Company Securities or any other agreement relating to the disposition or voting with respect to any Company Securities. Except as set forth in Section 3.02(b) of the Company Disclosure Letter, no holder of Company Securities has any right to have such Company Securities registered by the Company. All issued and outstanding Common Shares and Preference Shares have been authorized and validly issued and are fully paid, nonassessable and free of preemptive rights. The Common Shares and Preference Shares are the only issued and outstanding classes of equity securities of the Company registered under the Exchange Act.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1120" w:firstLine="1304"/>
        <w:spacing w:after="0" w:line="271" w:lineRule="auto"/>
        <w:tabs>
          <w:tab w:leader="none" w:pos="553" w:val="left"/>
        </w:tabs>
        <w:numPr>
          <w:ilvl w:val="0"/>
          <w:numId w:val="14"/>
        </w:numPr>
        <w:rPr>
          <w:rFonts w:ascii="Arial" w:cs="Arial" w:eastAsia="Arial" w:hAnsi="Arial"/>
          <w:sz w:val="19"/>
          <w:szCs w:val="19"/>
          <w:color w:val="auto"/>
        </w:rPr>
      </w:pPr>
      <w:r>
        <w:rPr>
          <w:rFonts w:ascii="Arial" w:cs="Arial" w:eastAsia="Arial" w:hAnsi="Arial"/>
          <w:sz w:val="19"/>
          <w:szCs w:val="19"/>
          <w:color w:val="auto"/>
        </w:rPr>
        <w:t>Section 3.02(c) of the Company Disclosure Letter sets forth, as of the date of this Agreement, the name and jurisdiction of incorporation or organization of each Subsidiary of the Company, and the percentage of the outstanding equity interests of each such Subsidiary owned by the Company and each of the other Subsidiaries of the Company. All of the issued and outstanding share capital or shares of capital stock of, or other equity or voting interests in, each Subsidiary of the Company (other than the Partnership and its Subsidiaries) are owned, directly or indirectly, beneficially and of record, by the Company, free and clear of all Liens, except for Permitted Liens, and transfer restrictions, other than transfer restrictions of general applicability, as may be provided under the Securities Act of 1933 and the rules and regulations promulgated thereunder (collectively,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other applicable securities Laws. Each issued and outstanding share capital or share of capital stock of, or other equity or voting interests in, each Subsidiary of the Company that is held, directly or indirectly, by the Company, is duly authorized, validly issued, fully paid, nonassessable and free of preemptive rights, and there are no subscription rights, options, warrants, anti-dilutive rights, rights of first refusal or similar rights, calls, contracts or other commitments that obligate the Company or any Subsidiary of the Company to issue (other than to the Company or any Subsidiary of the Company) any share capital or shares of capital stock or other equity or voting interests of any Subsidiary of the Company, including any right of conversion or exchange under any outstanding security, instrument or agreement, any agreements granting any preemptive rights, subscription rights, anti-dilutive rights, rights of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409575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2" w:name="page23"/>
    <w:bookmarkEnd w:id="22"/>
    <w:p>
      <w:pPr>
        <w:ind w:left="11100"/>
        <w:spacing w:after="0"/>
        <w:rPr>
          <w:sz w:val="20"/>
          <w:szCs w:val="20"/>
          <w:color w:val="auto"/>
        </w:rPr>
      </w:pPr>
      <w:r>
        <w:rPr>
          <w:rFonts w:ascii="Arial" w:cs="Arial" w:eastAsia="Arial" w:hAnsi="Arial"/>
          <w:sz w:val="12"/>
          <w:szCs w:val="1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refusal or similar rights (to Persons other than the Company or any Subsidiary of the Company) with respect to any securities of any Subsidiary of the Company.</w:t>
      </w:r>
    </w:p>
    <w:p>
      <w:pPr>
        <w:spacing w:after="0" w:line="202" w:lineRule="exact"/>
        <w:rPr>
          <w:sz w:val="20"/>
          <w:szCs w:val="20"/>
          <w:color w:val="auto"/>
        </w:rPr>
      </w:pPr>
    </w:p>
    <w:p>
      <w:pPr>
        <w:jc w:val="both"/>
        <w:ind w:firstLine="1304"/>
        <w:spacing w:after="0" w:line="246" w:lineRule="auto"/>
        <w:tabs>
          <w:tab w:leader="none" w:pos="1642" w:val="left"/>
        </w:tabs>
        <w:numPr>
          <w:ilvl w:val="0"/>
          <w:numId w:val="15"/>
        </w:numPr>
        <w:rPr>
          <w:rFonts w:ascii="Arial" w:cs="Arial" w:eastAsia="Arial" w:hAnsi="Arial"/>
          <w:sz w:val="21"/>
          <w:szCs w:val="21"/>
          <w:color w:val="auto"/>
        </w:rPr>
      </w:pPr>
      <w:r>
        <w:rPr>
          <w:rFonts w:ascii="Arial" w:cs="Arial" w:eastAsia="Arial" w:hAnsi="Arial"/>
          <w:sz w:val="21"/>
          <w:szCs w:val="21"/>
          <w:color w:val="auto"/>
        </w:rPr>
        <w:t>All grants of Company Awards were validly issued and properly approved by the Company Board (or a committee thereof) in accordance with the applicable Company Share Plan and applicable Law, including the applicable requirements of the New York Stock Exchange. The Company has provided Parent with a complete and correct list, as of the date of this Agreement, of (i) each outstanding Company Option and Company SAR including the date of grant, exercise price, vesting schedule and number of shares of Common Shares subject thereto and (ii) each Company RSU Award and Company PSU Award, including the date of grant, vesting schedule and number of Common Shares thereof (assuming achievement of the target level of performance at the end of the applicable performance period).</w:t>
      </w:r>
    </w:p>
    <w:p>
      <w:pPr>
        <w:spacing w:after="0" w:line="211" w:lineRule="exact"/>
        <w:rPr>
          <w:rFonts w:ascii="Arial" w:cs="Arial" w:eastAsia="Arial" w:hAnsi="Arial"/>
          <w:sz w:val="21"/>
          <w:szCs w:val="21"/>
          <w:color w:val="auto"/>
        </w:rPr>
      </w:pPr>
    </w:p>
    <w:p>
      <w:pPr>
        <w:jc w:val="both"/>
        <w:ind w:firstLine="1304"/>
        <w:spacing w:after="0" w:line="245" w:lineRule="auto"/>
        <w:tabs>
          <w:tab w:leader="none" w:pos="1747" w:val="left"/>
        </w:tabs>
        <w:numPr>
          <w:ilvl w:val="0"/>
          <w:numId w:val="15"/>
        </w:numPr>
        <w:rPr>
          <w:rFonts w:ascii="Arial" w:cs="Arial" w:eastAsia="Arial" w:hAnsi="Arial"/>
          <w:sz w:val="21"/>
          <w:szCs w:val="21"/>
          <w:color w:val="auto"/>
        </w:rPr>
      </w:pPr>
      <w:r>
        <w:rPr>
          <w:rFonts w:ascii="Arial" w:cs="Arial" w:eastAsia="Arial" w:hAnsi="Arial"/>
          <w:sz w:val="21"/>
          <w:szCs w:val="21"/>
          <w:color w:val="auto"/>
        </w:rPr>
        <w:t>Section 3.02(e) of the Company Disclosure Letter sets forth, as of the date hereof, any joint venture, partnership or other similar arrangement or other entity in which the Company has an equity interest (other than a Subsidiary of the Company) (each a “</w:t>
      </w:r>
      <w:r>
        <w:rPr>
          <w:rFonts w:ascii="Arial" w:cs="Arial" w:eastAsia="Arial" w:hAnsi="Arial"/>
          <w:sz w:val="21"/>
          <w:szCs w:val="21"/>
          <w:u w:val="single" w:color="auto"/>
          <w:color w:val="auto"/>
        </w:rPr>
        <w:t>Joint Venture Entity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Joint Venture Entities</w:t>
      </w:r>
      <w:r>
        <w:rPr>
          <w:rFonts w:ascii="Arial" w:cs="Arial" w:eastAsia="Arial" w:hAnsi="Arial"/>
          <w:sz w:val="21"/>
          <w:szCs w:val="21"/>
          <w:color w:val="auto"/>
        </w:rPr>
        <w:t>”), including for each Joint Venture Entity, (i) the name and jurisdiction of formation of such Joint Venture Entity and (ii) the percentage ownership interests of such Joint Venture Entity held directly or indirectly by the Company. All of the shares of capital stock of, or other equity or voting interests in a Joint Venture Entity that is owned, directly or indirectly, beneficially and of record, by the Company or its Subsidiaries, are owned by the Company or its Subsidiaries, as applicable, free and clear of all Liens, other than Permitted Liens, and transfer restrictions other than transfer restrictions of general applicability as may be provided under the Securities Act or other applicable securities Laws.</w:t>
      </w:r>
    </w:p>
    <w:p>
      <w:pPr>
        <w:spacing w:after="0" w:line="211" w:lineRule="exact"/>
        <w:rPr>
          <w:rFonts w:ascii="Arial" w:cs="Arial" w:eastAsia="Arial" w:hAnsi="Arial"/>
          <w:sz w:val="21"/>
          <w:szCs w:val="21"/>
          <w:color w:val="auto"/>
        </w:rPr>
      </w:pPr>
    </w:p>
    <w:p>
      <w:pPr>
        <w:jc w:val="both"/>
        <w:ind w:firstLine="1304"/>
        <w:spacing w:after="0"/>
        <w:tabs>
          <w:tab w:leader="none" w:pos="1631"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3.02(f) of the Company Disclosure Letter sets forth, as of the date of this Agreement, a true, complete and correct list of each Rolling Shareholder and Additional Rolling Shareholder and the amount of Rollover Shares held by each such Rolling Shareholder and each such Additional Rolling Shareholder.</w:t>
      </w:r>
    </w:p>
    <w:p>
      <w:pPr>
        <w:spacing w:after="0" w:line="213" w:lineRule="exact"/>
        <w:rPr>
          <w:rFonts w:ascii="Arial" w:cs="Arial" w:eastAsia="Arial" w:hAnsi="Arial"/>
          <w:sz w:val="22"/>
          <w:szCs w:val="22"/>
          <w:color w:val="auto"/>
        </w:rPr>
      </w:pPr>
    </w:p>
    <w:p>
      <w:pPr>
        <w:jc w:val="both"/>
        <w:ind w:firstLine="1304"/>
        <w:spacing w:after="0" w:line="257" w:lineRule="auto"/>
        <w:tabs>
          <w:tab w:leader="none" w:pos="1607" w:val="left"/>
        </w:tabs>
        <w:numPr>
          <w:ilvl w:val="0"/>
          <w:numId w:val="15"/>
        </w:numPr>
        <w:rPr>
          <w:rFonts w:ascii="Arial" w:cs="Arial" w:eastAsia="Arial" w:hAnsi="Arial"/>
          <w:sz w:val="21"/>
          <w:szCs w:val="21"/>
          <w:color w:val="auto"/>
        </w:rPr>
      </w:pPr>
      <w:r>
        <w:rPr>
          <w:rFonts w:ascii="Arial" w:cs="Arial" w:eastAsia="Arial" w:hAnsi="Arial"/>
          <w:sz w:val="21"/>
          <w:szCs w:val="21"/>
          <w:color w:val="auto"/>
        </w:rPr>
        <w:t>Section 3.02(g) of the Company Disclosure Letter contains a true, correct and complete list of all indebtedness for borrowed money of the Company and its Subsidiaries and identifies for each item of indebtedness, the outstanding principal and the accrued but unpaid interest thereunder as of the date of this Agreement.</w:t>
      </w:r>
    </w:p>
    <w:p>
      <w:pPr>
        <w:spacing w:after="0" w:line="196"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u w:val="single" w:color="auto"/>
          <w:color w:val="auto"/>
        </w:rPr>
        <w:t>Authority; Noncontravention; Voting Requirements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5" w:lineRule="auto"/>
        <w:tabs>
          <w:tab w:leader="none" w:pos="1665"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has all necessary power and authority to execute and deliver this Agreement and the Statutory Merger Agreement, to perform its obligations hereunder and, subject to obtaining the Required Shareholder Approvals, to consummate the Transactions. The execution, delivery and performance by the Company of this Agreement and the Statutory Merger Agreement, and the consummation by the Company of the Transactions, have been unanimously authorized and approved by the Company Board (acting upon the Special Committee Recommendation), and, except for obtaining the Required Shareholder Approvals and Governmental Approvals, executing and delivering the Statutory Merger Agreement and filing the Merger Application with the Registrar pursuant to the Bermuda Companies Act, no other action on the part of the Company is necessary to authorize the execution, delivery and performance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of this Agreement and the Statutory Merger Agreement and the consummation by the Company of the Transactions. This Agreement has been duly and validly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rehabilitation, conservatorship, liquidation, receivership and other similar Laws, now or hereafter in effect, of general application affecting or relating to the enforcement of creditors’ rights generally and (ii) is subject to general principles of equity, whether considered in a proceeding at law or in equity (collectively, the “</w:t>
      </w:r>
      <w:r>
        <w:rPr>
          <w:rFonts w:ascii="Arial" w:cs="Arial" w:eastAsia="Arial" w:hAnsi="Arial"/>
          <w:sz w:val="21"/>
          <w:szCs w:val="21"/>
          <w:u w:val="single" w:color="auto"/>
          <w:color w:val="auto"/>
        </w:rPr>
        <w:t>Bankruptcy and Equity Exception</w:t>
      </w:r>
      <w:r>
        <w:rPr>
          <w:rFonts w:ascii="Arial" w:cs="Arial" w:eastAsia="Arial" w:hAnsi="Arial"/>
          <w:sz w:val="21"/>
          <w:szCs w:val="21"/>
          <w:color w:val="auto"/>
        </w:rPr>
        <w:t>”).</w:t>
      </w:r>
    </w:p>
    <w:p>
      <w:pPr>
        <w:spacing w:after="0" w:line="207" w:lineRule="exact"/>
        <w:rPr>
          <w:sz w:val="20"/>
          <w:szCs w:val="20"/>
          <w:color w:val="auto"/>
        </w:rPr>
      </w:pPr>
    </w:p>
    <w:p>
      <w:pPr>
        <w:jc w:val="both"/>
        <w:ind w:firstLine="1304"/>
        <w:spacing w:after="0" w:line="246" w:lineRule="auto"/>
        <w:tabs>
          <w:tab w:leader="none" w:pos="1729" w:val="left"/>
        </w:tabs>
        <w:numPr>
          <w:ilvl w:val="1"/>
          <w:numId w:val="17"/>
        </w:numPr>
        <w:rPr>
          <w:rFonts w:ascii="Arial" w:cs="Arial" w:eastAsia="Arial" w:hAnsi="Arial"/>
          <w:sz w:val="21"/>
          <w:szCs w:val="21"/>
          <w:color w:val="auto"/>
        </w:rPr>
      </w:pPr>
      <w:r>
        <w:rPr>
          <w:rFonts w:ascii="Arial" w:cs="Arial" w:eastAsia="Arial" w:hAnsi="Arial"/>
          <w:sz w:val="21"/>
          <w:szCs w:val="21"/>
          <w:color w:val="auto"/>
        </w:rPr>
        <w:t xml:space="preserve">The Special Committee, at a meeting duly called and held,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(iii) made, subject to </w:t>
      </w:r>
      <w:r>
        <w:rPr>
          <w:rFonts w:ascii="Arial" w:cs="Arial" w:eastAsia="Arial" w:hAnsi="Arial"/>
          <w:sz w:val="21"/>
          <w:szCs w:val="21"/>
          <w:u w:val="single" w:color="auto"/>
          <w:color w:val="auto"/>
        </w:rPr>
        <w:t>Section 5.02</w:t>
      </w:r>
      <w:r>
        <w:rPr>
          <w:rFonts w:ascii="Arial" w:cs="Arial" w:eastAsia="Arial" w:hAnsi="Arial"/>
          <w:sz w:val="21"/>
          <w:szCs w:val="21"/>
          <w:color w:val="auto"/>
        </w:rPr>
        <w:t>, the Special Committee Recommendation, and, as of the date of this Agreement, such Special Committee Recommendation has not been subsequently rescinded, modified or withdrawn in any way.</w:t>
      </w:r>
    </w:p>
    <w:p>
      <w:pPr>
        <w:spacing w:after="0" w:line="206" w:lineRule="exact"/>
        <w:rPr>
          <w:rFonts w:ascii="Arial" w:cs="Arial" w:eastAsia="Arial" w:hAnsi="Arial"/>
          <w:sz w:val="21"/>
          <w:szCs w:val="21"/>
          <w:color w:val="auto"/>
        </w:rPr>
      </w:pPr>
    </w:p>
    <w:p>
      <w:pPr>
        <w:ind w:left="1740" w:hanging="436"/>
        <w:spacing w:after="0"/>
        <w:tabs>
          <w:tab w:leader="none" w:pos="174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Company Board (upon the unanimous recommendation of the Special Committee) has unanimously</w:t>
      </w:r>
    </w:p>
    <w:p>
      <w:pPr>
        <w:spacing w:after="0" w:line="42" w:lineRule="exact"/>
        <w:rPr>
          <w:rFonts w:ascii="Arial" w:cs="Arial" w:eastAsia="Arial" w:hAnsi="Arial"/>
          <w:sz w:val="19"/>
          <w:szCs w:val="19"/>
          <w:color w:val="auto"/>
        </w:rPr>
      </w:pPr>
    </w:p>
    <w:p>
      <w:pPr>
        <w:jc w:val="both"/>
        <w:ind w:firstLine="8"/>
        <w:spacing w:after="0" w:line="243" w:lineRule="auto"/>
        <w:tabs>
          <w:tab w:leader="none" w:pos="271"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(iii) approved this Agreement, the Statutory Merger Agreement and the Transactions and (iv) resolved, subject to </w:t>
      </w:r>
      <w:r>
        <w:rPr>
          <w:rFonts w:ascii="Arial" w:cs="Arial" w:eastAsia="Arial" w:hAnsi="Arial"/>
          <w:sz w:val="21"/>
          <w:szCs w:val="21"/>
          <w:u w:val="single" w:color="auto"/>
          <w:color w:val="auto"/>
        </w:rPr>
        <w:t>Section 5.02</w:t>
      </w:r>
      <w:r>
        <w:rPr>
          <w:rFonts w:ascii="Arial" w:cs="Arial" w:eastAsia="Arial" w:hAnsi="Arial"/>
          <w:sz w:val="21"/>
          <w:szCs w:val="21"/>
          <w:color w:val="auto"/>
        </w:rPr>
        <w:t>, to make the Company Board Recommendation, and, as of the date of this Agreement, such resolutions have not been subsequently rescinded, modified or withdrawn in any way.</w:t>
      </w:r>
    </w:p>
    <w:p>
      <w:pPr>
        <w:spacing w:after="0" w:line="212" w:lineRule="exact"/>
        <w:rPr>
          <w:rFonts w:ascii="Arial" w:cs="Arial" w:eastAsia="Arial" w:hAnsi="Arial"/>
          <w:sz w:val="21"/>
          <w:szCs w:val="21"/>
          <w:color w:val="auto"/>
        </w:rPr>
      </w:pPr>
    </w:p>
    <w:p>
      <w:pPr>
        <w:jc w:val="both"/>
        <w:ind w:firstLine="1304"/>
        <w:spacing w:after="0" w:line="276" w:lineRule="auto"/>
        <w:tabs>
          <w:tab w:leader="none" w:pos="1759" w:val="left"/>
        </w:tabs>
        <w:numPr>
          <w:ilvl w:val="1"/>
          <w:numId w:val="18"/>
        </w:numPr>
        <w:rPr>
          <w:rFonts w:ascii="Arial" w:cs="Arial" w:eastAsia="Arial" w:hAnsi="Arial"/>
          <w:sz w:val="19"/>
          <w:szCs w:val="19"/>
          <w:color w:val="auto"/>
        </w:rPr>
      </w:pPr>
      <w:r>
        <w:rPr>
          <w:rFonts w:ascii="Arial" w:cs="Arial" w:eastAsia="Arial" w:hAnsi="Arial"/>
          <w:sz w:val="19"/>
          <w:szCs w:val="19"/>
          <w:color w:val="auto"/>
        </w:rPr>
        <w:t>Neither the execution and delivery of this Agreement by the Company, nor the consummation by the Company of the Transactions, nor performance or compliance by the Company with any of the terms or provisions hereof, will</w:t>
      </w:r>
    </w:p>
    <w:p>
      <w:pPr>
        <w:spacing w:after="0" w:line="1" w:lineRule="exact"/>
        <w:rPr>
          <w:rFonts w:ascii="Arial" w:cs="Arial" w:eastAsia="Arial" w:hAnsi="Arial"/>
          <w:sz w:val="19"/>
          <w:szCs w:val="19"/>
          <w:color w:val="auto"/>
        </w:rPr>
      </w:pPr>
    </w:p>
    <w:p>
      <w:pPr>
        <w:jc w:val="both"/>
        <w:ind w:firstLine="8"/>
        <w:spacing w:after="0" w:line="272" w:lineRule="auto"/>
        <w:tabs>
          <w:tab w:leader="none" w:pos="29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subject to the receipt of the Required Shareholder Approvals, conflict with or violate any provision of (A) the Company Organizational Documents or (B) the similar organizational documents of any of the Company’s Subsidiaries or (ii) assuming that the Governmental Approvals and the Required Shareholder Approvals are obtained, the filings referred to in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are made and any waiting periods thereunder have terminated or expired, in each case prior to the Effective Time, (w) violate any Law or Judgment applicable to the Company or any of its Subsidiaries, (x) violate or constitute a default under (with or without notice or lapse of time or both) any of the terms, conditions or provisions of any Contract to which the Company or its Subsidiaries, as applicable, are bound or give rise to any right to terminate, cancel, amend, modify or accelerate the Company’s or, if applicable, any of its Subsidiaries’, rights or obligations under any such Contract, (y) give rise to any right of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refusal, preemptive right, tag-along right, transfer right or other similar right of any other party to a Contract to which the Company or any of its Subsidiaries is bound or (z) result in the creation of any Lien (other than Permitted Liens) on any properties or assets of the Company or any of its Subsidiaries, except, in the case of </w:t>
      </w:r>
      <w:r>
        <w:rPr>
          <w:rFonts w:ascii="Arial" w:cs="Arial" w:eastAsia="Arial" w:hAnsi="Arial"/>
          <w:sz w:val="22"/>
          <w:szCs w:val="22"/>
          <w:u w:val="single" w:color="auto"/>
          <w:color w:val="auto"/>
        </w:rPr>
        <w:t>clauses (i)(B)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as would not, individually or in the aggregate, reasonably be expected to have a Material Adverse Effect.</w:t>
      </w:r>
    </w:p>
    <w:p>
      <w:pPr>
        <w:spacing w:after="0" w:line="212" w:lineRule="exact"/>
        <w:rPr>
          <w:sz w:val="20"/>
          <w:szCs w:val="20"/>
          <w:color w:val="auto"/>
        </w:rPr>
      </w:pPr>
    </w:p>
    <w:p>
      <w:pPr>
        <w:jc w:val="both"/>
        <w:ind w:firstLine="1304"/>
        <w:spacing w:after="0" w:line="233" w:lineRule="auto"/>
        <w:tabs>
          <w:tab w:leader="none" w:pos="1715"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affirmative vote (in person or by proxy) of (i) the holders of a majority of the voting power of the outstanding Common Shares and Preference Shares entitled to vote thereon, voting together as a single class (and with each Preference Share carrying a single vote), at a Company Shareholders Meeting at which there are two or more Persons present in person throughout such meeting and representing in person or by proxy in excess of 50% of the Common Shares and the Preference Shares, taken together, that are entitled to vote thereat and (ii) the holders of a majority of the Common Shares held by the Public Shareholders and present (in person or by proxy) at the Company Shareholders Meeting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the “</w:t>
      </w:r>
      <w:r>
        <w:rPr>
          <w:rFonts w:ascii="Arial" w:cs="Arial" w:eastAsia="Arial" w:hAnsi="Arial"/>
          <w:sz w:val="22"/>
          <w:szCs w:val="22"/>
          <w:u w:val="single" w:color="auto"/>
          <w:color w:val="auto"/>
        </w:rPr>
        <w:t>Required Shareholder Approvals</w:t>
      </w:r>
      <w:r>
        <w:rPr>
          <w:rFonts w:ascii="Arial" w:cs="Arial" w:eastAsia="Arial" w:hAnsi="Arial"/>
          <w:sz w:val="22"/>
          <w:szCs w:val="22"/>
          <w:color w:val="auto"/>
        </w:rPr>
        <w:t>”), in each case, in favor of the approval of this Agreement, the Merger and the Statutory Merger Agreement are the only votes or approvals of the holders of any class or series of share capital or capital stock of the Company or any of its Subsidiaries that are necessary to approve this Agreement, the Statutory Merger Agreement and the Merger.</w:t>
      </w:r>
    </w:p>
    <w:p>
      <w:pPr>
        <w:spacing w:after="0" w:line="21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Except for (a) compliance with the applicable requirements of the Securities Exchange Act of 1934 and the rules and regulations promulgated thereunder (collectively, the “</w:t>
      </w:r>
      <w:r>
        <w:rPr>
          <w:rFonts w:ascii="Arial" w:cs="Arial" w:eastAsia="Arial" w:hAnsi="Arial"/>
          <w:sz w:val="21"/>
          <w:szCs w:val="21"/>
          <w:u w:val="single" w:color="auto"/>
          <w:color w:val="auto"/>
        </w:rPr>
        <w:t>Exchange Act</w:t>
      </w:r>
      <w:r>
        <w:rPr>
          <w:rFonts w:ascii="Arial" w:cs="Arial" w:eastAsia="Arial" w:hAnsi="Arial"/>
          <w:sz w:val="21"/>
          <w:szCs w:val="21"/>
          <w:color w:val="auto"/>
        </w:rPr>
        <w:t>”), including the filing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any applicable Antitrust Laws, (e) a notification submitted to the Bermuda Monetary Authority pursuant to the Exchange Control Act 1972 regarding the change of ownership of the Company following the Effective Time and (f) compliance with any applicable state securities or blue sky laws (collectively, the “</w:t>
      </w:r>
      <w:r>
        <w:rPr>
          <w:rFonts w:ascii="Arial" w:cs="Arial" w:eastAsia="Arial" w:hAnsi="Arial"/>
          <w:sz w:val="21"/>
          <w:szCs w:val="21"/>
          <w:u w:val="single" w:color="auto"/>
          <w:color w:val="auto"/>
        </w:rPr>
        <w:t>Governmental Approvals</w:t>
      </w:r>
      <w:r>
        <w:rPr>
          <w:rFonts w:ascii="Arial" w:cs="Arial" w:eastAsia="Arial" w:hAnsi="Arial"/>
          <w:sz w:val="21"/>
          <w:szCs w:val="21"/>
          <w:color w:val="auto"/>
        </w:rPr>
        <w:t>”), no Consent of, or filing, declaration or registration with, any Governmental Authority is necessary for the execution and delivery of this Agreement by the Company, the performance by the Company of its obligations hereunder and the consummation by the Company of the Transactions, other than such other Consents, filings, declarations or registrations that, if not obtained, made or given, would not, individually or in the aggregate, reasonably be expected to be material to the Company and its Subsidiaries, taken as a whole.</w:t>
      </w:r>
    </w:p>
    <w:p>
      <w:pPr>
        <w:spacing w:after="0" w:line="210"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u w:val="single" w:color="auto"/>
          <w:color w:val="auto"/>
        </w:rPr>
        <w:t>Company SEC Documents; Undisclosed Liabilities; Internal Controls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5" w:lineRule="auto"/>
        <w:tabs>
          <w:tab w:leader="none" w:pos="169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Company has timely filed with the SEC all reports, schedules, forms, statements and other documents required to be filed by the Company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22"/>
          <w:szCs w:val="22"/>
          <w:u w:val="single" w:color="auto"/>
          <w:color w:val="auto"/>
        </w:rPr>
        <w:t>Company SEC Documents</w:t>
      </w:r>
      <w:r>
        <w:rPr>
          <w:rFonts w:ascii="Arial" w:cs="Arial" w:eastAsia="Arial" w:hAnsi="Arial"/>
          <w:sz w:val="22"/>
          <w:szCs w:val="22"/>
          <w:color w:val="auto"/>
        </w:rPr>
        <w:t>”). As of their respective effective dates (in the case of Company SEC Documents that are registration statements filed pursuant to the requirements of the Securities Act) or their respective SEC filing dates or, if amended or supplemented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11100"/>
        <w:spacing w:after="0"/>
        <w:rPr>
          <w:sz w:val="20"/>
          <w:szCs w:val="20"/>
          <w:color w:val="auto"/>
        </w:rPr>
      </w:pPr>
      <w:r>
        <w:rPr>
          <w:rFonts w:ascii="Arial" w:cs="Arial" w:eastAsia="Arial" w:hAnsi="Arial"/>
          <w:sz w:val="12"/>
          <w:szCs w:val="1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date hereof, the date of the filing of such amendment or supplement, with respect to the portions that are amended or supplemented (in the case of all other Company SEC Documents), the Company SEC Documents complied as to form in all material respects with the requirements of the Securities Act or the Exchange Act, as the case may be, applicable to such Company SEC Documents, and none of the Company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Company SEC Documents.</w:t>
      </w:r>
    </w:p>
    <w:p>
      <w:pPr>
        <w:spacing w:after="0" w:line="211" w:lineRule="exact"/>
        <w:rPr>
          <w:sz w:val="20"/>
          <w:szCs w:val="20"/>
          <w:color w:val="auto"/>
        </w:rPr>
      </w:pPr>
    </w:p>
    <w:p>
      <w:pPr>
        <w:jc w:val="both"/>
        <w:ind w:firstLine="1304"/>
        <w:spacing w:after="0" w:line="269" w:lineRule="auto"/>
        <w:tabs>
          <w:tab w:leader="none" w:pos="1779"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Company’s 2019 Form 20-F contains the following financial statements: the Company’s audited consolidated (i) statements of financial position as of December 31, 2018 and 2019, (ii) statements of profit or loss for the years ended December 31, 2017, 2018 and 2019, (iii) statements of comprehensive income or loss for the years ended December 31, 2017, 2018 and 2019, (iv) statements of changes in equity for the years ended December 31, 2017, 2018 and 2019 and (v) statements of cash flows for the years ended December 31, 2017, 2018 and 2019. The Report of Foreign Private Issuer on Form 6-K filed with the SEC on November 10, 2020 contains the Company’s unaudited condensed consolidated (i) statements of financial position as of December 31, 2019 and September 30, 2020, (ii) statements of profits or loss for the three and nine months ended September 30, 2019 and 2020, (iii) statements of comprehensive income or loss for the three and nine months ended September 30, 2019 and 2020, (iv) statements of changes in equity for the nine months ended September 30, 2019 and 2020 and (v)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9"/>
          <w:szCs w:val="19"/>
          <w:u w:val="single" w:color="auto"/>
          <w:color w:val="auto"/>
        </w:rPr>
        <w:t>Company Financial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Statements</w:t>
      </w:r>
      <w:r>
        <w:rPr>
          <w:rFonts w:ascii="Arial" w:cs="Arial" w:eastAsia="Arial" w:hAnsi="Arial"/>
          <w:sz w:val="19"/>
          <w:szCs w:val="19"/>
          <w:color w:val="auto"/>
        </w:rPr>
        <w:t>.” The Company Financial Statements present fairly in all material respects the consolidated financial position of the Company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Company or its consolidated Subsidiaries, taken as a whole), and such Company Financial Statements have been prepared in all material respects in accordance with the International Financial Reporting Standards as issued by the International Accounting Standards Board (“</w:t>
      </w:r>
      <w:r>
        <w:rPr>
          <w:rFonts w:ascii="Arial" w:cs="Arial" w:eastAsia="Arial" w:hAnsi="Arial"/>
          <w:sz w:val="19"/>
          <w:szCs w:val="19"/>
          <w:u w:val="single" w:color="auto"/>
          <w:color w:val="auto"/>
        </w:rPr>
        <w:t>IFRS</w:t>
      </w:r>
      <w:r>
        <w:rPr>
          <w:rFonts w:ascii="Arial" w:cs="Arial" w:eastAsia="Arial" w:hAnsi="Arial"/>
          <w:sz w:val="19"/>
          <w:szCs w:val="19"/>
          <w:color w:val="auto"/>
        </w:rPr>
        <w:t>”) (except, in the case of unaudited financial statements, as permitted by the SEC rules and regulations) applied on a consistent basis during the periods involved (except as may be indicated in the notes thereto). Since the latest Company Financial Statements, there have been no material changes in the accounting policies of the Company (including any change in depreciation or amortization policies or rates, or policies with respect to reserves for uncollectable accounts receivable or excess or obsolete inventory) and no revaluation of the Company’s assets.</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1304"/>
        <w:spacing w:after="0" w:line="236" w:lineRule="auto"/>
        <w:tabs>
          <w:tab w:leader="none" w:pos="1669" w:val="left"/>
        </w:tabs>
        <w:numPr>
          <w:ilvl w:val="0"/>
          <w:numId w:val="22"/>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any liabilities of any nature (whether accrued, absolute, contingent or otherwise) that would be required under IFRS, as in effect on the date of this Agreement, to be reflected on a consolidated balance sheet of the Company (including the notes thereto) except liabilities (i) reflected or reserved against in the balance sheet (or the notes thereto) of the Company and its consolidated Subsidiaries as of December 31, 2019, included in the Company SEC Documents, (ii) incurred after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11100"/>
        <w:spacing w:after="0"/>
        <w:rPr>
          <w:sz w:val="20"/>
          <w:szCs w:val="20"/>
          <w:color w:val="auto"/>
        </w:rPr>
      </w:pPr>
      <w:r>
        <w:rPr>
          <w:rFonts w:ascii="Arial" w:cs="Arial" w:eastAsia="Arial" w:hAnsi="Arial"/>
          <w:sz w:val="12"/>
          <w:szCs w:val="1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2019, in the ordinary course of business, (iii) as contemplated by this Agreement or otherwise incurred in connection with the Transactions or (iv) as would not, individually or in the aggregate, reasonably be expected to have a Material Adverse Effect.</w:t>
      </w:r>
    </w:p>
    <w:p>
      <w:pPr>
        <w:spacing w:after="0" w:line="132" w:lineRule="exact"/>
        <w:rPr>
          <w:sz w:val="20"/>
          <w:szCs w:val="20"/>
          <w:color w:val="auto"/>
        </w:rPr>
      </w:pPr>
    </w:p>
    <w:p>
      <w:pPr>
        <w:jc w:val="both"/>
        <w:ind w:firstLine="1304"/>
        <w:spacing w:after="0" w:line="279" w:lineRule="auto"/>
        <w:tabs>
          <w:tab w:leader="none" w:pos="1664"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is in compliance in all material respects with the provisions of the Sarbanes-Oxley Act of 2002 and the rules and regulations of the SEC promulgated thereunder (the “</w:t>
      </w:r>
      <w:r>
        <w:rPr>
          <w:rFonts w:ascii="Arial" w:cs="Arial" w:eastAsia="Arial" w:hAnsi="Arial"/>
          <w:sz w:val="19"/>
          <w:szCs w:val="19"/>
          <w:u w:val="single" w:color="auto"/>
          <w:color w:val="auto"/>
        </w:rPr>
        <w:t>Sarbanes-Oxley Act</w:t>
      </w:r>
      <w:r>
        <w:rPr>
          <w:rFonts w:ascii="Arial" w:cs="Arial" w:eastAsia="Arial" w:hAnsi="Arial"/>
          <w:sz w:val="19"/>
          <w:szCs w:val="19"/>
          <w:color w:val="auto"/>
        </w:rPr>
        <w:t>”) that are applicable to the Company. With respect to each Company SEC Document on Form 20-F, each of the principal executive officer and the principal financial officer of the Company has made all certifications required by Rule 13a-14 or 15d-14 under the Exchange Act and Sections 302 or 906 of the Sarbanes-Oxley Act with respect to such Company SEC Documents. The Company is in compliance in all material respects with the applicable listing and corporate governance rules and regulations of the New York Stock Exchange.</w:t>
      </w:r>
    </w:p>
    <w:p>
      <w:pPr>
        <w:spacing w:after="0" w:line="177" w:lineRule="exact"/>
        <w:rPr>
          <w:rFonts w:ascii="Arial" w:cs="Arial" w:eastAsia="Arial" w:hAnsi="Arial"/>
          <w:sz w:val="19"/>
          <w:szCs w:val="19"/>
          <w:color w:val="auto"/>
        </w:rPr>
      </w:pPr>
    </w:p>
    <w:p>
      <w:pPr>
        <w:jc w:val="both"/>
        <w:ind w:firstLine="1304"/>
        <w:spacing w:after="0" w:line="245" w:lineRule="auto"/>
        <w:tabs>
          <w:tab w:leader="none" w:pos="165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information supplied or to be supplied by or on behalf of the Company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or Merger Sub or any Affiliates thereof for inclusion or incorporation by reference in the Schedule 13E-3.</w:t>
      </w:r>
    </w:p>
    <w:p>
      <w:pPr>
        <w:spacing w:after="0" w:line="211" w:lineRule="exact"/>
        <w:rPr>
          <w:rFonts w:ascii="Arial" w:cs="Arial" w:eastAsia="Arial" w:hAnsi="Arial"/>
          <w:sz w:val="21"/>
          <w:szCs w:val="21"/>
          <w:color w:val="auto"/>
        </w:rPr>
      </w:pPr>
    </w:p>
    <w:p>
      <w:pPr>
        <w:jc w:val="both"/>
        <w:ind w:firstLine="1304"/>
        <w:spacing w:after="0" w:line="246" w:lineRule="auto"/>
        <w:tabs>
          <w:tab w:leader="none" w:pos="1635"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Company maintains books and records that fairly reflect, in all material respects, the assets and liabilities of the Company and the Company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Company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211" w:lineRule="exact"/>
        <w:rPr>
          <w:rFonts w:ascii="Arial" w:cs="Arial" w:eastAsia="Arial" w:hAnsi="Arial"/>
          <w:sz w:val="21"/>
          <w:szCs w:val="21"/>
          <w:color w:val="auto"/>
        </w:rPr>
      </w:pPr>
    </w:p>
    <w:p>
      <w:pPr>
        <w:jc w:val="both"/>
        <w:ind w:firstLine="1304"/>
        <w:spacing w:after="0" w:line="234" w:lineRule="auto"/>
        <w:tabs>
          <w:tab w:leader="none" w:pos="179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Since January 1, 2019, neither the Company nor any director, officer or accountant (to the extent communicated to the Company) thereof, has received any material complaint, allegation, assertion or claim, whether written or oral, that (i) the Company has engaged in illegal or fraudulent accounting practices, (ii) there are any significant deficiencies or material weaknesses in the design or operation of the internal controls of the Company which have materially and adversely affected the ability of the Company to record, process, summarize and report financial data or (iii) there is any fraud, whether or not material, involving management or other employees that was reported to the Company Board or management of the Company.</w:t>
      </w:r>
    </w:p>
    <w:p>
      <w:pPr>
        <w:spacing w:after="0" w:line="217" w:lineRule="exact"/>
        <w:rPr>
          <w:rFonts w:ascii="Arial" w:cs="Arial" w:eastAsia="Arial" w:hAnsi="Arial"/>
          <w:sz w:val="22"/>
          <w:szCs w:val="22"/>
          <w:color w:val="auto"/>
        </w:rPr>
      </w:pPr>
    </w:p>
    <w:p>
      <w:pPr>
        <w:ind w:firstLine="1304"/>
        <w:spacing w:after="0" w:line="250" w:lineRule="auto"/>
        <w:tabs>
          <w:tab w:leader="none" w:pos="1685" w:val="left"/>
        </w:tabs>
        <w:numPr>
          <w:ilvl w:val="0"/>
          <w:numId w:val="23"/>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a party to, or has any commitment to become a party to, any joint venture, off-balance sheet partnership or any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p>
    <w:p>
      <w:pPr>
        <w:spacing w:after="0" w:line="174" w:lineRule="exact"/>
        <w:rPr>
          <w:sz w:val="20"/>
          <w:szCs w:val="20"/>
          <w:color w:val="auto"/>
        </w:rPr>
      </w:pPr>
    </w:p>
    <w:p>
      <w:pPr>
        <w:jc w:val="both"/>
        <w:ind w:firstLine="1304"/>
        <w:spacing w:after="0" w:line="275" w:lineRule="auto"/>
        <w:tabs>
          <w:tab w:leader="none" w:pos="1747"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minute books of the Company are accurate and complete in all material respects, except for minutes which are in draft form and are being finalized in accordance with the Company’s customary practice, and contain records of all corporate action taken by the Company’s shareholders, the Company Board and committees of the Company Board, respectively, since January 1, 2019 and no material corporate action has been taken since such date for which minutes have not been prepared and are not contained in such minute books, other than as may be set forth in minutes which are in draft form and are being finalized in accordance with the Company’s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(a) From September 30, 2020 through the date of this Agreement except for (i) the execution, delivery and performance of this Agreement and the discussions, negotiations and transactions related thereto and to any transaction of the type contemplated by this Agreement and (ii) the announced review of the Partnership’s business and strategic alternatives, and any discussions, negotiations and transactions related thereto, the business of the Company and its Subsidiaries has been carried on and conducted in all material respects in the ordinary course of business (other than commercially reasonable actions taken by the Company and its Subsidiaries outside of the ordinary course of business in response to actual or anticipated changes or developments resulting from COVID-19 or any COVID-19 Measures),</w:t>
      </w:r>
    </w:p>
    <w:p>
      <w:pPr>
        <w:spacing w:after="0" w:line="5" w:lineRule="exact"/>
        <w:rPr>
          <w:sz w:val="20"/>
          <w:szCs w:val="20"/>
          <w:color w:val="auto"/>
        </w:rPr>
      </w:pPr>
    </w:p>
    <w:p>
      <w:pPr>
        <w:jc w:val="both"/>
        <w:ind w:firstLine="8"/>
        <w:spacing w:after="0" w:line="287" w:lineRule="auto"/>
        <w:tabs>
          <w:tab w:leader="none" w:pos="318"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since September 30, 2020, there has not been any Material Adverse Effect and (c) from January 1, 2021 through the date of this Agreement, neither the Company nor any of its Subsidiaries has taken any action or failed to take any action that would have required the prior consent of Parent under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had the restrictions thereunder been in effect since January 1, 2021.</w:t>
      </w:r>
    </w:p>
    <w:p>
      <w:pPr>
        <w:spacing w:after="0" w:line="17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Legal Proceedings</w:t>
      </w:r>
      <w:r>
        <w:rPr>
          <w:rFonts w:ascii="Arial" w:cs="Arial" w:eastAsia="Arial" w:hAnsi="Arial"/>
          <w:sz w:val="22"/>
          <w:szCs w:val="22"/>
          <w:color w:val="auto"/>
        </w:rPr>
        <w:t>. Except as would not, individually or in the aggregate, reasonably be expected to have a Material Adverse Effect, there is no (a) pending or, to the Knowledge of the Company, threatened in writing, legal or administrative proceeding, suit, arbitration or action or, to the Knowledge of the Company, investigation against the Company or any of its Subsidiaries or (b) outstanding injunction, order, judgment, ruling, decree or writ of any Governmental Authority (a “</w:t>
      </w:r>
      <w:r>
        <w:rPr>
          <w:rFonts w:ascii="Arial" w:cs="Arial" w:eastAsia="Arial" w:hAnsi="Arial"/>
          <w:sz w:val="22"/>
          <w:szCs w:val="22"/>
          <w:u w:val="single" w:color="auto"/>
          <w:color w:val="auto"/>
        </w:rPr>
        <w:t>Judgment</w:t>
      </w:r>
      <w:r>
        <w:rPr>
          <w:rFonts w:ascii="Arial" w:cs="Arial" w:eastAsia="Arial" w:hAnsi="Arial"/>
          <w:sz w:val="22"/>
          <w:szCs w:val="22"/>
          <w:color w:val="auto"/>
        </w:rPr>
        <w:t>”) imposed upon the Company or any of its Subsidiaries or any director or officer of the Company or any of its Subsidiaries (in their capacity as such) or, to the Knowledge of the Company, any other Person for whom the Company or any of its Subsidiaries may be liable as an indemnifying party or otherwise, in each case, by or before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6" w:lineRule="auto"/>
        <w:tabs>
          <w:tab w:leader="none" w:pos="1649"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Company and each of its Subsidiaries are, and have been since January 1, 2019, (i) in compliance with all federal, national, provincial, state, local or multinational laws, statutes, common laws, ordinances, codes, rules and regulations (collectively, “</w:t>
      </w:r>
      <w:r>
        <w:rPr>
          <w:rFonts w:ascii="Arial" w:cs="Arial" w:eastAsia="Arial" w:hAnsi="Arial"/>
          <w:sz w:val="21"/>
          <w:szCs w:val="21"/>
          <w:u w:val="single" w:color="auto"/>
          <w:color w:val="auto"/>
        </w:rPr>
        <w:t>Laws</w:t>
      </w:r>
      <w:r>
        <w:rPr>
          <w:rFonts w:ascii="Arial" w:cs="Arial" w:eastAsia="Arial" w:hAnsi="Arial"/>
          <w:sz w:val="21"/>
          <w:szCs w:val="21"/>
          <w:color w:val="auto"/>
        </w:rPr>
        <w:t>”), Judgments and Permits, in each case, applicable to the Company or any of its Subsidiaries, except as would not, individually or in the aggregate, reasonably be expected to have a Material Adverse Effect and (ii) have not received from any Governmental Authority any written or, to the Knowledge of the Company, oral, notice or communication of any noncompliance with any such Laws, except for any such noncompliance that would not, individually or in the aggregate, reasonably be expected to have a Material Adverse Effect.</w:t>
      </w:r>
    </w:p>
    <w:p>
      <w:pPr>
        <w:spacing w:after="0" w:line="211" w:lineRule="exact"/>
        <w:rPr>
          <w:rFonts w:ascii="Arial" w:cs="Arial" w:eastAsia="Arial" w:hAnsi="Arial"/>
          <w:sz w:val="21"/>
          <w:szCs w:val="21"/>
          <w:color w:val="auto"/>
        </w:rPr>
      </w:pPr>
    </w:p>
    <w:p>
      <w:pPr>
        <w:jc w:val="both"/>
        <w:ind w:firstLine="1304"/>
        <w:spacing w:after="0" w:line="244" w:lineRule="auto"/>
        <w:tabs>
          <w:tab w:leader="none" w:pos="1636"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Company, each of its Subsidiaries and, to the Knowledge of the Company, each of the Joint Venture Entities, hold all valid licenses, franchises, permits, certificates, approvals, authorizations and registrations from Governmental Authorities necessary for the lawful conduct of their respective businesses as each such business is currently conducted, including in relation to the operation of any Vessels (collectively, “</w:t>
      </w:r>
      <w:r>
        <w:rPr>
          <w:rFonts w:ascii="Arial" w:cs="Arial" w:eastAsia="Arial" w:hAnsi="Arial"/>
          <w:sz w:val="21"/>
          <w:szCs w:val="21"/>
          <w:u w:val="single" w:color="auto"/>
          <w:color w:val="auto"/>
        </w:rPr>
        <w:t>Permits</w:t>
      </w:r>
      <w:r>
        <w:rPr>
          <w:rFonts w:ascii="Arial" w:cs="Arial" w:eastAsia="Arial" w:hAnsi="Arial"/>
          <w:sz w:val="21"/>
          <w:szCs w:val="21"/>
          <w:color w:val="auto"/>
        </w:rPr>
        <w:t>”), except (x) for those Permits that are the responsibility of the counterparties to obtain pursuant to the forms of any charter agreements or (y) where the failure to hold the same would not, individually or in the aggregate, reasonably be expected to have a Material Adverse Effect. The operation of the business of the Company and each of its Subsidiaries as currently conducted is not, and has not been since January 1, 2019, in violation of, nor are the Company or any of its Subsidiaries in default or violation under, any Permits and, to the Knowledge of the Company, no event has occurred which, with notice or the lapse of time or both, would constitute a default or violation of any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w:t>
      </w:r>
    </w:p>
    <w:p>
      <w:pPr>
        <w:spacing w:after="0" w:line="210"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u w:val="single" w:color="auto"/>
          <w:color w:val="auto"/>
        </w:rPr>
        <w:t>Anti-Corruption; Sanctions; Anti-Money Laundering.</w:t>
      </w:r>
    </w:p>
    <w:p>
      <w:pPr>
        <w:spacing w:after="0" w:line="233" w:lineRule="exact"/>
        <w:rPr>
          <w:sz w:val="20"/>
          <w:szCs w:val="20"/>
          <w:color w:val="auto"/>
        </w:rPr>
      </w:pPr>
    </w:p>
    <w:p>
      <w:pPr>
        <w:jc w:val="both"/>
        <w:ind w:firstLine="1304"/>
        <w:spacing w:after="0" w:line="273" w:lineRule="auto"/>
        <w:tabs>
          <w:tab w:leader="none" w:pos="1661"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the Knowledge of the Company, neither the Company nor any of its Subsidiaries are in violation, or since January 1, 2016 have been in violation, of any Anti-Bribery Laws, except, in each case, as would not, individually or in the aggregate, reasonably be expected to be material to the Company and its Subsidiaries, taken as a whole. Without limiting the foregoing, neither the Company nor any of its Subsidiaries, their respective directors or officers, nor, to the Knowledge of the Company, any of their respective employees or agents, acting on behalf of the Company or any of its Subsidiaries, has made or caused to be made any Payments, (i) to or for the use or benefit of any Government Official, (ii) to any other Person either for an advance or reimbursement, if it knows or has reason to know that any part of such Payment will be directly or indirectly given or paid by such other Person, or will reimburse such other Person for Payments previously made, to any Government Official or (iii) to any other Person, to obtain or keep business or to secure some other improper advantage, in violation of Anti-Bribery Laws, except, in each case, as would not, individually or in the aggregate, reasonably be expected to be material to the Company and its Subsidiaries, taken as a whole. The Company has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procedures and controls that are reasonably designed to provide reasonable assurances that violations of Anti-Bribery Laws will be prevented, detected and deterred.</w:t>
      </w:r>
    </w:p>
    <w:p>
      <w:pPr>
        <w:spacing w:after="0" w:line="202" w:lineRule="exact"/>
        <w:rPr>
          <w:sz w:val="20"/>
          <w:szCs w:val="20"/>
          <w:color w:val="auto"/>
        </w:rPr>
      </w:pPr>
    </w:p>
    <w:p>
      <w:pPr>
        <w:jc w:val="both"/>
        <w:ind w:firstLine="1304"/>
        <w:spacing w:after="0" w:line="245" w:lineRule="auto"/>
        <w:tabs>
          <w:tab w:leader="none" w:pos="1686" w:val="left"/>
        </w:tabs>
        <w:numPr>
          <w:ilvl w:val="0"/>
          <w:numId w:val="28"/>
        </w:numPr>
        <w:rPr>
          <w:rFonts w:ascii="Arial" w:cs="Arial" w:eastAsia="Arial" w:hAnsi="Arial"/>
          <w:sz w:val="21"/>
          <w:szCs w:val="21"/>
          <w:color w:val="auto"/>
        </w:rPr>
      </w:pPr>
      <w:r>
        <w:rPr>
          <w:rFonts w:ascii="Arial" w:cs="Arial" w:eastAsia="Arial" w:hAnsi="Arial"/>
          <w:sz w:val="21"/>
          <w:szCs w:val="21"/>
          <w:color w:val="auto"/>
        </w:rPr>
        <w:t>Neither the Company nor any of its Subsidiaries, nor any of their respective officers or directors, nor, to the Knowledge of the Company, any of their respective employees or agents, or other Persons acting on behalf of any of them, is the subject or target of any sanctions or trade embargoes imposed, enforced or administered by the Office of Foreign Assets Control of the United States Treasury Department, the U.S. Department of State, and the U.S. Department of Commerce, the United Nations Security Council, the European Union, and the United Kingdom (collectively, “</w:t>
      </w:r>
      <w:r>
        <w:rPr>
          <w:rFonts w:ascii="Arial" w:cs="Arial" w:eastAsia="Arial" w:hAnsi="Arial"/>
          <w:sz w:val="21"/>
          <w:szCs w:val="21"/>
          <w:u w:val="single" w:color="auto"/>
          <w:color w:val="auto"/>
        </w:rPr>
        <w:t>Economic Sanctions</w:t>
      </w:r>
      <w:r>
        <w:rPr>
          <w:rFonts w:ascii="Arial" w:cs="Arial" w:eastAsia="Arial" w:hAnsi="Arial"/>
          <w:sz w:val="21"/>
          <w:szCs w:val="21"/>
          <w:color w:val="auto"/>
        </w:rPr>
        <w:t>”), and does not make any sales to or engage in business activities with or for the benefit of any Persons or jurisdictions that are the subject or target of any Economic Sanctions that would cause any Person to be in violation of any Economic Sanctions. None of the Company or any of its Subsidiaries has taken any action that would, or would reasonably be expected to, constitute a material violation of any Economic Sanctions.</w:t>
      </w:r>
    </w:p>
    <w:p>
      <w:pPr>
        <w:spacing w:after="0" w:line="211" w:lineRule="exact"/>
        <w:rPr>
          <w:rFonts w:ascii="Arial" w:cs="Arial" w:eastAsia="Arial" w:hAnsi="Arial"/>
          <w:sz w:val="21"/>
          <w:szCs w:val="21"/>
          <w:color w:val="auto"/>
        </w:rPr>
      </w:pPr>
    </w:p>
    <w:p>
      <w:pPr>
        <w:jc w:val="both"/>
        <w:ind w:firstLine="1304"/>
        <w:spacing w:after="0" w:line="297" w:lineRule="auto"/>
        <w:tabs>
          <w:tab w:leader="none" w:pos="1726" w:val="left"/>
        </w:tabs>
        <w:numPr>
          <w:ilvl w:val="0"/>
          <w:numId w:val="28"/>
        </w:numPr>
        <w:rPr>
          <w:rFonts w:ascii="Arial" w:cs="Arial" w:eastAsia="Arial" w:hAnsi="Arial"/>
          <w:sz w:val="19"/>
          <w:szCs w:val="19"/>
          <w:color w:val="auto"/>
        </w:rPr>
      </w:pPr>
      <w:r>
        <w:rPr>
          <w:rFonts w:ascii="Arial" w:cs="Arial" w:eastAsia="Arial" w:hAnsi="Arial"/>
          <w:sz w:val="19"/>
          <w:szCs w:val="19"/>
          <w:color w:val="auto"/>
        </w:rPr>
        <w:t>No legal or administrative proceeding, suit, arbitration or action or, to the Knowledge of the Company, investigation, by or before any Governmental Authority involving the Company or any of its Subsidiaries with respect to Money Laundering Laws, Anti-Bribery Laws or Economic Sanctions is pending or, to the Knowledge of the Company, threatened.</w:t>
      </w:r>
    </w:p>
    <w:p>
      <w:pPr>
        <w:spacing w:after="0" w:line="161"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Tax Matters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Except as would not, individually or in the aggregate, reasonably be expected to have a Material Adverse Effect:</w:t>
      </w:r>
    </w:p>
    <w:p>
      <w:pPr>
        <w:spacing w:after="0" w:line="202" w:lineRule="exact"/>
        <w:rPr>
          <w:sz w:val="20"/>
          <w:szCs w:val="20"/>
          <w:color w:val="auto"/>
        </w:rPr>
      </w:pPr>
    </w:p>
    <w:p>
      <w:pPr>
        <w:jc w:val="both"/>
        <w:ind w:firstLine="1304"/>
        <w:spacing w:after="0" w:line="282" w:lineRule="auto"/>
        <w:tabs>
          <w:tab w:leader="none" w:pos="1644"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and each of its Subsidiaries has prepared (or caused to be prepared) and timely filed (taking into account valid extensions of time within which to file) all Tax Returns required to be filed by any of them. All such filed Tax Returns (taking into account all amendments thereto) are true, complete and accurate, and all Taxes owed by the Company and each of its Subsidiaries that are due have been timely and fully paid (whether or not showed to be due on a Tax Return), other than any such Taxes that are being contested in good faith or have been adequately reserved against in accordance with IFRS.</w:t>
      </w:r>
    </w:p>
    <w:p>
      <w:pPr>
        <w:spacing w:after="0" w:line="174" w:lineRule="exact"/>
        <w:rPr>
          <w:rFonts w:ascii="Arial" w:cs="Arial" w:eastAsia="Arial" w:hAnsi="Arial"/>
          <w:sz w:val="19"/>
          <w:szCs w:val="19"/>
          <w:color w:val="auto"/>
        </w:rPr>
      </w:pPr>
    </w:p>
    <w:p>
      <w:pPr>
        <w:jc w:val="both"/>
        <w:ind w:firstLine="1304"/>
        <w:spacing w:after="0" w:line="279" w:lineRule="auto"/>
        <w:tabs>
          <w:tab w:leader="none" w:pos="1714"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 of the date of this Agreement, the Company has not received written notice of any pending or, to the Knowledge of the Company, threatened audits, examinations, investigations, claims or other proceedings in respect of any Taxes of the Company or any of its Subsidiaries. No deficiency with respect to a material amount of Taxes has been proposed, asserted or assessed in writing against the Company or any of its Subsidiaries. Neither the Company nor any of its Subsidiaries has been informed in writing by any jurisdiction that the Company or any of its Subsidiaries currently does not file Tax Returns in that that the jurisdiction believes that the Company or any of its Subsidiaries was required to file any Tax Return in such jurisdiction.</w:t>
      </w:r>
    </w:p>
    <w:p>
      <w:pPr>
        <w:spacing w:after="0" w:line="177" w:lineRule="exact"/>
        <w:rPr>
          <w:rFonts w:ascii="Arial" w:cs="Arial" w:eastAsia="Arial" w:hAnsi="Arial"/>
          <w:sz w:val="19"/>
          <w:szCs w:val="19"/>
          <w:color w:val="auto"/>
        </w:rPr>
      </w:pPr>
    </w:p>
    <w:p>
      <w:pPr>
        <w:jc w:val="both"/>
        <w:ind w:firstLine="1304"/>
        <w:spacing w:after="0"/>
        <w:tabs>
          <w:tab w:leader="none" w:pos="171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each of its Subsidiaries has timely and properly withheld and paid all material Taxes required to have been withheld and paid in connection with amounts paid or owing to any employee, creditor, shareholder, independent contractor or other third-party.</w:t>
      </w:r>
    </w:p>
    <w:p>
      <w:pPr>
        <w:spacing w:after="0" w:line="213" w:lineRule="exact"/>
        <w:rPr>
          <w:rFonts w:ascii="Arial" w:cs="Arial" w:eastAsia="Arial" w:hAnsi="Arial"/>
          <w:sz w:val="22"/>
          <w:szCs w:val="22"/>
          <w:color w:val="auto"/>
        </w:rPr>
      </w:pPr>
    </w:p>
    <w:p>
      <w:pPr>
        <w:ind w:firstLine="1304"/>
        <w:spacing w:after="0" w:line="250" w:lineRule="auto"/>
        <w:tabs>
          <w:tab w:leader="none" w:pos="173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and each of its Subsidiaries has collected all material sales and use Taxes required to be collected, and has remitted, or will remit on a timely basis,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1100"/>
        <w:spacing w:after="0"/>
        <w:rPr>
          <w:sz w:val="20"/>
          <w:szCs w:val="20"/>
          <w:color w:val="auto"/>
        </w:rPr>
      </w:pPr>
      <w:r>
        <w:rPr>
          <w:rFonts w:ascii="Arial" w:cs="Arial" w:eastAsia="Arial" w:hAnsi="Arial"/>
          <w:sz w:val="12"/>
          <w:szCs w:val="1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to the appropriate Governmental Authorities, or has been furnished properly completed exemption certificates.</w:t>
      </w:r>
    </w:p>
    <w:p>
      <w:pPr>
        <w:spacing w:after="0" w:line="233" w:lineRule="exact"/>
        <w:rPr>
          <w:sz w:val="20"/>
          <w:szCs w:val="20"/>
          <w:color w:val="auto"/>
        </w:rPr>
      </w:pPr>
    </w:p>
    <w:p>
      <w:pPr>
        <w:ind w:left="1720" w:hanging="416"/>
        <w:spacing w:after="0"/>
        <w:tabs>
          <w:tab w:leader="none" w:pos="172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There are no Liens for Taxes on any of the assets of the Company or any of its Subsidiaries other than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Permitted Liens.</w:t>
      </w:r>
    </w:p>
    <w:p>
      <w:pPr>
        <w:spacing w:after="0" w:line="215" w:lineRule="exact"/>
        <w:rPr>
          <w:rFonts w:ascii="Arial" w:cs="Arial" w:eastAsia="Arial" w:hAnsi="Arial"/>
          <w:sz w:val="19"/>
          <w:szCs w:val="19"/>
          <w:color w:val="auto"/>
        </w:rPr>
      </w:pPr>
    </w:p>
    <w:p>
      <w:pPr>
        <w:jc w:val="both"/>
        <w:ind w:firstLine="1304"/>
        <w:spacing w:after="0" w:line="257" w:lineRule="auto"/>
        <w:tabs>
          <w:tab w:leader="none" w:pos="1712" w:val="left"/>
        </w:tabs>
        <w:numPr>
          <w:ilvl w:val="1"/>
          <w:numId w:val="30"/>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been a “controlled corporation” or a “distributing corporation” in any distribution occurring during the two-year period ending on the date of this Agreement that was purported or intended to be governed by Section 355 of the Code (or any similar provision of applicable Law).</w:t>
      </w:r>
    </w:p>
    <w:p>
      <w:pPr>
        <w:spacing w:after="0" w:line="196" w:lineRule="exact"/>
        <w:rPr>
          <w:rFonts w:ascii="Arial" w:cs="Arial" w:eastAsia="Arial" w:hAnsi="Arial"/>
          <w:sz w:val="21"/>
          <w:szCs w:val="21"/>
          <w:color w:val="auto"/>
        </w:rPr>
      </w:pPr>
    </w:p>
    <w:p>
      <w:pPr>
        <w:jc w:val="both"/>
        <w:ind w:firstLine="1304"/>
        <w:spacing w:after="0" w:line="297" w:lineRule="auto"/>
        <w:tabs>
          <w:tab w:leader="none" w:pos="1683" w:val="left"/>
        </w:tabs>
        <w:numPr>
          <w:ilvl w:val="1"/>
          <w:numId w:val="30"/>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waived any statute of limitations in respect of Taxes or agreed to any extension of time with respect to an assessment or deficiency for Taxes, which waiver or agreement, as applicable, remains in effect (other than pursuant to extensions of time to file Tax Returns obtained in the ordinary course).</w:t>
      </w:r>
    </w:p>
    <w:p>
      <w:pPr>
        <w:spacing w:after="0" w:line="160" w:lineRule="exact"/>
        <w:rPr>
          <w:rFonts w:ascii="Arial" w:cs="Arial" w:eastAsia="Arial" w:hAnsi="Arial"/>
          <w:sz w:val="19"/>
          <w:szCs w:val="19"/>
          <w:color w:val="auto"/>
        </w:rPr>
      </w:pPr>
    </w:p>
    <w:p>
      <w:pPr>
        <w:jc w:val="both"/>
        <w:ind w:firstLine="1304"/>
        <w:spacing w:after="0" w:line="297" w:lineRule="auto"/>
        <w:tabs>
          <w:tab w:leader="none" w:pos="1677" w:val="left"/>
        </w:tabs>
        <w:numPr>
          <w:ilvl w:val="1"/>
          <w:numId w:val="30"/>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any liability for Taxes of another Person (other than the Company or any of its current or former Subsidiaries) under U.S. Treasury Regulation Section 1.1502-6 (or any similar provision of applicable Law), as a transferee or successor or by contract (other than any contract that does not relate principally to Taxes).</w:t>
      </w:r>
    </w:p>
    <w:p>
      <w:pPr>
        <w:spacing w:after="0" w:line="160" w:lineRule="exact"/>
        <w:rPr>
          <w:rFonts w:ascii="Arial" w:cs="Arial" w:eastAsia="Arial" w:hAnsi="Arial"/>
          <w:sz w:val="19"/>
          <w:szCs w:val="19"/>
          <w:color w:val="auto"/>
        </w:rPr>
      </w:pPr>
    </w:p>
    <w:p>
      <w:pPr>
        <w:jc w:val="both"/>
        <w:ind w:firstLine="1304"/>
        <w:spacing w:after="0" w:line="271" w:lineRule="auto"/>
        <w:tabs>
          <w:tab w:leader="none" w:pos="1755" w:val="left"/>
        </w:tabs>
        <w:numPr>
          <w:ilvl w:val="1"/>
          <w:numId w:val="30"/>
        </w:numPr>
        <w:rPr>
          <w:rFonts w:ascii="Arial" w:cs="Arial" w:eastAsia="Arial" w:hAnsi="Arial"/>
          <w:sz w:val="19"/>
          <w:szCs w:val="19"/>
          <w:color w:val="auto"/>
        </w:rPr>
      </w:pPr>
      <w:r>
        <w:rPr>
          <w:rFonts w:ascii="Arial" w:cs="Arial" w:eastAsia="Arial" w:hAnsi="Arial"/>
          <w:sz w:val="19"/>
          <w:szCs w:val="19"/>
          <w:color w:val="auto"/>
        </w:rPr>
        <w:t>To the Knowledge of the Company, the Company will not be required to include amounts in income, or exclude items of deduction, in a taxable period (or portion thereof) beginning after the Closing Date as a result of (i) a change in or incorrect method of accounting occurring prior to the Closing, (ii) an installment sale or open transaction arising in a taxable period (or portion thereof) ending on or before the Closing Date, (iii) a prepaid amount received, or paid, prior to the Closing or</w:t>
      </w:r>
    </w:p>
    <w:p>
      <w:pPr>
        <w:spacing w:after="0" w:line="3" w:lineRule="exact"/>
        <w:rPr>
          <w:rFonts w:ascii="Arial" w:cs="Arial" w:eastAsia="Arial" w:hAnsi="Arial"/>
          <w:sz w:val="19"/>
          <w:szCs w:val="19"/>
          <w:color w:val="auto"/>
        </w:rPr>
      </w:pPr>
    </w:p>
    <w:p>
      <w:pPr>
        <w:ind w:firstLine="8"/>
        <w:spacing w:after="0" w:line="236" w:lineRule="auto"/>
        <w:tabs>
          <w:tab w:leader="none" w:pos="377"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“closing agreement” as described in Section 7121 of the Code (or any corresponding or similar provision of state or local income Tax Law) executed on or prior to the Closing Date.</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1715" w:val="left"/>
        </w:tabs>
        <w:numPr>
          <w:ilvl w:val="1"/>
          <w:numId w:val="31"/>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a party to or is bound by any Tax sharing, allocation or indemnification agreement or arrangement other than (i) such an agreement or arrangement exclusively between or among the Company and its Subsidiaries or (ii) customary Tax indemnification provisions in Contracts the primary purpose of which does not relate to Taxes.</w:t>
      </w:r>
    </w:p>
    <w:p>
      <w:pPr>
        <w:spacing w:after="0" w:line="211" w:lineRule="exact"/>
        <w:rPr>
          <w:rFonts w:ascii="Arial" w:cs="Arial" w:eastAsia="Arial" w:hAnsi="Arial"/>
          <w:sz w:val="22"/>
          <w:szCs w:val="22"/>
          <w:color w:val="auto"/>
        </w:rPr>
      </w:pPr>
    </w:p>
    <w:p>
      <w:pPr>
        <w:ind w:firstLine="1304"/>
        <w:spacing w:after="0" w:line="259" w:lineRule="exact"/>
        <w:tabs>
          <w:tab w:leader="none" w:pos="1827" w:val="left"/>
        </w:tabs>
        <w:numPr>
          <w:ilvl w:val="1"/>
          <w:numId w:val="31"/>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participated in any “listed transaction” within the meaning of U.S. Treasury Regulation Section 1.6011</w:t>
      </w:r>
      <w:r>
        <w:rPr>
          <w:rFonts w:ascii="MS PGothic" w:cs="MS PGothic" w:eastAsia="MS PGothic" w:hAnsi="MS PGothic"/>
          <w:sz w:val="22"/>
          <w:szCs w:val="22"/>
          <w:color w:val="auto"/>
        </w:rPr>
        <w:t>‑</w:t>
      </w:r>
      <w:r>
        <w:rPr>
          <w:rFonts w:ascii="Arial" w:cs="Arial" w:eastAsia="Arial" w:hAnsi="Arial"/>
          <w:sz w:val="22"/>
          <w:szCs w:val="22"/>
          <w:color w:val="auto"/>
        </w:rPr>
        <w:t>4(b)(2).</w:t>
      </w:r>
    </w:p>
    <w:p>
      <w:pPr>
        <w:spacing w:after="0" w:line="212" w:lineRule="exact"/>
        <w:rPr>
          <w:rFonts w:ascii="Arial" w:cs="Arial" w:eastAsia="Arial" w:hAnsi="Arial"/>
          <w:sz w:val="22"/>
          <w:szCs w:val="22"/>
          <w:color w:val="auto"/>
        </w:rPr>
      </w:pPr>
    </w:p>
    <w:p>
      <w:pPr>
        <w:jc w:val="both"/>
        <w:ind w:firstLine="1304"/>
        <w:spacing w:after="0" w:line="257" w:lineRule="auto"/>
        <w:tabs>
          <w:tab w:leader="none" w:pos="1674"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Company and each of its Subsidiaries is in compliance in all material respects with all applicable transfer pricing laws and regulations, including the execution and maintenance of contemporaneous documentation substantiating the transfer pricing practices and methodology and conducting intercompany transactions at arm’s length.</w:t>
      </w:r>
    </w:p>
    <w:p>
      <w:pPr>
        <w:spacing w:after="0" w:line="196" w:lineRule="exact"/>
        <w:rPr>
          <w:rFonts w:ascii="Arial" w:cs="Arial" w:eastAsia="Arial" w:hAnsi="Arial"/>
          <w:sz w:val="21"/>
          <w:szCs w:val="21"/>
          <w:color w:val="auto"/>
        </w:rPr>
      </w:pPr>
    </w:p>
    <w:p>
      <w:pPr>
        <w:jc w:val="both"/>
        <w:ind w:firstLine="1304"/>
        <w:spacing w:after="0"/>
        <w:tabs>
          <w:tab w:leader="none" w:pos="1756"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Company is not a “controlled foreign corporation” within the meaning of Section 957(a) of the Code. Neither the Company nor the Partnership is a “passive foreign investment company” within the meaning of Section 1297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1304"/>
        <w:spacing w:after="0" w:line="238" w:lineRule="auto"/>
        <w:tabs>
          <w:tab w:leader="none" w:pos="170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has, for the Tax year beginning January 1, 2018 through the Tax year beginning January 1, 2020, been eligible to claim an exclusion from gross income under Section 883 of the Code for all income described in Section 883(a)(1) of the Code and the Company has complied in all material respects with the provisions of Section 883 of the Code and the Treasury Regulations issued thereunder for such applicable years.</w:t>
      </w:r>
    </w:p>
    <w:p>
      <w:pPr>
        <w:spacing w:after="0" w:line="212" w:lineRule="exact"/>
        <w:rPr>
          <w:sz w:val="20"/>
          <w:szCs w:val="20"/>
          <w:color w:val="auto"/>
        </w:rPr>
      </w:pPr>
    </w:p>
    <w:p>
      <w:pPr>
        <w:ind w:left="1300"/>
        <w:spacing w:after="0"/>
        <w:tabs>
          <w:tab w:leader="none" w:pos="326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b w:val="1"/>
          <w:bCs w:val="1"/>
          <w:i w:val="1"/>
          <w:iCs w:val="1"/>
          <w:color w:val="auto"/>
        </w:rPr>
        <w:t>.</w:t>
      </w:r>
    </w:p>
    <w:p>
      <w:pPr>
        <w:spacing w:after="0" w:line="233" w:lineRule="exact"/>
        <w:rPr>
          <w:sz w:val="20"/>
          <w:szCs w:val="20"/>
          <w:color w:val="auto"/>
        </w:rPr>
      </w:pPr>
    </w:p>
    <w:p>
      <w:pPr>
        <w:jc w:val="both"/>
        <w:ind w:firstLine="1304"/>
        <w:spacing w:after="0" w:line="244" w:lineRule="auto"/>
        <w:tabs>
          <w:tab w:leader="none" w:pos="1645"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Section 3.11(a) of the Company Disclosure Letter sets forth a true and complete list of each material Company Plan as of the date of this Agreement and specifies whether any such Company Plan is a Foreign Plan. With respect to each material Company Plan, the Company has made available to Parent true and complete copies (to the extent applicable) of (i) the plan document, including any amendments thereto, other than any document that the Company or any of its Subsidiaries is prohibited from making available to Parent as the result of applicable Law relating to the safeguarding of data privacy;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take all steps reasonably necessary that would allow for the delivery of such documents (which may include, without limitation, anonymizing personally identifiable information); (ii) any current related trust agreements or insurance contracts, actuarial reports or financial statements; (iii) the most recent annual report or similar compliance documents required to be filed with any Governmental Authority with respect to such Company Plan; and (iv) any document issued by a Governmental Authority relating to any material compliance issues or the satisfaction of law necessary to obtain favorable tax treatment.</w:t>
      </w:r>
    </w:p>
    <w:p>
      <w:pPr>
        <w:spacing w:after="0" w:line="215" w:lineRule="exact"/>
        <w:rPr>
          <w:rFonts w:ascii="Arial" w:cs="Arial" w:eastAsia="Arial" w:hAnsi="Arial"/>
          <w:sz w:val="21"/>
          <w:szCs w:val="21"/>
          <w:color w:val="auto"/>
        </w:rPr>
      </w:pPr>
    </w:p>
    <w:p>
      <w:pPr>
        <w:jc w:val="both"/>
        <w:ind w:firstLine="1304"/>
        <w:spacing w:after="0" w:line="238" w:lineRule="auto"/>
        <w:tabs>
          <w:tab w:leader="none" w:pos="1718"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Company Plan has been administered in compliance with its terms and applicable Laws, other than instances of noncompliance that would not, individually or in the aggregate, reasonably be expected to have a Material Adverse Effect. As of the date hereof, there is no material pending or, to the Knowledge of the Company, threatened Action relating to the Company Plans, other than routine claims for benefits.</w:t>
      </w:r>
    </w:p>
    <w:p>
      <w:pPr>
        <w:spacing w:after="0" w:line="211" w:lineRule="exact"/>
        <w:rPr>
          <w:rFonts w:ascii="Arial" w:cs="Arial" w:eastAsia="Arial" w:hAnsi="Arial"/>
          <w:sz w:val="22"/>
          <w:szCs w:val="22"/>
          <w:color w:val="auto"/>
        </w:rPr>
      </w:pPr>
    </w:p>
    <w:p>
      <w:pPr>
        <w:jc w:val="both"/>
        <w:ind w:firstLine="1304"/>
        <w:spacing w:after="0" w:line="235" w:lineRule="auto"/>
        <w:tabs>
          <w:tab w:leader="none" w:pos="16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Company Pension Plan that, as of the date of this Agreement, is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could reasonably be expected to cause the loss of any such qualification status of any such Company Pension Plan, except where such loss of qualification status would not, individually or in the aggregate, reasonably be expected to have a Material Adverse Effect.</w:t>
      </w:r>
    </w:p>
    <w:p>
      <w:pPr>
        <w:spacing w:after="0" w:line="214" w:lineRule="exact"/>
        <w:rPr>
          <w:rFonts w:ascii="Arial" w:cs="Arial" w:eastAsia="Arial" w:hAnsi="Arial"/>
          <w:sz w:val="22"/>
          <w:szCs w:val="22"/>
          <w:color w:val="auto"/>
        </w:rPr>
      </w:pPr>
    </w:p>
    <w:p>
      <w:pPr>
        <w:jc w:val="both"/>
        <w:ind w:firstLine="1304"/>
        <w:spacing w:after="0" w:line="277" w:lineRule="auto"/>
        <w:tabs>
          <w:tab w:leader="none" w:pos="1657" w:val="left"/>
        </w:tabs>
        <w:numPr>
          <w:ilvl w:val="0"/>
          <w:numId w:val="33"/>
        </w:numPr>
        <w:rPr>
          <w:rFonts w:ascii="Arial" w:cs="Arial" w:eastAsia="Arial" w:hAnsi="Arial"/>
          <w:sz w:val="19"/>
          <w:szCs w:val="19"/>
          <w:color w:val="auto"/>
        </w:rPr>
      </w:pPr>
      <w:r>
        <w:rPr>
          <w:rFonts w:ascii="Arial" w:cs="Arial" w:eastAsia="Arial" w:hAnsi="Arial"/>
          <w:sz w:val="19"/>
          <w:szCs w:val="19"/>
          <w:color w:val="auto"/>
        </w:rPr>
        <w:t>(i) Each Foreign Plan and related trust, if any, complies in all material respects with and has been administered in material compliance with (A) the Laws of the applicable foreign country and (B) their terms and the terms of any collective bargaining, collective labor or works council agreements and (ii) except as would not, individually or in the aggregate, reasonably be expected to have a Material Adverse Effect, (A) each Foreign Plan which, under the Laws of the applicable foreign country, is required to be registered or approved by any Governmental Authority, has been so registered or approved and (B) each Foreign Plan intended to qualify for special tax treatment meets all the requirements for such treatment. Except as would not be material to the business of the Company and its Subsidiaries, taken as a whole, all Foreign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required to be funded and/or book-reserved are funded and/or book reserved, as appropriate, based upon reasonable actuarial assumptions.</w:t>
      </w:r>
    </w:p>
    <w:p>
      <w:pPr>
        <w:spacing w:after="0" w:line="202" w:lineRule="exact"/>
        <w:rPr>
          <w:sz w:val="20"/>
          <w:szCs w:val="20"/>
          <w:color w:val="auto"/>
        </w:rPr>
      </w:pPr>
    </w:p>
    <w:p>
      <w:pPr>
        <w:jc w:val="both"/>
        <w:ind w:firstLine="1304"/>
        <w:spacing w:after="0" w:line="287" w:lineRule="auto"/>
        <w:tabs>
          <w:tab w:leader="none" w:pos="1705" w:val="left"/>
        </w:tabs>
        <w:numPr>
          <w:ilvl w:val="0"/>
          <w:numId w:val="34"/>
        </w:numPr>
        <w:rPr>
          <w:rFonts w:ascii="Arial" w:cs="Arial" w:eastAsia="Arial" w:hAnsi="Arial"/>
          <w:sz w:val="19"/>
          <w:szCs w:val="19"/>
          <w:color w:val="auto"/>
        </w:rPr>
      </w:pPr>
      <w:r>
        <w:rPr>
          <w:rFonts w:ascii="Arial" w:cs="Arial" w:eastAsia="Arial" w:hAnsi="Arial"/>
          <w:sz w:val="19"/>
          <w:szCs w:val="19"/>
          <w:color w:val="auto"/>
        </w:rPr>
        <w:t>Neither the Company nor its ERISA Affiliates has ever maintained or contributed to a plan subject to Title IV of ERISA or Section 412 of the Code, including any “single employer” defined benefit plan or any “multiemployer plan” (each, as defined in Section 4001 of ERISA). “</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employer (whether or not incorporated) that would be treated together with the Company or any of its Subsidiaries as a single employer within the meaning of Section 414 of the Code.</w:t>
      </w:r>
    </w:p>
    <w:p>
      <w:pPr>
        <w:spacing w:after="0" w:line="169" w:lineRule="exact"/>
        <w:rPr>
          <w:rFonts w:ascii="Arial" w:cs="Arial" w:eastAsia="Arial" w:hAnsi="Arial"/>
          <w:sz w:val="19"/>
          <w:szCs w:val="19"/>
          <w:color w:val="auto"/>
        </w:rPr>
      </w:pPr>
    </w:p>
    <w:p>
      <w:pPr>
        <w:jc w:val="both"/>
        <w:ind w:firstLine="1304"/>
        <w:spacing w:after="0" w:line="238" w:lineRule="auto"/>
        <w:tabs>
          <w:tab w:leader="none" w:pos="1708" w:val="left"/>
        </w:tabs>
        <w:numPr>
          <w:ilvl w:val="0"/>
          <w:numId w:val="34"/>
        </w:numPr>
        <w:rPr>
          <w:rFonts w:ascii="Arial" w:cs="Arial" w:eastAsia="Arial" w:hAnsi="Arial"/>
          <w:sz w:val="22"/>
          <w:szCs w:val="22"/>
          <w:color w:val="auto"/>
        </w:rPr>
      </w:pPr>
      <w:r>
        <w:rPr>
          <w:rFonts w:ascii="Arial" w:cs="Arial" w:eastAsia="Arial" w:hAnsi="Arial"/>
          <w:sz w:val="22"/>
          <w:szCs w:val="22"/>
          <w:color w:val="auto"/>
        </w:rPr>
        <w:t>Except (i) as required under applicable Law, (ii) for matters that would not, individually or in the aggregate, reasonably be expected to have a Material Adverse Effect or (iii) where the costs are borne solely by the participant (or his or her dependents or beneficiaries), no Company Plan provides health, medical, dental or life insurance benefits following retirement or other termination of employment.</w:t>
      </w:r>
    </w:p>
    <w:p>
      <w:pPr>
        <w:spacing w:after="0" w:line="211" w:lineRule="exact"/>
        <w:rPr>
          <w:rFonts w:ascii="Arial" w:cs="Arial" w:eastAsia="Arial" w:hAnsi="Arial"/>
          <w:sz w:val="22"/>
          <w:szCs w:val="22"/>
          <w:color w:val="auto"/>
        </w:rPr>
      </w:pPr>
    </w:p>
    <w:p>
      <w:pPr>
        <w:jc w:val="both"/>
        <w:ind w:firstLine="1304"/>
        <w:spacing w:after="0" w:line="273" w:lineRule="auto"/>
        <w:tabs>
          <w:tab w:leader="none" w:pos="1662" w:val="left"/>
        </w:tabs>
        <w:numPr>
          <w:ilvl w:val="0"/>
          <w:numId w:val="34"/>
        </w:numPr>
        <w:rPr>
          <w:rFonts w:ascii="Arial" w:cs="Arial" w:eastAsia="Arial" w:hAnsi="Arial"/>
          <w:sz w:val="19"/>
          <w:szCs w:val="19"/>
          <w:color w:val="auto"/>
        </w:rPr>
      </w:pPr>
      <w:r>
        <w:rPr>
          <w:rFonts w:ascii="Arial" w:cs="Arial" w:eastAsia="Arial" w:hAnsi="Arial"/>
          <w:sz w:val="19"/>
          <w:szCs w:val="19"/>
          <w:color w:val="auto"/>
        </w:rPr>
        <w:t>Except as set forth on Section 3.11(g) of the Company Disclosure Letter, neither the execution and delivery of this Agreement, shareholder or other approval of this Agreement, nor the consummation of the Transactions may, either alone or in combination with another event, (i) entitle any employee, director, officer or independent contractor of the Company or any of its Subsidiaries to severance pay or any material increase in severance pay, (ii) accelerate the time of payment or vesting, or materially increase the amount of compensation or other amounts due to any director, officer or employee of the Company or any of its Subsidiaries (whether by virtue of any termination, severance, change of control or similar benefit or otherwise), (iii) cause the Company to transfer or set aside any assets to fund any benefits under any Company Plan, (iv) limit or restrict the right to amend, terminate or transfer the assets of any Company Plan on or following the Effective Time, (v) require a “gross-up,” indemnification for, or payment to any individual for, any taxes imposed under Section 409A or Section 4999 of the Code or any other tax or (vi) result in the payment of any amount that could, individually or in combination with any other such payment, constitute an “excess parachute payment” as defined in Section 280G(b)(1) of the Code.</w:t>
      </w:r>
    </w:p>
    <w:p>
      <w:pPr>
        <w:spacing w:after="0" w:line="18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Labor Matters</w:t>
      </w:r>
      <w:r>
        <w:rPr>
          <w:rFonts w:ascii="Arial" w:cs="Arial" w:eastAsia="Arial" w:hAnsi="Arial"/>
          <w:sz w:val="19"/>
          <w:szCs w:val="19"/>
          <w:color w:val="auto"/>
        </w:rPr>
        <w:t>. Except as would not, individually or in the aggregate, reasonably be expected to have a Material Adverse Effect, as of the date of this Agreement, (a) neither the Company nor any of its Subsidiaries is a party to any collective bargaining agreement or other agreement with a labor union, works council or similar organization,</w:t>
      </w:r>
    </w:p>
    <w:p>
      <w:pPr>
        <w:spacing w:after="0" w:line="1" w:lineRule="exact"/>
        <w:rPr>
          <w:sz w:val="20"/>
          <w:szCs w:val="20"/>
          <w:color w:val="auto"/>
        </w:rPr>
      </w:pPr>
    </w:p>
    <w:p>
      <w:pPr>
        <w:jc w:val="both"/>
        <w:ind w:firstLine="8"/>
        <w:spacing w:after="0" w:line="231" w:lineRule="auto"/>
        <w:tabs>
          <w:tab w:leader="none" w:pos="309"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the Knowledge of the Company, there are no activities or proceedings of any labor organization to organize any employees of the Company or any of its Subsidiaries pending or threatened against the Company or any of its Subsidiaries and no demand for recognition as the exclusive bargaining representative of any such employees has been made by or on behalf of any labor or similar organization, (c) no approvals of any works council, labor union or similar organization are required under applicable Law or collective bargaining agreement in connection with the execution or delivery of this Agreement or any of the other Transaction Agreements, or the consummation of the Transactions, (d) there is no pending or, to the Knowledge of the Company, threatened strike, lockout, slowdown or work stoppage by or with respect to the employees of the Company or any of its Subsidiaries, (e) there is no unfair labor practice, labor dispute (other than routine individual grievances) or labor arbitration proceeding pending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Knowledge of the Company, threatened against the Company or any of its Subsidiaries and (f) each of the Company and its Subsidiaries is in compliance with all applicable Laws regarding labor and unfair labor practices, employment and employment practices, and terms and conditions of employment.</w:t>
      </w:r>
    </w:p>
    <w:p>
      <w:pPr>
        <w:spacing w:after="0" w:line="21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would not, individually or in the aggregate, reasonably be expected to have a Material Adverse Effect, (a) the Company and each of its Subsidiaries is, and has been since January 1, 2019, in compliance with all applicable Laws relating to pollution or the protection of the environment or natural resources or imposing liability or standards of conduct concerning the use, handling, storage or management of any hazardous or toxic materials (“</w:t>
      </w:r>
      <w:r>
        <w:rPr>
          <w:rFonts w:ascii="Arial" w:cs="Arial" w:eastAsia="Arial" w:hAnsi="Arial"/>
          <w:sz w:val="19"/>
          <w:szCs w:val="19"/>
          <w:u w:val="single" w:color="auto"/>
          <w:color w:val="auto"/>
        </w:rPr>
        <w:t>Environmental Laws</w:t>
      </w:r>
      <w:r>
        <w:rPr>
          <w:rFonts w:ascii="Arial" w:cs="Arial" w:eastAsia="Arial" w:hAnsi="Arial"/>
          <w:sz w:val="19"/>
          <w:szCs w:val="19"/>
          <w:color w:val="auto"/>
        </w:rPr>
        <w:t>”), and neither the Company nor any of its Subsidiaries has received any written notice of violation, claim, settlement or order since January 1, 2019 alleging that the Company or any of its Subsidiaries is in violation of or has any liability under any Environmental Law, (b) the Company and each of its Subsidiaries possesses and is, and has been since January 1, 2019, in compliance with all Permits required under Environmental Laws for the operation of their respective businesses as currently conducted (“</w:t>
      </w:r>
      <w:r>
        <w:rPr>
          <w:rFonts w:ascii="Arial" w:cs="Arial" w:eastAsia="Arial" w:hAnsi="Arial"/>
          <w:sz w:val="19"/>
          <w:szCs w:val="19"/>
          <w:u w:val="single" w:color="auto"/>
          <w:color w:val="auto"/>
        </w:rPr>
        <w:t>Environmental Permits</w:t>
      </w:r>
      <w:r>
        <w:rPr>
          <w:rFonts w:ascii="Arial" w:cs="Arial" w:eastAsia="Arial" w:hAnsi="Arial"/>
          <w:sz w:val="19"/>
          <w:szCs w:val="19"/>
          <w:color w:val="auto"/>
        </w:rPr>
        <w:t>”), (c) there has been no known or threatened Release of any Hazardous Materials for which the Company or any of its Subsidiaries would reasonably be expected to be liable, (d) there are no Liens or Actions under or pursuant to any Environmental Law or Environmental Permit that are pending or, to the Knowledge of the Company, threatened against the Company or any of its Subsidiaries, (e) neither the Company nor any of its Subsidiaries is subject to any Judgment imposed by any Governmental Authority under which there are outstanding obligations on the part of the Company or its Subsidiaries arising under Environmental Laws and (f) the Company has delivered or otherwise made available for inspection to Parent and its Representatives prior to the date of this Agreement true, complete and correct copies of any written environmental reports, audits, and site assessments completed since January 1, 2019 in the possession of the Company or any of its Subsidiaries pertaining to (i) any unresolved liabilities under Environmental Law, (ii) any Release of Hazardous Materials by the Company or any of its Subsidiaries or at any property currently or formerly owned, operated or leased by the Company or any of its Subsidiaries, or (iii) the Company’s or any of its Subsidiaries’ compliance with applicable Environmental Laws.</w:t>
      </w:r>
    </w:p>
    <w:p>
      <w:pPr>
        <w:spacing w:after="0" w:line="200" w:lineRule="exact"/>
        <w:rPr>
          <w:sz w:val="20"/>
          <w:szCs w:val="20"/>
          <w:color w:val="auto"/>
        </w:rPr>
      </w:pPr>
    </w:p>
    <w:p>
      <w:pPr>
        <w:spacing w:after="0" w:line="233"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i w:val="1"/>
          <w:iCs w:val="1"/>
          <w:color w:val="auto"/>
        </w:rPr>
        <w:t>.</w:t>
      </w:r>
    </w:p>
    <w:p>
      <w:pPr>
        <w:spacing w:after="0" w:line="233" w:lineRule="exact"/>
        <w:rPr>
          <w:sz w:val="20"/>
          <w:szCs w:val="20"/>
          <w:color w:val="auto"/>
        </w:rPr>
      </w:pPr>
    </w:p>
    <w:p>
      <w:pPr>
        <w:jc w:val="both"/>
        <w:ind w:firstLine="1304"/>
        <w:spacing w:after="0" w:line="245" w:lineRule="auto"/>
        <w:tabs>
          <w:tab w:leader="none" w:pos="1682"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The Company does not own any material Intellectual Property. Except as would not, individually or in the aggregate, reasonably be expected to have a Material Adverse Effect, the Company and its Subsidiaries own, possess or have sufficient rights to use all Intellectual Property necessary to the conduct of the business of the Company and its Subsidiaries as currently conducted;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3.14(a)</w:t>
      </w:r>
      <w:r>
        <w:rPr>
          <w:rFonts w:ascii="Arial" w:cs="Arial" w:eastAsia="Arial" w:hAnsi="Arial"/>
          <w:sz w:val="21"/>
          <w:szCs w:val="21"/>
          <w:color w:val="auto"/>
        </w:rPr>
        <w:t xml:space="preserve"> shall be interpreted or construed as a representation or warranty with respect to whether there is any infringement of any Intellectual Property, which is the subject of </w:t>
      </w:r>
      <w:r>
        <w:rPr>
          <w:rFonts w:ascii="Arial" w:cs="Arial" w:eastAsia="Arial" w:hAnsi="Arial"/>
          <w:sz w:val="21"/>
          <w:szCs w:val="21"/>
          <w:u w:val="single" w:color="auto"/>
          <w:color w:val="auto"/>
        </w:rPr>
        <w:t>Section 3.14(c)</w:t>
      </w:r>
      <w:r>
        <w:rPr>
          <w:rFonts w:ascii="Arial" w:cs="Arial" w:eastAsia="Arial" w:hAnsi="Arial"/>
          <w:sz w:val="21"/>
          <w:szCs w:val="21"/>
          <w:color w:val="auto"/>
        </w:rPr>
        <w:t>. All Intellectual Property that is owned by the Company or any of its Subsidiaries that is registered or issued is subsisting and, to the Knowledge of the Company, valid and enforceable, and there are no pending legal or administrative proceedings, suits, arbitrations or actions involving the Company or any of its Subsidiaries in which the validity or enforceability of any such Intellectual Property is being challenged or contested.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11100"/>
        <w:spacing w:after="0"/>
        <w:rPr>
          <w:sz w:val="20"/>
          <w:szCs w:val="20"/>
          <w:color w:val="auto"/>
        </w:rPr>
      </w:pPr>
      <w:r>
        <w:rPr>
          <w:rFonts w:ascii="Arial" w:cs="Arial" w:eastAsia="Arial" w:hAnsi="Arial"/>
          <w:sz w:val="12"/>
          <w:szCs w:val="1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1304"/>
        <w:spacing w:after="0" w:line="236" w:lineRule="auto"/>
        <w:tabs>
          <w:tab w:leader="none" w:pos="1708" w:val="left"/>
        </w:tabs>
        <w:numPr>
          <w:ilvl w:val="1"/>
          <w:numId w:val="37"/>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reasonably be expected to have a Material Adverse Effect, no claims are pending or, to the Knowledge of the Company, threatened in writing (i) challenging the ownership, enforceability, scope, validity or use by the Company or any of its Subsidiaries of any Intellectual Property owned by the Company or any of its Subsidiaries or (ii) alleging that the Company or any of its Subsidiaries is violating, misappropriating or infringing the Intellectual Property rights of any Person.</w:t>
      </w:r>
    </w:p>
    <w:p>
      <w:pPr>
        <w:spacing w:after="0" w:line="214" w:lineRule="exact"/>
        <w:rPr>
          <w:rFonts w:ascii="Arial" w:cs="Arial" w:eastAsia="Arial" w:hAnsi="Arial"/>
          <w:sz w:val="22"/>
          <w:szCs w:val="22"/>
          <w:color w:val="auto"/>
        </w:rPr>
      </w:pPr>
    </w:p>
    <w:p>
      <w:pPr>
        <w:jc w:val="both"/>
        <w:ind w:firstLine="1304"/>
        <w:spacing w:after="0" w:line="273" w:lineRule="auto"/>
        <w:tabs>
          <w:tab w:leader="none" w:pos="1698" w:val="left"/>
        </w:tabs>
        <w:numPr>
          <w:ilvl w:val="1"/>
          <w:numId w:val="37"/>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have a Material Adverse Effect, (i) to the Knowledge of the Company, no Person is misappropriating, violating or infringing the rights of the Company or any of its Subsidiaries with respect to any Intellectual Property owned by the Company or a Subsidiary of the Company and</w:t>
      </w:r>
    </w:p>
    <w:p>
      <w:pPr>
        <w:spacing w:after="0" w:line="1" w:lineRule="exact"/>
        <w:rPr>
          <w:rFonts w:ascii="Arial" w:cs="Arial" w:eastAsia="Arial" w:hAnsi="Arial"/>
          <w:sz w:val="19"/>
          <w:szCs w:val="19"/>
          <w:color w:val="auto"/>
        </w:rPr>
      </w:pPr>
    </w:p>
    <w:p>
      <w:pPr>
        <w:ind w:firstLine="8"/>
        <w:spacing w:after="0" w:line="236" w:lineRule="auto"/>
        <w:tabs>
          <w:tab w:leader="none" w:pos="32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to the Knowledge of the Company, the operation of the business of the Company and its Subsidiaries as currently conducted does not violate, misappropriate or infringe the Intellectual Property rights of any other Person.</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1708" w:val="left"/>
        </w:tabs>
        <w:numPr>
          <w:ilvl w:val="1"/>
          <w:numId w:val="38"/>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reasonably be expected to have a Material Adverse Effect, the Company and each of its Subsidiaries is, and has been since January 1, 2019, in compliance with all of the Company’s publicly posted privacy policies and all applicable Laws relating to data protection or the privacy, security, collection, use and disclosure of “personally identifiable information”.</w:t>
      </w:r>
    </w:p>
    <w:p>
      <w:pPr>
        <w:spacing w:after="0" w:line="211" w:lineRule="exact"/>
        <w:rPr>
          <w:rFonts w:ascii="Arial" w:cs="Arial" w:eastAsia="Arial" w:hAnsi="Arial"/>
          <w:sz w:val="22"/>
          <w:szCs w:val="22"/>
          <w:color w:val="auto"/>
        </w:rPr>
      </w:pPr>
    </w:p>
    <w:p>
      <w:pPr>
        <w:jc w:val="both"/>
        <w:ind w:firstLine="1304"/>
        <w:spacing w:after="0" w:line="282" w:lineRule="auto"/>
        <w:tabs>
          <w:tab w:leader="none" w:pos="1631"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Company and its Subsidiaries have taken commercially reasonable steps to maintain and protect the integrity and operation of their information technology systems, computers, middleware, servers, workstations, routers, hubs, switches, data communications lines and all other information technology equipment and, except as would not, individually or in the aggregate, reasonably be expected to have a Material Adverse Effect, since January 1, 2019, there has been no unauthorized access to or use or breach of any such systems or equipment (or any software, information or data stored thereon).</w:t>
      </w:r>
    </w:p>
    <w:p>
      <w:pPr>
        <w:spacing w:after="0" w:line="17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SECTION 3.15. </w:t>
      </w:r>
      <w:r>
        <w:rPr>
          <w:rFonts w:ascii="Arial" w:cs="Arial" w:eastAsia="Arial" w:hAnsi="Arial"/>
          <w:sz w:val="21"/>
          <w:szCs w:val="21"/>
          <w:u w:val="single" w:color="auto"/>
          <w:color w:val="auto"/>
        </w:rPr>
        <w:t>Anti-Takeover Provisions</w:t>
      </w:r>
      <w:r>
        <w:rPr>
          <w:rFonts w:ascii="Arial" w:cs="Arial" w:eastAsia="Arial" w:hAnsi="Arial"/>
          <w:sz w:val="21"/>
          <w:szCs w:val="21"/>
          <w:color w:val="auto"/>
        </w:rPr>
        <w:t>. Except for the provisions of Section 106(6) of the Bermuda Companies Act concerning the right of holders of Common Shares to require appraisal of their Common Shares and the right of holders of Preference Shares to require appraisal of their Preference Shares pursuant to the Bermuda Companies Act, no “fair price”, “moratorium”, “control share acquisition” or other similar anti-takeover statute or similar statute or regulation (each, a “</w:t>
      </w:r>
      <w:r>
        <w:rPr>
          <w:rFonts w:ascii="Arial" w:cs="Arial" w:eastAsia="Arial" w:hAnsi="Arial"/>
          <w:sz w:val="21"/>
          <w:szCs w:val="21"/>
          <w:u w:val="single" w:color="auto"/>
          <w:color w:val="auto"/>
        </w:rPr>
        <w:t>Takeover Law</w:t>
      </w:r>
      <w:r>
        <w:rPr>
          <w:rFonts w:ascii="Arial" w:cs="Arial" w:eastAsia="Arial" w:hAnsi="Arial"/>
          <w:sz w:val="21"/>
          <w:szCs w:val="21"/>
          <w:color w:val="auto"/>
        </w:rPr>
        <w:t>”) applies to the Company with respect to this Agreement or the Merger.</w:t>
      </w:r>
    </w:p>
    <w:p>
      <w:pPr>
        <w:spacing w:after="0" w:line="20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82" w:lineRule="auto"/>
        <w:tabs>
          <w:tab w:leader="none" w:pos="1655" w:val="left"/>
        </w:tabs>
        <w:numPr>
          <w:ilvl w:val="0"/>
          <w:numId w:val="39"/>
        </w:numPr>
        <w:rPr>
          <w:rFonts w:ascii="Arial" w:cs="Arial" w:eastAsia="Arial" w:hAnsi="Arial"/>
          <w:sz w:val="19"/>
          <w:szCs w:val="19"/>
          <w:color w:val="auto"/>
        </w:rPr>
      </w:pPr>
      <w:r>
        <w:rPr>
          <w:rFonts w:ascii="Arial" w:cs="Arial" w:eastAsia="Arial" w:hAnsi="Arial"/>
          <w:sz w:val="19"/>
          <w:szCs w:val="19"/>
          <w:color w:val="auto"/>
        </w:rPr>
        <w:t>Except for (A) this Agreement and (B) each Contract filed as an exhibit to the Filed SEC Documents, Section 3.16(a) of the Company Disclosure Letter sets forth a list of all Material Contracts as of the date of this Agreement. For purposes of this Agreement, “</w:t>
      </w:r>
      <w:r>
        <w:rPr>
          <w:rFonts w:ascii="Arial" w:cs="Arial" w:eastAsia="Arial" w:hAnsi="Arial"/>
          <w:sz w:val="19"/>
          <w:szCs w:val="19"/>
          <w:u w:val="single" w:color="auto"/>
          <w:color w:val="auto"/>
        </w:rPr>
        <w:t>Material Contract</w:t>
      </w:r>
      <w:r>
        <w:rPr>
          <w:rFonts w:ascii="Arial" w:cs="Arial" w:eastAsia="Arial" w:hAnsi="Arial"/>
          <w:sz w:val="19"/>
          <w:szCs w:val="19"/>
          <w:color w:val="auto"/>
        </w:rPr>
        <w:t>” means any Contract to which the Company or any of its Subsidiaries is a party or by which the Company, any of its Subsidiaries or any of their respective properties or assets is bound (other than Company Plans), whether or not scheduled and including any such Contract entered into after the date hereof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4"/>
        <w:spacing w:after="0" w:line="250" w:lineRule="auto"/>
        <w:tabs>
          <w:tab w:leader="none" w:pos="181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is required to be filed as an exhibit to the Company’s Annual Report on Form 20-F pursuant to Instruction 4 under “Instructions as to Exhibits” of Form 20-F;</w:t>
      </w:r>
    </w:p>
    <w:p>
      <w:pPr>
        <w:spacing w:after="0" w:line="201" w:lineRule="exact"/>
        <w:rPr>
          <w:rFonts w:ascii="Arial" w:cs="Arial" w:eastAsia="Arial" w:hAnsi="Arial"/>
          <w:sz w:val="22"/>
          <w:szCs w:val="22"/>
          <w:color w:val="auto"/>
        </w:rPr>
      </w:pPr>
    </w:p>
    <w:p>
      <w:pPr>
        <w:jc w:val="both"/>
        <w:ind w:firstLine="644"/>
        <w:spacing w:after="0" w:line="297" w:lineRule="auto"/>
        <w:tabs>
          <w:tab w:leader="none" w:pos="1411"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relates to the formation or management of any joint venture, partnership or other similar arrangement that is material to the business of the Company and its Subsidiaries, taken as a whole, including any Joint Venture Entity, but excluding any partnership that is wholly owned by the Company or any of its wholly owned Subsidiaries;</w:t>
      </w:r>
    </w:p>
    <w:p>
      <w:pPr>
        <w:spacing w:after="0" w:line="160" w:lineRule="exact"/>
        <w:rPr>
          <w:rFonts w:ascii="Arial" w:cs="Arial" w:eastAsia="Arial" w:hAnsi="Arial"/>
          <w:sz w:val="19"/>
          <w:szCs w:val="19"/>
          <w:color w:val="auto"/>
        </w:rPr>
      </w:pPr>
    </w:p>
    <w:p>
      <w:pPr>
        <w:jc w:val="both"/>
        <w:ind w:firstLine="644"/>
        <w:spacing w:after="0" w:line="238" w:lineRule="auto"/>
        <w:tabs>
          <w:tab w:leader="none" w:pos="14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under which the Company or any of its Subsidiaries has directly or indirectly incurred or guaranteed or assumed indebtedness for borrowed money of another Person (other than any wholly owned Subsidiary of the Company), in each case having an outstanding or committed amount in excess of $2 million individually or $10 million in the aggregate;</w:t>
      </w:r>
    </w:p>
    <w:p>
      <w:pPr>
        <w:spacing w:after="0" w:line="211" w:lineRule="exact"/>
        <w:rPr>
          <w:rFonts w:ascii="Arial" w:cs="Arial" w:eastAsia="Arial" w:hAnsi="Arial"/>
          <w:sz w:val="22"/>
          <w:szCs w:val="22"/>
          <w:color w:val="auto"/>
        </w:rPr>
      </w:pPr>
    </w:p>
    <w:p>
      <w:pPr>
        <w:jc w:val="both"/>
        <w:ind w:firstLine="644"/>
        <w:spacing w:after="0" w:line="246" w:lineRule="auto"/>
        <w:tabs>
          <w:tab w:leader="none" w:pos="1689" w:val="left"/>
        </w:tabs>
        <w:numPr>
          <w:ilvl w:val="0"/>
          <w:numId w:val="40"/>
        </w:numPr>
        <w:rPr>
          <w:rFonts w:ascii="Arial" w:cs="Arial" w:eastAsia="Arial" w:hAnsi="Arial"/>
          <w:sz w:val="21"/>
          <w:szCs w:val="21"/>
          <w:color w:val="auto"/>
        </w:rPr>
      </w:pPr>
      <w:r>
        <w:rPr>
          <w:rFonts w:ascii="Arial" w:cs="Arial" w:eastAsia="Arial" w:hAnsi="Arial"/>
          <w:sz w:val="21"/>
          <w:szCs w:val="21"/>
          <w:color w:val="auto"/>
        </w:rPr>
        <w:t>has been entered into since January 1, 2019, and involves the acquisition from another Person or disposition to another Person of capital stock or other equity interests of another Person or of a business or any assets (other than, in each case, any Vessels), in each case, for aggregate consideration under such Contract in excess of $5 million (excluding, for the avoidance of doubt, acquisitions or dispositions of supplies, equipment, products, properties or other assets in the ordinary course of business or dispositions of supplies, equipment, products, properties or other assets that are obsolete, worn out, surplus or no longer used or useful in the conduct of business of the Company or any of its Subsidiaries, other than, in each case, any Vessels);</w:t>
      </w:r>
    </w:p>
    <w:p>
      <w:pPr>
        <w:spacing w:after="0" w:line="211" w:lineRule="exact"/>
        <w:rPr>
          <w:rFonts w:ascii="Arial" w:cs="Arial" w:eastAsia="Arial" w:hAnsi="Arial"/>
          <w:sz w:val="21"/>
          <w:szCs w:val="21"/>
          <w:color w:val="auto"/>
        </w:rPr>
      </w:pPr>
    </w:p>
    <w:p>
      <w:pPr>
        <w:jc w:val="both"/>
        <w:ind w:firstLine="644"/>
        <w:spacing w:after="0" w:line="282" w:lineRule="auto"/>
        <w:tabs>
          <w:tab w:leader="none" w:pos="1453"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 in each case, other than Contracts that can be terminated (including such restrictive provisions) by the Company or any of its Subsidiaries on less than 60 days’ notice without payment by the Company or any Subsidiary of the Company of any material penalty;</w:t>
      </w:r>
    </w:p>
    <w:p>
      <w:pPr>
        <w:spacing w:after="0" w:line="174" w:lineRule="exact"/>
        <w:rPr>
          <w:rFonts w:ascii="Arial" w:cs="Arial" w:eastAsia="Arial" w:hAnsi="Arial"/>
          <w:sz w:val="19"/>
          <w:szCs w:val="19"/>
          <w:color w:val="auto"/>
        </w:rPr>
      </w:pPr>
    </w:p>
    <w:p>
      <w:pPr>
        <w:jc w:val="both"/>
        <w:ind w:firstLine="644"/>
        <w:spacing w:after="0" w:line="297" w:lineRule="auto"/>
        <w:tabs>
          <w:tab w:leader="none" w:pos="1513"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is between the Company or any of its Subsidiaries, on the one hand, and any director, officer or employee of the Company or any of its Subsidiaries or any Person beneficially owning 10% or more of the outstanding Common Shares, on the other hand or (B) is required to be disclosed pursuant to Item 7.B. of Form 20-F;</w:t>
      </w:r>
    </w:p>
    <w:p>
      <w:pPr>
        <w:spacing w:after="0" w:line="160" w:lineRule="exact"/>
        <w:rPr>
          <w:rFonts w:ascii="Arial" w:cs="Arial" w:eastAsia="Arial" w:hAnsi="Arial"/>
          <w:sz w:val="19"/>
          <w:szCs w:val="19"/>
          <w:color w:val="auto"/>
        </w:rPr>
      </w:pPr>
    </w:p>
    <w:p>
      <w:pPr>
        <w:jc w:val="both"/>
        <w:ind w:firstLine="644"/>
        <w:spacing w:after="0" w:line="287" w:lineRule="auto"/>
        <w:tabs>
          <w:tab w:leader="none" w:pos="1452" w:val="left"/>
        </w:tabs>
        <w:numPr>
          <w:ilvl w:val="0"/>
          <w:numId w:val="40"/>
        </w:numPr>
        <w:rPr>
          <w:rFonts w:ascii="Arial" w:cs="Arial" w:eastAsia="Arial" w:hAnsi="Arial"/>
          <w:sz w:val="19"/>
          <w:szCs w:val="19"/>
          <w:color w:val="auto"/>
        </w:rPr>
      </w:pPr>
      <w:r>
        <w:rPr>
          <w:rFonts w:ascii="Arial" w:cs="Arial" w:eastAsia="Arial" w:hAnsi="Arial"/>
          <w:sz w:val="19"/>
          <w:szCs w:val="19"/>
          <w:color w:val="auto"/>
        </w:rPr>
        <w:t>is a ship-sales, memorandum of agreement, bareboat charter or other vessel acquisition or construction Contract entered into since January 1, 2018 for (A) vessels contracted to be constructed, under construction or newly constructed for, but not yet delivered to, the Company or any of its Subsidiaries (“</w:t>
      </w:r>
      <w:r>
        <w:rPr>
          <w:rFonts w:ascii="Arial" w:cs="Arial" w:eastAsia="Arial" w:hAnsi="Arial"/>
          <w:sz w:val="19"/>
          <w:szCs w:val="19"/>
          <w:u w:val="single" w:color="auto"/>
          <w:color w:val="auto"/>
        </w:rPr>
        <w:t>Newbuildings</w:t>
      </w:r>
      <w:r>
        <w:rPr>
          <w:rFonts w:ascii="Arial" w:cs="Arial" w:eastAsia="Arial" w:hAnsi="Arial"/>
          <w:sz w:val="19"/>
          <w:szCs w:val="19"/>
          <w:color w:val="auto"/>
        </w:rPr>
        <w:t>”) or (B) second hand vessels, in each case contracted for by the Company or any of its Subsidiaries;</w:t>
      </w:r>
    </w:p>
    <w:p>
      <w:pPr>
        <w:spacing w:after="0" w:line="169" w:lineRule="exact"/>
        <w:rPr>
          <w:rFonts w:ascii="Arial" w:cs="Arial" w:eastAsia="Arial" w:hAnsi="Arial"/>
          <w:sz w:val="19"/>
          <w:szCs w:val="19"/>
          <w:color w:val="auto"/>
        </w:rPr>
      </w:pPr>
    </w:p>
    <w:p>
      <w:pPr>
        <w:jc w:val="both"/>
        <w:ind w:firstLine="644"/>
        <w:spacing w:after="0"/>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has otherwise been entered into since January 1, 2018 with respect to Newbuildings of the Company or any of its Subsidiaries and the financing thereof, including performance guarantees, counter guarantees, refund guarantees, supervision agreements and plan verification services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269240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4"/>
        <w:spacing w:after="0" w:line="297" w:lineRule="auto"/>
        <w:tabs>
          <w:tab w:leader="none" w:pos="1554" w:val="left"/>
        </w:tabs>
        <w:numPr>
          <w:ilvl w:val="0"/>
          <w:numId w:val="41"/>
        </w:numPr>
        <w:rPr>
          <w:rFonts w:ascii="Arial" w:cs="Arial" w:eastAsia="Arial" w:hAnsi="Arial"/>
          <w:sz w:val="19"/>
          <w:szCs w:val="19"/>
          <w:color w:val="auto"/>
        </w:rPr>
      </w:pPr>
      <w:r>
        <w:rPr>
          <w:rFonts w:ascii="Arial" w:cs="Arial" w:eastAsia="Arial" w:hAnsi="Arial"/>
          <w:sz w:val="19"/>
          <w:szCs w:val="19"/>
          <w:color w:val="auto"/>
        </w:rPr>
        <w:t>contains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160" w:lineRule="exact"/>
        <w:rPr>
          <w:rFonts w:ascii="Arial" w:cs="Arial" w:eastAsia="Arial" w:hAnsi="Arial"/>
          <w:sz w:val="19"/>
          <w:szCs w:val="19"/>
          <w:color w:val="auto"/>
        </w:rPr>
      </w:pPr>
    </w:p>
    <w:p>
      <w:pPr>
        <w:jc w:val="both"/>
        <w:ind w:firstLine="644"/>
        <w:spacing w:after="0" w:line="238" w:lineRule="auto"/>
        <w:tabs>
          <w:tab w:leader="none" w:pos="1561"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with any third-party which provides operating and maintenance, asset management or other similar project-level services to the Company or any of its Subsidiaries, that involved payments by the Company or any of its Subsidiaries during either of the years ended December 31, 2019 or December 31, 2020 in excess of $5 million in the aggregate for each such year;</w:t>
      </w:r>
    </w:p>
    <w:p>
      <w:pPr>
        <w:spacing w:after="0" w:line="211" w:lineRule="exact"/>
        <w:rPr>
          <w:rFonts w:ascii="Arial" w:cs="Arial" w:eastAsia="Arial" w:hAnsi="Arial"/>
          <w:sz w:val="22"/>
          <w:szCs w:val="22"/>
          <w:color w:val="auto"/>
        </w:rPr>
      </w:pPr>
    </w:p>
    <w:p>
      <w:pPr>
        <w:ind w:right="20" w:firstLine="644"/>
        <w:spacing w:after="0" w:line="328" w:lineRule="auto"/>
        <w:tabs>
          <w:tab w:leader="none" w:pos="1689" w:val="left"/>
        </w:tabs>
        <w:numPr>
          <w:ilvl w:val="0"/>
          <w:numId w:val="41"/>
        </w:numPr>
        <w:rPr>
          <w:rFonts w:ascii="Arial" w:cs="Arial" w:eastAsia="Arial" w:hAnsi="Arial"/>
          <w:sz w:val="19"/>
          <w:szCs w:val="19"/>
          <w:color w:val="auto"/>
        </w:rPr>
      </w:pPr>
      <w:r>
        <w:rPr>
          <w:rFonts w:ascii="Arial" w:cs="Arial" w:eastAsia="Arial" w:hAnsi="Arial"/>
          <w:sz w:val="19"/>
          <w:szCs w:val="19"/>
          <w:color w:val="auto"/>
        </w:rPr>
        <w:t>is any lease, sublease or similar Contract with any Person under which the Company or any of its Subsidiaries is a lessor or sublessor of, or makes available for use to any Person, any interests in real property;</w:t>
      </w:r>
    </w:p>
    <w:p>
      <w:pPr>
        <w:spacing w:after="0" w:line="131" w:lineRule="exact"/>
        <w:rPr>
          <w:rFonts w:ascii="Arial" w:cs="Arial" w:eastAsia="Arial" w:hAnsi="Arial"/>
          <w:sz w:val="19"/>
          <w:szCs w:val="19"/>
          <w:color w:val="auto"/>
        </w:rPr>
      </w:pPr>
    </w:p>
    <w:p>
      <w:pPr>
        <w:jc w:val="both"/>
        <w:ind w:firstLine="644"/>
        <w:spacing w:after="0" w:line="238" w:lineRule="auto"/>
        <w:tabs>
          <w:tab w:leader="none" w:pos="1398" w:val="left"/>
        </w:tabs>
        <w:numPr>
          <w:ilvl w:val="0"/>
          <w:numId w:val="41"/>
        </w:numPr>
        <w:rPr>
          <w:rFonts w:ascii="Arial" w:cs="Arial" w:eastAsia="Arial" w:hAnsi="Arial"/>
          <w:sz w:val="22"/>
          <w:szCs w:val="22"/>
          <w:color w:val="auto"/>
        </w:rPr>
      </w:pPr>
      <w:r>
        <w:rPr>
          <w:rFonts w:ascii="Arial" w:cs="Arial" w:eastAsia="Arial" w:hAnsi="Arial"/>
          <w:sz w:val="22"/>
          <w:szCs w:val="22"/>
          <w:color w:val="auto"/>
        </w:rPr>
        <w:t>would reasonably be expected to provide for the payment by the Company of more than $5 million for the year ending December 31, 2021 that is not terminable at will by the Company or any of its Subsidiaries (or by Parent and the Surviving Company following the Closing Date) on less than 60 days’ notice without payment by the Company or any Subsidiary of the Company of any penalty;</w:t>
      </w:r>
    </w:p>
    <w:p>
      <w:pPr>
        <w:spacing w:after="0" w:line="211" w:lineRule="exact"/>
        <w:rPr>
          <w:rFonts w:ascii="Arial" w:cs="Arial" w:eastAsia="Arial" w:hAnsi="Arial"/>
          <w:sz w:val="22"/>
          <w:szCs w:val="22"/>
          <w:color w:val="auto"/>
        </w:rPr>
      </w:pPr>
    </w:p>
    <w:p>
      <w:pPr>
        <w:jc w:val="both"/>
        <w:ind w:firstLine="644"/>
        <w:spacing w:after="0"/>
        <w:tabs>
          <w:tab w:leader="none" w:pos="1404"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any material settlement or compromise of any Action relating to the Company or any of its Subsidiaries that would materially and adversely impact the business currently being conducted by the Company or any of its Subsidiaries at or following the Closing Date;</w:t>
      </w:r>
    </w:p>
    <w:p>
      <w:pPr>
        <w:spacing w:after="0" w:line="213" w:lineRule="exact"/>
        <w:rPr>
          <w:rFonts w:ascii="Arial" w:cs="Arial" w:eastAsia="Arial" w:hAnsi="Arial"/>
          <w:sz w:val="22"/>
          <w:szCs w:val="22"/>
          <w:color w:val="auto"/>
        </w:rPr>
      </w:pPr>
    </w:p>
    <w:p>
      <w:pPr>
        <w:ind w:left="1440" w:hanging="796"/>
        <w:spacing w:after="0"/>
        <w:tabs>
          <w:tab w:leader="none" w:pos="14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any currency, interest rate or other hedge, swap or other derivative Contract;</w:t>
      </w:r>
    </w:p>
    <w:p>
      <w:pPr>
        <w:spacing w:after="0" w:line="233" w:lineRule="exact"/>
        <w:rPr>
          <w:rFonts w:ascii="Arial" w:cs="Arial" w:eastAsia="Arial" w:hAnsi="Arial"/>
          <w:sz w:val="22"/>
          <w:szCs w:val="22"/>
          <w:color w:val="auto"/>
        </w:rPr>
      </w:pPr>
    </w:p>
    <w:p>
      <w:pPr>
        <w:ind w:left="1440" w:hanging="796"/>
        <w:spacing w:after="0"/>
        <w:tabs>
          <w:tab w:leader="none" w:pos="14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a revenue-generating Contract with a Significant Customer;</w:t>
      </w:r>
    </w:p>
    <w:p>
      <w:pPr>
        <w:spacing w:after="0" w:line="233" w:lineRule="exact"/>
        <w:rPr>
          <w:rFonts w:ascii="Arial" w:cs="Arial" w:eastAsia="Arial" w:hAnsi="Arial"/>
          <w:sz w:val="22"/>
          <w:szCs w:val="22"/>
          <w:color w:val="auto"/>
        </w:rPr>
      </w:pPr>
    </w:p>
    <w:p>
      <w:pPr>
        <w:ind w:left="1440" w:hanging="796"/>
        <w:spacing w:after="0"/>
        <w:tabs>
          <w:tab w:leader="none" w:pos="14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a pool arrangement or management agreement with respect to any Vessel;</w:t>
      </w:r>
    </w:p>
    <w:p>
      <w:pPr>
        <w:spacing w:after="0" w:line="233" w:lineRule="exact"/>
        <w:rPr>
          <w:rFonts w:ascii="Arial" w:cs="Arial" w:eastAsia="Arial" w:hAnsi="Arial"/>
          <w:sz w:val="22"/>
          <w:szCs w:val="22"/>
          <w:color w:val="auto"/>
        </w:rPr>
      </w:pPr>
    </w:p>
    <w:p>
      <w:pPr>
        <w:ind w:left="1440" w:hanging="796"/>
        <w:spacing w:after="0"/>
        <w:tabs>
          <w:tab w:leader="none" w:pos="1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requires capital expenditures in excess of $2 million individually or $15 million in the aggregate;</w:t>
      </w:r>
    </w:p>
    <w:p>
      <w:pPr>
        <w:spacing w:after="0" w:line="244" w:lineRule="exact"/>
        <w:rPr>
          <w:rFonts w:ascii="Arial" w:cs="Arial" w:eastAsia="Arial" w:hAnsi="Arial"/>
          <w:sz w:val="21"/>
          <w:szCs w:val="21"/>
          <w:color w:val="auto"/>
        </w:rPr>
      </w:pPr>
    </w:p>
    <w:p>
      <w:pPr>
        <w:ind w:left="1560" w:hanging="916"/>
        <w:spacing w:after="0"/>
        <w:tabs>
          <w:tab w:leader="none" w:pos="15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is a collective bargaining agreement or other agreement with a labor union, works council or similar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organization;</w:t>
      </w:r>
    </w:p>
    <w:p>
      <w:pPr>
        <w:spacing w:after="0" w:line="215" w:lineRule="exact"/>
        <w:rPr>
          <w:rFonts w:ascii="Arial" w:cs="Arial" w:eastAsia="Arial" w:hAnsi="Arial"/>
          <w:sz w:val="19"/>
          <w:szCs w:val="19"/>
          <w:color w:val="auto"/>
        </w:rPr>
      </w:pPr>
    </w:p>
    <w:p>
      <w:pPr>
        <w:ind w:firstLine="644"/>
        <w:spacing w:after="0" w:line="328" w:lineRule="auto"/>
        <w:tabs>
          <w:tab w:leader="none" w:pos="1473"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is a Contract with a third-party for the charter of any Vessel with a term of greater than 6 months (taking into account any extension options), other than those Contracts disclosed pursuant to </w:t>
      </w:r>
      <w:r>
        <w:rPr>
          <w:rFonts w:ascii="Arial" w:cs="Arial" w:eastAsia="Arial" w:hAnsi="Arial"/>
          <w:sz w:val="19"/>
          <w:szCs w:val="19"/>
          <w:u w:val="single" w:color="auto"/>
          <w:color w:val="auto"/>
        </w:rPr>
        <w:t>clause (xv)</w:t>
      </w:r>
      <w:r>
        <w:rPr>
          <w:rFonts w:ascii="Arial" w:cs="Arial" w:eastAsia="Arial" w:hAnsi="Arial"/>
          <w:sz w:val="19"/>
          <w:szCs w:val="19"/>
          <w:color w:val="auto"/>
        </w:rPr>
        <w:t xml:space="preserve"> above; or</w:t>
      </w:r>
    </w:p>
    <w:p>
      <w:pPr>
        <w:spacing w:after="0" w:line="131" w:lineRule="exact"/>
        <w:rPr>
          <w:rFonts w:ascii="Arial" w:cs="Arial" w:eastAsia="Arial" w:hAnsi="Arial"/>
          <w:sz w:val="19"/>
          <w:szCs w:val="19"/>
          <w:color w:val="auto"/>
        </w:rPr>
      </w:pPr>
    </w:p>
    <w:p>
      <w:pPr>
        <w:ind w:right="20" w:firstLine="644"/>
        <w:spacing w:after="0" w:line="250" w:lineRule="auto"/>
        <w:tabs>
          <w:tab w:leader="none" w:pos="1656"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a material Contract for which the primary purpose is a license or grant of other rights in or to use Intellectual Property that is material to the business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261620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7" w:name="page38"/>
    <w:bookmarkEnd w:id="37"/>
    <w:p>
      <w:pPr>
        <w:ind w:left="11100"/>
        <w:spacing w:after="0"/>
        <w:rPr>
          <w:sz w:val="20"/>
          <w:szCs w:val="20"/>
          <w:color w:val="auto"/>
        </w:rPr>
      </w:pPr>
      <w:r>
        <w:rPr>
          <w:rFonts w:ascii="Arial" w:cs="Arial" w:eastAsia="Arial" w:hAnsi="Arial"/>
          <w:sz w:val="12"/>
          <w:szCs w:val="1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1304"/>
        <w:spacing w:after="0" w:line="270" w:lineRule="auto"/>
        <w:tabs>
          <w:tab w:leader="none" w:pos="167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True and complete copies of each Material Contract (including any amendments thereto) entered into prior to the date of this Agreement have been made available to Parent and Merger Sub. Each Material Contract is valid and binding on the Company or its Subsidiaries to the extent such Person is a party thereto, as applicable, and to the Knowledge of the Company, each other party thereto, and is in full force and effect and is enforceable against the Company or its Subsidiaries, as applicable, in accordance with its terms, except where the failure to be valid, binding or in full force and effect would not, individually or in the aggregate, reasonably be expected to have a Material Adverse Effect, or except insofar as such enforceability may be limited by the Bankruptcy and Equity Exception. Except as would not, individually or in the aggregate, reasonably be expected to have a Material Adverse Effect, (i) the Company and each of its Subsidiaries, as applicable, and, to the Knowledge of the Company, any other party thereto, has performed all obligations required to be performed by it under each Material Contract and is not in breach of or default under such Material Contract, (ii) to the Knowledge of the Company, neither the Company nor any of its Subsidiaries has received notice of the existence of any event or condition which constitutes, or, after notice or lapse of time or both, will constitute, a default on the part of the Company or any of its Subsidiaries under any Material Contract and (iii) to the Knowledge of the Company, there are no events or conditions which constitute, or, after notice or lapse of time or both, will constitute a default on the part of any counterparty under such Material Contract. From January 1, 2020 to the date of this Agreement, neither the Company nor any of its Subsidiaries have received written notice or, to the Knowledge of the Company, any other notice, from any other party to any Material Contract that it intends to (A) terminate such Material Contract or (B) seek to change, materially and adversely, the terms and conditions of such Material Contract.</w:t>
      </w:r>
    </w:p>
    <w:p>
      <w:pPr>
        <w:spacing w:after="0" w:line="19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SECTION 3.17. </w:t>
      </w:r>
      <w:r>
        <w:rPr>
          <w:rFonts w:ascii="Arial" w:cs="Arial" w:eastAsia="Arial" w:hAnsi="Arial"/>
          <w:sz w:val="19"/>
          <w:szCs w:val="19"/>
          <w:u w:val="single" w:color="auto"/>
          <w:color w:val="auto"/>
        </w:rPr>
        <w:t>Insurance</w:t>
      </w:r>
      <w:r>
        <w:rPr>
          <w:rFonts w:ascii="Arial" w:cs="Arial" w:eastAsia="Arial" w:hAnsi="Arial"/>
          <w:sz w:val="19"/>
          <w:szCs w:val="19"/>
          <w:color w:val="auto"/>
        </w:rPr>
        <w:t>. Except as would not, individually or in the aggregate, reasonably be expected to have a Material Adverse Effect, the Company and its Subsidiaries own or hold policies of insurance with financially sound and reputable insurers, or are self-insured, in amounts providing reasonably adequate coverage against all risks customarily insured against by companies in similar lines of business as the Company and its Subsidiaries. All such insurance policies are in full force and effect except for any expiration thereof in accordance with the terms thereof, no written notice of cancelation or modification has been received other than in connection with ordinary renewals, all premiums due have been paid in full, no insurance claim has been disputed or denied by the applicable insurer, and there is no existing default or event which, with the giving of notice or lapse of time or both, would constitute a material breach or a material default by any insured thereunder. The Company and its Subsidiaries have no reason to believe that they will not be able to (a) renew their existing insurance coverage as and when such policies expire or (b) obtain comparable coverage from similar institutions as may be necessary or appropriate to conduct their business as now conducted.</w:t>
      </w:r>
    </w:p>
    <w:p>
      <w:pPr>
        <w:spacing w:after="0" w:line="18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Opinion of Financial Advisor</w:t>
      </w:r>
      <w:r>
        <w:rPr>
          <w:rFonts w:ascii="Arial" w:cs="Arial" w:eastAsia="Arial" w:hAnsi="Arial"/>
          <w:sz w:val="19"/>
          <w:szCs w:val="19"/>
          <w:color w:val="auto"/>
        </w:rPr>
        <w:t>. The Special Committee has received the opinion of Evercore Group L.L.C. (“</w:t>
      </w:r>
      <w:r>
        <w:rPr>
          <w:rFonts w:ascii="Arial" w:cs="Arial" w:eastAsia="Arial" w:hAnsi="Arial"/>
          <w:sz w:val="19"/>
          <w:szCs w:val="19"/>
          <w:u w:val="single" w:color="auto"/>
          <w:color w:val="auto"/>
        </w:rPr>
        <w:t>Evercore</w:t>
      </w:r>
      <w:r>
        <w:rPr>
          <w:rFonts w:ascii="Arial" w:cs="Arial" w:eastAsia="Arial" w:hAnsi="Arial"/>
          <w:sz w:val="19"/>
          <w:szCs w:val="19"/>
          <w:color w:val="auto"/>
        </w:rPr>
        <w:t>”), dated as of the date of this Agreement, to the effect that, as of such date, and based upon and subject to the various assumptions, qualifications and limitations set forth therein, the Merger Consideration to be received by the Public Shareholders in the Merger is fair, from a financial point of view, to the Public Shareholders. The Special Committee has provided such opinion to the Board for the information and benefit of the Board in its capacity as such in connection with its evaluation of the Merger. It is agreed and understood that such opinion is for the benefit of the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11100"/>
        <w:spacing w:after="0"/>
        <w:rPr>
          <w:sz w:val="20"/>
          <w:szCs w:val="20"/>
          <w:color w:val="auto"/>
        </w:rPr>
      </w:pPr>
      <w:r>
        <w:rPr>
          <w:rFonts w:ascii="Arial" w:cs="Arial" w:eastAsia="Arial" w:hAnsi="Arial"/>
          <w:sz w:val="12"/>
          <w:szCs w:val="1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Committee and the Board and may not be relied on by Parent or Merger Sub for any purpose. The Company shall provide to Parent, solely for informational purposes, a copy of such written opinion promptly following the execution of this Agreement.</w:t>
      </w:r>
    </w:p>
    <w:p>
      <w:pPr>
        <w:spacing w:after="0" w:line="13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Brokers and Other Advisors</w:t>
      </w:r>
      <w:r>
        <w:rPr>
          <w:rFonts w:ascii="Arial" w:cs="Arial" w:eastAsia="Arial" w:hAnsi="Arial"/>
          <w:sz w:val="19"/>
          <w:szCs w:val="19"/>
          <w:color w:val="auto"/>
        </w:rPr>
        <w:t>. Except for Evercore, the fees (the aggregate amount of which have been disclosed to Parent or its legal counsel on or prior to the date hereof) and expenses of which will 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17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3.20.</w:t>
      </w:r>
      <w:r>
        <w:rPr>
          <w:sz w:val="20"/>
          <w:szCs w:val="20"/>
          <w:color w:val="auto"/>
        </w:rPr>
        <w:tab/>
      </w:r>
      <w:r>
        <w:rPr>
          <w:rFonts w:ascii="Arial" w:cs="Arial" w:eastAsia="Arial" w:hAnsi="Arial"/>
          <w:sz w:val="19"/>
          <w:szCs w:val="19"/>
          <w:u w:val="single" w:color="auto"/>
          <w:color w:val="auto"/>
        </w:rPr>
        <w:t>Vessels; Maritime Matters.</w:t>
      </w:r>
    </w:p>
    <w:p>
      <w:pPr>
        <w:spacing w:after="0" w:line="233" w:lineRule="exact"/>
        <w:rPr>
          <w:sz w:val="20"/>
          <w:szCs w:val="20"/>
          <w:color w:val="auto"/>
        </w:rPr>
      </w:pPr>
    </w:p>
    <w:p>
      <w:pPr>
        <w:jc w:val="both"/>
        <w:ind w:firstLine="1304"/>
        <w:spacing w:after="0" w:line="273" w:lineRule="auto"/>
        <w:tabs>
          <w:tab w:leader="none" w:pos="1679" w:val="left"/>
        </w:tabs>
        <w:numPr>
          <w:ilvl w:val="1"/>
          <w:numId w:val="43"/>
        </w:numPr>
        <w:rPr>
          <w:rFonts w:ascii="Arial" w:cs="Arial" w:eastAsia="Arial" w:hAnsi="Arial"/>
          <w:sz w:val="19"/>
          <w:szCs w:val="19"/>
          <w:color w:val="auto"/>
        </w:rPr>
      </w:pPr>
      <w:r>
        <w:rPr>
          <w:rFonts w:ascii="Arial" w:cs="Arial" w:eastAsia="Arial" w:hAnsi="Arial"/>
          <w:sz w:val="19"/>
          <w:szCs w:val="19"/>
          <w:color w:val="auto"/>
        </w:rPr>
        <w:t>Section 3.20 of the Company Disclosure Letter contains a true, complete and accurate list, as of the date of this Agreement, (i) all vessels wholly owned by the Company or any of its Subsidiaries (the “</w:t>
      </w:r>
      <w:r>
        <w:rPr>
          <w:rFonts w:ascii="Arial" w:cs="Arial" w:eastAsia="Arial" w:hAnsi="Arial"/>
          <w:sz w:val="19"/>
          <w:szCs w:val="19"/>
          <w:u w:val="single" w:color="auto"/>
          <w:color w:val="auto"/>
        </w:rPr>
        <w:t>Wholly Owned Vessels</w:t>
      </w:r>
      <w:r>
        <w:rPr>
          <w:rFonts w:ascii="Arial" w:cs="Arial" w:eastAsia="Arial" w:hAnsi="Arial"/>
          <w:sz w:val="19"/>
          <w:szCs w:val="19"/>
          <w:color w:val="auto"/>
        </w:rPr>
        <w:t>”), (ii) all vessels chartered-in by the Company or any of its Subsidiaries pursuant to charter arrangements (the “</w:t>
      </w:r>
      <w:r>
        <w:rPr>
          <w:rFonts w:ascii="Arial" w:cs="Arial" w:eastAsia="Arial" w:hAnsi="Arial"/>
          <w:sz w:val="19"/>
          <w:szCs w:val="19"/>
          <w:u w:val="single" w:color="auto"/>
          <w:color w:val="auto"/>
        </w:rPr>
        <w:t>Leased Vessels</w:t>
      </w:r>
      <w:r>
        <w:rPr>
          <w:rFonts w:ascii="Arial" w:cs="Arial" w:eastAsia="Arial" w:hAnsi="Arial"/>
          <w:sz w:val="19"/>
          <w:szCs w:val="19"/>
          <w:color w:val="auto"/>
        </w:rPr>
        <w:t>”) or</w:t>
      </w:r>
    </w:p>
    <w:p>
      <w:pPr>
        <w:spacing w:after="0" w:line="1" w:lineRule="exact"/>
        <w:rPr>
          <w:rFonts w:ascii="Arial" w:cs="Arial" w:eastAsia="Arial" w:hAnsi="Arial"/>
          <w:sz w:val="19"/>
          <w:szCs w:val="19"/>
          <w:color w:val="auto"/>
        </w:rPr>
      </w:pPr>
    </w:p>
    <w:p>
      <w:pPr>
        <w:jc w:val="both"/>
        <w:ind w:firstLine="8"/>
        <w:spacing w:after="0" w:line="246" w:lineRule="auto"/>
        <w:tabs>
          <w:tab w:leader="none" w:pos="403"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any other vessels in which the Company or any of its Subsidiaries have an ownership interest (together with the Wholly Owned Vessels and the Leased Vessels, the “</w:t>
      </w:r>
      <w:r>
        <w:rPr>
          <w:rFonts w:ascii="Arial" w:cs="Arial" w:eastAsia="Arial" w:hAnsi="Arial"/>
          <w:sz w:val="21"/>
          <w:szCs w:val="21"/>
          <w:u w:val="single" w:color="auto"/>
          <w:color w:val="auto"/>
        </w:rPr>
        <w:t>Vessels</w:t>
      </w:r>
      <w:r>
        <w:rPr>
          <w:rFonts w:ascii="Arial" w:cs="Arial" w:eastAsia="Arial" w:hAnsi="Arial"/>
          <w:sz w:val="21"/>
          <w:szCs w:val="21"/>
          <w:color w:val="auto"/>
        </w:rPr>
        <w:t>”), including the name, registered owner, capacity (dwt), gross tonnage, year built, classification society, official number, flag state, charterer (and whether such charterer is currently operating in the spot or time charter market) and manager (commercial or technical) of each Vessel.</w:t>
      </w:r>
    </w:p>
    <w:p>
      <w:pPr>
        <w:spacing w:after="0" w:line="206" w:lineRule="exact"/>
        <w:rPr>
          <w:rFonts w:ascii="Arial" w:cs="Arial" w:eastAsia="Arial" w:hAnsi="Arial"/>
          <w:sz w:val="21"/>
          <w:szCs w:val="21"/>
          <w:color w:val="auto"/>
        </w:rPr>
      </w:pPr>
    </w:p>
    <w:p>
      <w:pPr>
        <w:jc w:val="both"/>
        <w:ind w:firstLine="1304"/>
        <w:spacing w:after="0" w:line="273" w:lineRule="auto"/>
        <w:tabs>
          <w:tab w:leader="none" w:pos="1730" w:val="left"/>
        </w:tabs>
        <w:numPr>
          <w:ilvl w:val="1"/>
          <w:numId w:val="44"/>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be material to the Company and its Subsidiaries, taken as a whole, each Vessel is (i) seaworthy, (ii) has been class maintained without any outstanding conditions or recommendations that have not been complied with under the terms thereof, (iii) operated in compliance with all applicable Maritime Guidelines and Laws, (iv) has all national and international operating and trading certificates, each of which is valid, that are required for the operation of such Vessel in the trades and geographic areas in which it is operated, (v) properly registered in the name of the legal owner under and pursuant to the flag and law of each Vessel’s applicable country of flagship, and, to the Knowledge of the Company, all fees due and payable in connection with such registration have been paid and (vi) is supplied with spare parts at levels consistent with operational needs as reasonably determined by the Company or its Subsidiaries. Except as would not, individually or in the aggregate, reasonably be expected to have a Material Adverse Effect, each of the Company and its Subsidiaries are qualified to own and operate its Wholly Owned Vessels under applicable Laws, including the Laws of each Wholly Owned Vessel’s flag state.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4"/>
        <w:spacing w:after="0" w:line="287" w:lineRule="auto"/>
        <w:tabs>
          <w:tab w:leader="none" w:pos="1830" w:val="left"/>
        </w:tabs>
        <w:numPr>
          <w:ilvl w:val="1"/>
          <w:numId w:val="44"/>
        </w:numPr>
        <w:rPr>
          <w:rFonts w:ascii="Arial" w:cs="Arial" w:eastAsia="Arial" w:hAnsi="Arial"/>
          <w:sz w:val="19"/>
          <w:szCs w:val="19"/>
          <w:color w:val="auto"/>
        </w:rPr>
      </w:pPr>
      <w:r>
        <w:rPr>
          <w:rFonts w:ascii="Arial" w:cs="Arial" w:eastAsia="Arial" w:hAnsi="Arial"/>
          <w:sz w:val="19"/>
          <w:szCs w:val="19"/>
          <w:color w:val="auto"/>
        </w:rPr>
        <w:t>Each Vessel is classed by a classification society that is a member of the International Association of Classification Societies and possesses class and trading certificates that are free from overdue conditions or recommendations affecting class and that are valid through the date of this Agreement and, to the Knowledge of the Company, no event has occurred and no outstanding condition exists that would cause such Vessel’s class to be suspended or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1304"/>
        <w:spacing w:after="0" w:line="250" w:lineRule="auto"/>
        <w:tabs>
          <w:tab w:leader="none" w:pos="1687"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 Vessel (i) is under arrest or otherwise detained or (ii) other than in the ordinary course of business, is in possession of any Person (other than such Vessel’s master and crew).</w:t>
      </w:r>
    </w:p>
    <w:p>
      <w:pPr>
        <w:spacing w:after="0" w:line="201" w:lineRule="exact"/>
        <w:rPr>
          <w:rFonts w:ascii="Arial" w:cs="Arial" w:eastAsia="Arial" w:hAnsi="Arial"/>
          <w:sz w:val="22"/>
          <w:szCs w:val="22"/>
          <w:color w:val="auto"/>
        </w:rPr>
      </w:pPr>
    </w:p>
    <w:p>
      <w:pPr>
        <w:ind w:left="1660" w:hanging="356"/>
        <w:spacing w:after="0"/>
        <w:tabs>
          <w:tab w:leader="none" w:pos="1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the Knowledge of the Company, no blacklisting or boycotting of any type exists in respect of any Vessel.</w:t>
      </w:r>
    </w:p>
    <w:p>
      <w:pPr>
        <w:spacing w:after="0" w:line="267" w:lineRule="exact"/>
        <w:rPr>
          <w:rFonts w:ascii="Arial" w:cs="Arial" w:eastAsia="Arial" w:hAnsi="Arial"/>
          <w:sz w:val="19"/>
          <w:szCs w:val="19"/>
          <w:color w:val="auto"/>
        </w:rPr>
      </w:pPr>
    </w:p>
    <w:p>
      <w:pPr>
        <w:ind w:left="1680" w:hanging="376"/>
        <w:spacing w:after="0"/>
        <w:tabs>
          <w:tab w:leader="none" w:pos="16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There are no outstanding options or other rights to purchase any Vessel.</w:t>
      </w:r>
    </w:p>
    <w:p>
      <w:pPr>
        <w:spacing w:after="0" w:line="233" w:lineRule="exact"/>
        <w:rPr>
          <w:rFonts w:ascii="Arial" w:cs="Arial" w:eastAsia="Arial" w:hAnsi="Arial"/>
          <w:sz w:val="22"/>
          <w:szCs w:val="22"/>
          <w:color w:val="auto"/>
        </w:rPr>
      </w:pPr>
    </w:p>
    <w:p>
      <w:pPr>
        <w:jc w:val="both"/>
        <w:ind w:firstLine="1304"/>
        <w:spacing w:after="0"/>
        <w:tabs>
          <w:tab w:leader="none" w:pos="175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With respect to each of the Wholly Owned Vessels, either the Company or one of its Subsidiaries, as applicable, is the sole owner of each such Vessel and has good title to such Vessel free and clear of all Liens other than Permitted Liens.</w:t>
      </w:r>
    </w:p>
    <w:p>
      <w:pPr>
        <w:spacing w:after="0" w:line="21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Title to Properties and Assets</w:t>
      </w:r>
      <w:r>
        <w:rPr>
          <w:rFonts w:ascii="Arial" w:cs="Arial" w:eastAsia="Arial" w:hAnsi="Arial"/>
          <w:sz w:val="22"/>
          <w:szCs w:val="22"/>
          <w:color w:val="auto"/>
        </w:rPr>
        <w:t xml:space="preserve">. Except as would not, individually or in the aggregate, reasonably be expected to have a Material Adverse Effect, the Company and its Subsidiaries have good and valid title to, or, if applicable, valid leasehold interests in, or valid license or right to use, all of the Company’s and its Subsidiaries’ properties and assets (other than, in each case, Vessels, which are the subject of </w:t>
      </w:r>
      <w:r>
        <w:rPr>
          <w:rFonts w:ascii="Arial" w:cs="Arial" w:eastAsia="Arial" w:hAnsi="Arial"/>
          <w:sz w:val="22"/>
          <w:szCs w:val="22"/>
          <w:u w:val="single" w:color="auto"/>
          <w:color w:val="auto"/>
        </w:rPr>
        <w:t>Section 3.20</w:t>
      </w:r>
      <w:r>
        <w:rPr>
          <w:rFonts w:ascii="Arial" w:cs="Arial" w:eastAsia="Arial" w:hAnsi="Arial"/>
          <w:sz w:val="22"/>
          <w:szCs w:val="22"/>
          <w:color w:val="auto"/>
        </w:rPr>
        <w:t>), in each case as such property or asset is currently being used.</w:t>
      </w:r>
    </w:p>
    <w:p>
      <w:pPr>
        <w:spacing w:after="0" w:line="21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The Partnership</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4" w:lineRule="auto"/>
        <w:tabs>
          <w:tab w:leader="none" w:pos="168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As of the date hereof, the Company owns, directly or indirectly, (i) all of the general partner interest in the Partnership, (ii) 14,791,602 common units of the Partnership and (iii) 2,075,000 Class B units of the Partnership (collectively, the “</w:t>
      </w:r>
      <w:r>
        <w:rPr>
          <w:rFonts w:ascii="Arial" w:cs="Arial" w:eastAsia="Arial" w:hAnsi="Arial"/>
          <w:sz w:val="22"/>
          <w:szCs w:val="22"/>
          <w:u w:val="single" w:color="auto"/>
          <w:color w:val="auto"/>
        </w:rPr>
        <w:t>Partnership Units</w:t>
      </w:r>
      <w:r>
        <w:rPr>
          <w:rFonts w:ascii="Arial" w:cs="Arial" w:eastAsia="Arial" w:hAnsi="Arial"/>
          <w:sz w:val="22"/>
          <w:szCs w:val="22"/>
          <w:color w:val="auto"/>
        </w:rPr>
        <w:t>”). All of such Partnership Units, and all of the outstanding share capital or shares of capital stock of, or other equity or voting interests in the Subsidiaries of the Partnership that are owned by the Partnership, are owned, directly or indirectly, beneficially and of record, by the Company, free and clear of all Liens, except for Permitted Liens, and transfer restrictions, other than transfer restrictions of general applicability, as may be provided under the Securities Act or other applicable securities Laws.</w:t>
      </w:r>
    </w:p>
    <w:p>
      <w:pPr>
        <w:spacing w:after="0" w:line="217" w:lineRule="exact"/>
        <w:rPr>
          <w:rFonts w:ascii="Arial" w:cs="Arial" w:eastAsia="Arial" w:hAnsi="Arial"/>
          <w:sz w:val="22"/>
          <w:szCs w:val="22"/>
          <w:color w:val="auto"/>
        </w:rPr>
      </w:pPr>
    </w:p>
    <w:p>
      <w:pPr>
        <w:jc w:val="both"/>
        <w:ind w:firstLine="1304"/>
        <w:spacing w:after="0" w:line="272" w:lineRule="auto"/>
        <w:tabs>
          <w:tab w:leader="none" w:pos="1683"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Partnership has timely filed with the SEC all reports, schedules, forms, statements and other documents required to be filed by the Partnership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9"/>
          <w:szCs w:val="19"/>
          <w:u w:val="single" w:color="auto"/>
          <w:color w:val="auto"/>
        </w:rPr>
        <w:t>Partnership SEC Documents</w:t>
      </w:r>
      <w:r>
        <w:rPr>
          <w:rFonts w:ascii="Arial" w:cs="Arial" w:eastAsia="Arial" w:hAnsi="Arial"/>
          <w:sz w:val="19"/>
          <w:szCs w:val="19"/>
          <w:color w:val="auto"/>
        </w:rPr>
        <w:t>”). As of their respective effective dates (in the case of Partnership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Partnership SEC Documents), the Partnership SEC Documents complied as to form in all material respects with the requirements of the Securities Act or the Exchange Act, as the case may be, applicable to such Partnership SEC Documents, and none of the Partnership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necessary in order to make the statements therein, in light of the circumstances under which they were made, not misleading. As of the date of this Agreement, there are no outstanding written comments from the SEC with respect to the Partnership SEC Documents.</w:t>
      </w:r>
    </w:p>
    <w:p>
      <w:pPr>
        <w:spacing w:after="0" w:line="213" w:lineRule="exact"/>
        <w:rPr>
          <w:sz w:val="20"/>
          <w:szCs w:val="20"/>
          <w:color w:val="auto"/>
        </w:rPr>
      </w:pPr>
    </w:p>
    <w:p>
      <w:pPr>
        <w:jc w:val="both"/>
        <w:ind w:firstLine="1304"/>
        <w:spacing w:after="0" w:line="270" w:lineRule="auto"/>
        <w:tabs>
          <w:tab w:leader="none" w:pos="1727"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Partnership’s 2019 Form 20-F contains the following financial statements: the Partnership’s audited consolidated (i) statements of financial position as of January 1 and December 31, 2018 and December 31, 2019, (ii) statements of profit or loss and total comprehensive income or loss for the years ended December 31, 2017, 2018 and 2019, (iii) statements of changes in owners’/partners’ equity for the years ended December 31, 2017, 2018 and 2019 and (iv) statements of cash flows for the years ended December 31, 2017, 2018 and 2019. The Report of Foreign Private Issuer on Form 6-K filed with the SEC on November 10, 2020 contains the Partnership’s unaudited condensed consolidated (i) statements of financial position as of December 31, 2019 and September 30, 2020, (ii) statements of profits or loss and total comprehensive income for the three and nine months ended September 30, 2019 and 2020, (iii) statements of changes in owners’/partners’ equity for the nine months ended September 30, 2019 and 2020 and (iv)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9"/>
          <w:szCs w:val="19"/>
          <w:u w:val="single" w:color="auto"/>
          <w:color w:val="auto"/>
        </w:rPr>
        <w:t>Partnership Financial Statements</w:t>
      </w:r>
      <w:r>
        <w:rPr>
          <w:rFonts w:ascii="Arial" w:cs="Arial" w:eastAsia="Arial" w:hAnsi="Arial"/>
          <w:sz w:val="19"/>
          <w:szCs w:val="19"/>
          <w:color w:val="auto"/>
        </w:rPr>
        <w:t>.” The Partnership Financial Statements present fairly in all material respects the consolidated financial position of the Partnership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Partnership and its consolidated Subsidiaries, taken as a whole), and such Partnership Financial Statements have been prepared in all material respects in accordance with IFRS (except, in the case of unaudited financial statements, as permitted by the SEC rules and regulations) applied on a consistent basis during the periods involved (except as may be indicated in the notes thereto). Since the latest Partnership Financial Statements, there have been no material changes in the accounting policies of the Partnership (including any change in depreciation or amortization policies or rates, or policies with respect to reserves for uncollectable accounts receivable or excess or obsolete inventory) and no revaluation of the Partnership’s assets.</w:t>
      </w:r>
    </w:p>
    <w:p>
      <w:pPr>
        <w:spacing w:after="0" w:line="187" w:lineRule="exact"/>
        <w:rPr>
          <w:rFonts w:ascii="Arial" w:cs="Arial" w:eastAsia="Arial" w:hAnsi="Arial"/>
          <w:sz w:val="19"/>
          <w:szCs w:val="19"/>
          <w:color w:val="auto"/>
        </w:rPr>
      </w:pPr>
    </w:p>
    <w:p>
      <w:pPr>
        <w:jc w:val="both"/>
        <w:ind w:firstLine="1304"/>
        <w:spacing w:after="0" w:line="287" w:lineRule="auto"/>
        <w:tabs>
          <w:tab w:leader="none" w:pos="1687"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Partnership is in compliance in all material respects with the provisions of the Sarbanes-Oxley Act that are applicable to the Partnership. With respect to each Partnership SEC Document on Form 20-F, each of the principal executive officer and the principal financial officer of the Partnership has made all certifications required by Rule 13a-14 or 15d-14 under the Exchange Act and Sections 302 or 906 of the Sarbanes-Oxley Act with respect to such Partnership SEC Documents.</w:t>
      </w:r>
    </w:p>
    <w:p>
      <w:pPr>
        <w:spacing w:after="0" w:line="169" w:lineRule="exact"/>
        <w:rPr>
          <w:rFonts w:ascii="Arial" w:cs="Arial" w:eastAsia="Arial" w:hAnsi="Arial"/>
          <w:sz w:val="19"/>
          <w:szCs w:val="19"/>
          <w:color w:val="auto"/>
        </w:rPr>
      </w:pPr>
    </w:p>
    <w:p>
      <w:pPr>
        <w:jc w:val="both"/>
        <w:ind w:firstLine="1304"/>
        <w:spacing w:after="0" w:line="273" w:lineRule="auto"/>
        <w:tabs>
          <w:tab w:leader="none" w:pos="165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Partnership maintains books and records that fairly reflect in all material respects the assets and liabilities of the Partnership and the Partnership maintains a proper and effective system of accounting controls designed to provide reasonable assurances that (i) transactions are executed in accordance with management’s general or specific authorizations;</w:t>
      </w:r>
    </w:p>
    <w:p>
      <w:pPr>
        <w:spacing w:after="0" w:line="1" w:lineRule="exact"/>
        <w:rPr>
          <w:rFonts w:ascii="Arial" w:cs="Arial" w:eastAsia="Arial" w:hAnsi="Arial"/>
          <w:sz w:val="19"/>
          <w:szCs w:val="19"/>
          <w:color w:val="auto"/>
        </w:rPr>
      </w:pPr>
    </w:p>
    <w:p>
      <w:pPr>
        <w:jc w:val="both"/>
        <w:ind w:firstLine="8"/>
        <w:spacing w:after="0" w:line="234" w:lineRule="auto"/>
        <w:tabs>
          <w:tab w:leader="none" w:pos="34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transactions are recorded as necessary to permit preparation of the consolidated financial statements of the Partnership in conformity with IFRS and to maintain asset accountability; (iii) access to assets is permitted only in accordance with management’s general or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authorization; and (iv) the reporting of assets is compared with existing assets at reasonable intervals, and appropriate action is taken with respect to any differences.</w:t>
      </w:r>
    </w:p>
    <w:p>
      <w:pPr>
        <w:spacing w:after="0" w:line="202" w:lineRule="exact"/>
        <w:rPr>
          <w:sz w:val="20"/>
          <w:szCs w:val="20"/>
          <w:color w:val="auto"/>
        </w:rPr>
      </w:pPr>
    </w:p>
    <w:p>
      <w:pPr>
        <w:jc w:val="both"/>
        <w:ind w:firstLine="1304"/>
        <w:spacing w:after="0" w:line="234" w:lineRule="auto"/>
        <w:tabs>
          <w:tab w:leader="none" w:pos="1849" w:val="left"/>
        </w:tabs>
        <w:numPr>
          <w:ilvl w:val="0"/>
          <w:numId w:val="49"/>
        </w:numPr>
        <w:rPr>
          <w:rFonts w:ascii="Arial" w:cs="Arial" w:eastAsia="Arial" w:hAnsi="Arial"/>
          <w:sz w:val="22"/>
          <w:szCs w:val="22"/>
          <w:color w:val="auto"/>
        </w:rPr>
      </w:pPr>
      <w:r>
        <w:rPr>
          <w:rFonts w:ascii="Arial" w:cs="Arial" w:eastAsia="Arial" w:hAnsi="Arial"/>
          <w:sz w:val="22"/>
          <w:szCs w:val="22"/>
          <w:color w:val="auto"/>
        </w:rPr>
        <w:t>Since January 1, 2019, neither the Partnership nor any director, officer or accountant (to the extent communicated to the Partnership) thereof, has received any material complaint, allegation, assertion or claim, whether written or oral, that (i) the Partnership has engaged in illegal or fraudulent accounting practices, (ii) there are any significant deficiencies or material weaknesses in the design or operation of the internal controls of the Partnership which have materially and adversely affected the ability of the Partnership to record, process, summarize and report financial data or (iii) there is any fraud, whether or not material, involving management or other employees that was reported to the Partnership Board or management of the Partnership.</w:t>
      </w:r>
    </w:p>
    <w:p>
      <w:pPr>
        <w:spacing w:after="0" w:line="217" w:lineRule="exact"/>
        <w:rPr>
          <w:rFonts w:ascii="Arial" w:cs="Arial" w:eastAsia="Arial" w:hAnsi="Arial"/>
          <w:sz w:val="22"/>
          <w:szCs w:val="22"/>
          <w:color w:val="auto"/>
        </w:rPr>
      </w:pPr>
    </w:p>
    <w:p>
      <w:pPr>
        <w:jc w:val="both"/>
        <w:ind w:firstLine="1304"/>
        <w:spacing w:after="0" w:line="246" w:lineRule="auto"/>
        <w:tabs>
          <w:tab w:leader="none" w:pos="1672" w:val="left"/>
        </w:tabs>
        <w:numPr>
          <w:ilvl w:val="0"/>
          <w:numId w:val="49"/>
        </w:numPr>
        <w:rPr>
          <w:rFonts w:ascii="Arial" w:cs="Arial" w:eastAsia="Arial" w:hAnsi="Arial"/>
          <w:sz w:val="21"/>
          <w:szCs w:val="21"/>
          <w:color w:val="auto"/>
        </w:rPr>
      </w:pPr>
      <w:r>
        <w:rPr>
          <w:rFonts w:ascii="Arial" w:cs="Arial" w:eastAsia="Arial" w:hAnsi="Arial"/>
          <w:sz w:val="21"/>
          <w:szCs w:val="21"/>
          <w:color w:val="auto"/>
        </w:rPr>
        <w:t>Neither the Partnership nor any of its Subsidiaries is a party to, or has any commitment to become a party to, any joint venture, off-balance sheet partnership or any similar Contract (including any Contract or arrangement relating to any transaction or relationship between or among the Partnership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Partnership in the Partnership’s published financial statements or any Partnership SEC Documents.</w:t>
      </w:r>
    </w:p>
    <w:p>
      <w:pPr>
        <w:spacing w:after="0" w:line="211" w:lineRule="exact"/>
        <w:rPr>
          <w:rFonts w:ascii="Arial" w:cs="Arial" w:eastAsia="Arial" w:hAnsi="Arial"/>
          <w:sz w:val="21"/>
          <w:szCs w:val="21"/>
          <w:color w:val="auto"/>
        </w:rPr>
      </w:pPr>
    </w:p>
    <w:p>
      <w:pPr>
        <w:jc w:val="both"/>
        <w:ind w:firstLine="1304"/>
        <w:spacing w:after="0"/>
        <w:tabs>
          <w:tab w:leader="none" w:pos="168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has not made or caused the general partner of the Partnership to make a “Surrender Election” (as such term is defined in the Seventh Amended and Restated Agreement of Limited Partnership, dated as of August 5, 2020, as it may be further amended, restated, modified or supplemented).</w:t>
      </w:r>
    </w:p>
    <w:p>
      <w:pPr>
        <w:spacing w:after="0" w:line="213" w:lineRule="exact"/>
        <w:rPr>
          <w:rFonts w:ascii="Arial" w:cs="Arial" w:eastAsia="Arial" w:hAnsi="Arial"/>
          <w:sz w:val="22"/>
          <w:szCs w:val="22"/>
          <w:color w:val="auto"/>
        </w:rPr>
      </w:pPr>
    </w:p>
    <w:p>
      <w:pPr>
        <w:jc w:val="both"/>
        <w:ind w:firstLine="1304"/>
        <w:spacing w:after="0" w:line="245" w:lineRule="auto"/>
        <w:tabs>
          <w:tab w:leader="none" w:pos="1657"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minute books of the Partnership are accurate and complete in all material respects, except for minutes which are in draft form and are being finalized in accordance with the Partnership’s customary practice, and contain records of all partnership action taken by the Partnership’s unitholders, the Partnership Board, and committees of the Partnership Board, respectively, since January 1, 2019 and no material partnership action of the Partnership’s unitholders, Partnership Board or committee of the Partnership Board has been taken since such date for which minutes have not been prepared and are not contained in such minute books, other than as may be set forth in minutes which are in draft form and are being finalized in accordance with the Partnership’s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21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3.23. </w:t>
      </w:r>
      <w:r>
        <w:rPr>
          <w:rFonts w:ascii="Arial" w:cs="Arial" w:eastAsia="Arial" w:hAnsi="Arial"/>
          <w:sz w:val="22"/>
          <w:szCs w:val="22"/>
          <w:u w:val="single" w:color="auto"/>
          <w:color w:val="auto"/>
        </w:rPr>
        <w:t>Joint Venture Agreements</w:t>
      </w:r>
      <w:r>
        <w:rPr>
          <w:rFonts w:ascii="Arial" w:cs="Arial" w:eastAsia="Arial" w:hAnsi="Arial"/>
          <w:sz w:val="22"/>
          <w:szCs w:val="22"/>
          <w:color w:val="auto"/>
        </w:rPr>
        <w:t>. As of the date of this Agreement, to the Knowledge of the Company, (a) each agreement pursuant to which any Joint Venture Entity is a party (the “</w:t>
      </w:r>
      <w:r>
        <w:rPr>
          <w:rFonts w:ascii="Arial" w:cs="Arial" w:eastAsia="Arial" w:hAnsi="Arial"/>
          <w:sz w:val="22"/>
          <w:szCs w:val="22"/>
          <w:u w:val="single" w:color="auto"/>
          <w:color w:val="auto"/>
        </w:rPr>
        <w:t>Joint Venture Contracts</w:t>
      </w:r>
      <w:r>
        <w:rPr>
          <w:rFonts w:ascii="Arial" w:cs="Arial" w:eastAsia="Arial" w:hAnsi="Arial"/>
          <w:sz w:val="22"/>
          <w:szCs w:val="22"/>
          <w:color w:val="auto"/>
        </w:rPr>
        <w:t>”) is valid and binding on the applicable Joint Venture Entity and each other party thereto, and is in full force and effect, (b) the applicable Joint Venture Entity, and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or both, will constitute, a default on the part of such Joint Venture Entity under any Joint Venture Contract, except where such default would not reasonably be expected to have, individually or in the aggregate, a Material Adverse Effect and (d)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21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SECTION 3.24. </w:t>
      </w:r>
      <w:r>
        <w:rPr>
          <w:rFonts w:ascii="Arial" w:cs="Arial" w:eastAsia="Arial" w:hAnsi="Arial"/>
          <w:sz w:val="19"/>
          <w:szCs w:val="19"/>
          <w:u w:val="single" w:color="auto"/>
          <w:color w:val="auto"/>
        </w:rPr>
        <w:t>Customers</w:t>
      </w:r>
      <w:r>
        <w:rPr>
          <w:rFonts w:ascii="Arial" w:cs="Arial" w:eastAsia="Arial" w:hAnsi="Arial"/>
          <w:sz w:val="19"/>
          <w:szCs w:val="19"/>
          <w:color w:val="auto"/>
        </w:rPr>
        <w:t>. Section 3.24 of the Company Disclosure Letter sets forth a true and complete list of each customer who was one of the ten largest sources of revenue for the Company and its Subsidiaries during the fiscal year ended December 31, 2020, based on amounts paid or payable (each, a “</w:t>
      </w:r>
      <w:r>
        <w:rPr>
          <w:rFonts w:ascii="Arial" w:cs="Arial" w:eastAsia="Arial" w:hAnsi="Arial"/>
          <w:sz w:val="19"/>
          <w:szCs w:val="19"/>
          <w:u w:val="single" w:color="auto"/>
          <w:color w:val="auto"/>
        </w:rPr>
        <w:t>Significant Customer</w:t>
      </w:r>
      <w:r>
        <w:rPr>
          <w:rFonts w:ascii="Arial" w:cs="Arial" w:eastAsia="Arial" w:hAnsi="Arial"/>
          <w:sz w:val="19"/>
          <w:szCs w:val="19"/>
          <w:color w:val="auto"/>
        </w:rPr>
        <w:t>”). From January 1, 2020 until the date of this Agreement, neither the Company nor any of its Subsidiaries have received written notice or, to the Knowledge of the Company, any other notice, from any Significant Customer that it intends to (a) terminate its relationship with the Company or its Subsidiaries or (b) seek to change, materially and adversely, the terms and conditions of the time charter or time charters under which it charters any Vessel or Vessels from the Company or its Subsidiaries.</w:t>
      </w:r>
    </w:p>
    <w:p>
      <w:pPr>
        <w:spacing w:after="0" w:line="179"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auto"/>
        </w:rPr>
        <w:t>SECTION 3.25.</w:t>
      </w:r>
      <w:r>
        <w:rPr>
          <w:sz w:val="20"/>
          <w:szCs w:val="20"/>
          <w:color w:val="auto"/>
        </w:rPr>
        <w:tab/>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2" w:lineRule="auto"/>
        <w:tabs>
          <w:tab w:leader="none" w:pos="1673"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expressly made by the Company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neither the Company nor any of its Subsidiaries, nor any other Person, has made or is making any other express or implied representation or warranty with respect to the Company or any of its Subsidiaries or Joint Venture Entities or their respective businesses, operations, assets, liabilities, condition (financial or otherwise) or prospects, notwithstanding the delivery or disclosure to Parent, Merger Sub or any of their respective Representatives or Affiliates of any documentation, forecasts or other information with respect to any one or more of the foregoing, and each of Parent and Merger Sub acknowledge the foregoing. In particular, and without limiting the generality of the foregoing, except for the representations and warranties expressly made by the Company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neither the Company nor any other Person makes or has made any express or implied representation or warranty to Parent, Merger Sub or any of their respective Representatives or Affiliates with respect to (i) any financial projection, forecast, estimate, budget or prospective information relating to the Company, any of its Subsidiaries or Joint Venture Entities or their respective businesses or (ii) any oral, written or other information presented or provided to Parent, Merger Sub or any of their respective Representatives or Affiliates in the course of their due diligence investigation of the Company and its Subsidiaries, the negotiation of this Agreement or the course of the Transactions.</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656"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Agreement, the Company acknowledges and agrees that neither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Arial" w:cs="Arial" w:eastAsia="Arial" w:hAnsi="Arial"/>
          <w:sz w:val="21"/>
          <w:szCs w:val="21"/>
          <w:u w:val="single" w:color="auto"/>
          <w:color w:val="auto"/>
        </w:rPr>
        <w:t>Article IV</w:t>
      </w:r>
      <w:r>
        <w:rPr>
          <w:rFonts w:ascii="Arial" w:cs="Arial" w:eastAsia="Arial" w:hAnsi="Arial"/>
          <w:sz w:val="21"/>
          <w:szCs w:val="21"/>
          <w:color w:val="auto"/>
        </w:rPr>
        <w:t>, including any implied representation or warranty as to the accuracy or completeness of any information regarding Parent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Subsidiaries furnished or made available to the Company or any of its Representatives and that the Company has not relied on any such other representation or warranty not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of Parent and Merger Sub</w:t>
      </w:r>
    </w:p>
    <w:p>
      <w:pPr>
        <w:spacing w:after="0" w:line="233"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Parent and Merger Sub jointly and severally represent and warrant to the Company that, except as set forth in the disclosure letter delivered by Parent to the Company on the date of this Agreement (the “</w:t>
      </w:r>
      <w:r>
        <w:rPr>
          <w:rFonts w:ascii="Arial" w:cs="Arial" w:eastAsia="Arial" w:hAnsi="Arial"/>
          <w:sz w:val="19"/>
          <w:szCs w:val="19"/>
          <w:u w:val="single" w:color="auto"/>
          <w:color w:val="auto"/>
        </w:rPr>
        <w:t>Parent Disclosure Letter</w:t>
      </w:r>
      <w:r>
        <w:rPr>
          <w:rFonts w:ascii="Arial" w:cs="Arial" w:eastAsia="Arial" w:hAnsi="Arial"/>
          <w:sz w:val="19"/>
          <w:szCs w:val="19"/>
          <w:color w:val="auto"/>
        </w:rPr>
        <w:t>”) (it being understood that any information, item or matter set forth on one section or subsection of the Parent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Organization; Standing</w:t>
      </w:r>
      <w:r>
        <w:rPr>
          <w:rFonts w:ascii="Arial" w:cs="Arial" w:eastAsia="Arial" w:hAnsi="Arial"/>
          <w:sz w:val="19"/>
          <w:szCs w:val="19"/>
          <w:color w:val="auto"/>
        </w:rPr>
        <w:t>. Parent is an exempted limited partnership duly organized, validly existing and in good standing under the Laws of the Cayman Islands and Merger Sub is an exempted company organized, existing and in good standing under the Laws of Bermuda. Each of Parent and Merger Sub has all requisite power and authority necessary to carry on its business as it is now being conducted, except as would not, individually or in the aggregate, reasonably be expected to have a Parent Material Adverse Effect. Each of Parent and Merger Sub is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w:t>
      </w:r>
    </w:p>
    <w:p>
      <w:pPr>
        <w:spacing w:after="0" w:line="185" w:lineRule="exact"/>
        <w:rPr>
          <w:sz w:val="20"/>
          <w:szCs w:val="20"/>
          <w:color w:val="auto"/>
        </w:rPr>
      </w:pPr>
    </w:p>
    <w:p>
      <w:pPr>
        <w:ind w:left="1300"/>
        <w:spacing w:after="0"/>
        <w:tabs>
          <w:tab w:leader="none" w:pos="31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Authority; Noncontravention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2" w:lineRule="auto"/>
        <w:tabs>
          <w:tab w:leader="none" w:pos="1668"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of Parent and Merger Sub has all necessary power and authority to execute and deliver this Agreement and the Statutory Merger Agreement and to perform its obligations hereunder and, subject to obtaining the Merger Sub Shareholder Approval, to consummate the Transactions. The execution, delivery and performance by Parent and Merger Sub of this Agreement and the Statutory Merger Agreement, and the consummation by Parent and Merger Sub of the Transactions, have been unanimously authorized and approved by each of the Parent GP and the Merger Sub Board, as applicable, and, except for executing and delivering the Statutory Merger Agreement, filing the Merger Application with the Registrar pursuant to the Bermuda Companies Act and obtaining the Merger Sub Shareholder Approval (which approval shall be provided by the written consent of Parent as promptly as practicable following the execution of this Agreement) and Governmental Approvals, no other action (including any shareholder vote or other action) on the part of Parent or Merger Sub is necessary to authorize the execution, delivery and performance by Parent and Merger Sub of this Agreement and the Statutory Merger Agreement and the consummation by Parent and Merger Sub of the Transactions. This Agreement has been duly and validly executed and delivered by Parent and Merger Sub and, assuming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authorization, execution and delivery hereof by the Company, constitutes a legal, valid and binding obligation of each of Parent and Merger Sub, enforceable against each of them in accordance with its terms, except that such enforceability may be limited by and is subject to the Bankruptcy and Equity Exception.</w:t>
      </w:r>
    </w:p>
    <w:p>
      <w:pPr>
        <w:spacing w:after="0" w:line="213" w:lineRule="exact"/>
        <w:rPr>
          <w:sz w:val="20"/>
          <w:szCs w:val="20"/>
          <w:color w:val="auto"/>
        </w:rPr>
      </w:pPr>
    </w:p>
    <w:p>
      <w:pPr>
        <w:jc w:val="both"/>
        <w:ind w:firstLine="1304"/>
        <w:spacing w:after="0" w:line="249" w:lineRule="auto"/>
        <w:tabs>
          <w:tab w:leader="none" w:pos="1722"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Parent GP has, and the Merger Sub Board has unanimously, (i) determined that this Agreement, the Statutory Merger Agreement and the Transactions, including the Merger, on the terms and subject to the conditions set forth herein, are fair to, and in the best interest of, Parent and Merger Sub and (ii) adopted resolutions that have approved and declared advisable this Agreement, the Statutory Merger Agreement and the Transactions, and, as of the date of this Agreement, such resolutions have not been subsequently rescinded, modified or withdrawn in any way.</w:t>
      </w:r>
    </w:p>
    <w:p>
      <w:pPr>
        <w:spacing w:after="0" w:line="205" w:lineRule="exact"/>
        <w:rPr>
          <w:rFonts w:ascii="Arial" w:cs="Arial" w:eastAsia="Arial" w:hAnsi="Arial"/>
          <w:sz w:val="21"/>
          <w:szCs w:val="21"/>
          <w:color w:val="auto"/>
        </w:rPr>
      </w:pPr>
    </w:p>
    <w:p>
      <w:pPr>
        <w:jc w:val="both"/>
        <w:ind w:firstLine="1304"/>
        <w:spacing w:after="0" w:line="269" w:lineRule="auto"/>
        <w:tabs>
          <w:tab w:leader="none" w:pos="1683"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certificates or articles of incorporation, memorandum of association, bye-laws or other comparable charter or organizational documents of (A) Parent or Merger Sub or (B) any of Parent’s other Subsidiaries or (ii) assuming that the Governmental Approvals and, in the case of Merger Sub, the Merger Sub Shareholder Approval are obtained, the filings referred to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are made and any waiting periods thereunder have terminated or expired, in each case prior to the Effective Time, (w) violate any Law applicable to Parent or Merger Sub,</w:t>
      </w:r>
    </w:p>
    <w:p>
      <w:pPr>
        <w:spacing w:after="0" w:line="4" w:lineRule="exact"/>
        <w:rPr>
          <w:rFonts w:ascii="Arial" w:cs="Arial" w:eastAsia="Arial" w:hAnsi="Arial"/>
          <w:sz w:val="19"/>
          <w:szCs w:val="19"/>
          <w:color w:val="auto"/>
        </w:rPr>
      </w:pPr>
    </w:p>
    <w:p>
      <w:pPr>
        <w:jc w:val="both"/>
        <w:ind w:firstLine="8"/>
        <w:spacing w:after="0" w:line="243" w:lineRule="auto"/>
        <w:tabs>
          <w:tab w:leader="none" w:pos="307"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violate or constitute a default under (with or without notice of lapse of time or both) any of the terms, conditions or provisions of any Contract to which Parent or any of its Subsidiaries, as applicable, are bound or give rise to any right to terminate, cancel, amend, modify or accelerate Parent’s or, if applicable, any of its Subsidiaries’, rights or obligations under any such Contract, (y) give rise to any right of first refusal, preemptive right, tag-along right, transfer right or other similar right of any other party to a Contract to which Parent or any of its Subsidiaries is bound or (z) result in the creation of any Lien on any properties or assets of Parent or any of its Subsidiaries, except, in the case of </w:t>
      </w:r>
      <w:r>
        <w:rPr>
          <w:rFonts w:ascii="Arial" w:cs="Arial" w:eastAsia="Arial" w:hAnsi="Arial"/>
          <w:sz w:val="21"/>
          <w:szCs w:val="21"/>
          <w:u w:val="single" w:color="auto"/>
          <w:color w:val="auto"/>
        </w:rPr>
        <w:t>clauses (i)(B)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as would not, individually or in the aggregate, reasonably be expected to have a Parent Material Adverse Effect.</w:t>
      </w:r>
    </w:p>
    <w:p>
      <w:pPr>
        <w:spacing w:after="0" w:line="214" w:lineRule="exact"/>
        <w:rPr>
          <w:rFonts w:ascii="Arial" w:cs="Arial" w:eastAsia="Arial" w:hAnsi="Arial"/>
          <w:sz w:val="21"/>
          <w:szCs w:val="21"/>
          <w:color w:val="auto"/>
        </w:rPr>
      </w:pPr>
    </w:p>
    <w:p>
      <w:pPr>
        <w:jc w:val="both"/>
        <w:ind w:firstLine="1304"/>
        <w:spacing w:after="0"/>
        <w:tabs>
          <w:tab w:leader="none" w:pos="1672" w:val="left"/>
        </w:tabs>
        <w:numPr>
          <w:ilvl w:val="1"/>
          <w:numId w:val="53"/>
        </w:numPr>
        <w:rPr>
          <w:rFonts w:ascii="Arial" w:cs="Arial" w:eastAsia="Arial" w:hAnsi="Arial"/>
          <w:sz w:val="22"/>
          <w:szCs w:val="22"/>
          <w:color w:val="auto"/>
        </w:rPr>
      </w:pPr>
      <w:r>
        <w:rPr>
          <w:rFonts w:ascii="Arial" w:cs="Arial" w:eastAsia="Arial" w:hAnsi="Arial"/>
          <w:sz w:val="22"/>
          <w:szCs w:val="22"/>
          <w:color w:val="auto"/>
        </w:rPr>
        <w:t xml:space="preserve">The Merger Sub Shareholder Approval (which approval shall be provided by the written consent of Parent as contemplated by </w:t>
      </w:r>
      <w:r>
        <w:rPr>
          <w:rFonts w:ascii="Arial" w:cs="Arial" w:eastAsia="Arial" w:hAnsi="Arial"/>
          <w:sz w:val="22"/>
          <w:szCs w:val="22"/>
          <w:u w:val="single" w:color="auto"/>
          <w:color w:val="auto"/>
        </w:rPr>
        <w:t>Section 5.11</w:t>
      </w:r>
      <w:r>
        <w:rPr>
          <w:rFonts w:ascii="Arial" w:cs="Arial" w:eastAsia="Arial" w:hAnsi="Arial"/>
          <w:sz w:val="22"/>
          <w:szCs w:val="22"/>
          <w:color w:val="auto"/>
        </w:rPr>
        <w:t>) is the only vote or approval of the holders of any class or series of shares of Merger Sub that is necessary to approve this Agreement, the Statutory Merger Agreement and the Merger.</w:t>
      </w:r>
    </w:p>
    <w:p>
      <w:pPr>
        <w:spacing w:after="0" w:line="21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Governmental Approvals</w:t>
      </w:r>
      <w:r>
        <w:rPr>
          <w:rFonts w:ascii="Arial" w:cs="Arial" w:eastAsia="Arial" w:hAnsi="Arial"/>
          <w:sz w:val="19"/>
          <w:szCs w:val="19"/>
          <w:color w:val="auto"/>
        </w:rPr>
        <w:t>. Except for (a) compliance with the applicable requirements of the Exchange Act, including the filing with the SEC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ind w:left="11100"/>
        <w:spacing w:after="0"/>
        <w:rPr>
          <w:sz w:val="20"/>
          <w:szCs w:val="20"/>
          <w:color w:val="auto"/>
        </w:rPr>
      </w:pPr>
      <w:r>
        <w:rPr>
          <w:rFonts w:ascii="Arial" w:cs="Arial" w:eastAsia="Arial" w:hAnsi="Arial"/>
          <w:sz w:val="12"/>
          <w:szCs w:val="1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filings, declarations or registrations that, if not obtained, made or given, would not, individually or in the aggregate, reasonably be expected to have a Parent Material Adverse Effect.</w:t>
      </w:r>
    </w:p>
    <w:p>
      <w:pPr>
        <w:spacing w:after="0" w:line="20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Ownership and Operations of Merger Sub</w:t>
      </w:r>
      <w:r>
        <w:rPr>
          <w:rFonts w:ascii="Arial" w:cs="Arial" w:eastAsia="Arial" w:hAnsi="Arial"/>
          <w:sz w:val="22"/>
          <w:szCs w:val="22"/>
          <w:color w:val="auto"/>
        </w:rPr>
        <w:t>. Parent owns beneficially and of record all of the issued and outstanding shares of Merger Sub, free and clear of all Liens. Merger Sub was formed solely for the purpose of engaging in the Transactions, has no assets, liabilities or obligations of any nature other than those incidental to its formation and those in furtherance of the Transactions, and prior to the Effective Time, will not have engaged in any business activities other than those relating to the Transactions.</w:t>
      </w:r>
    </w:p>
    <w:p>
      <w:pPr>
        <w:spacing w:after="0" w:line="21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u w:val="single" w:color="auto"/>
          <w:color w:val="auto"/>
        </w:rPr>
        <w:t>Financing</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4" w:lineRule="auto"/>
        <w:tabs>
          <w:tab w:leader="none" w:pos="1672" w:val="left"/>
        </w:tabs>
        <w:numPr>
          <w:ilvl w:val="0"/>
          <w:numId w:val="54"/>
        </w:numPr>
        <w:rPr>
          <w:rFonts w:ascii="Arial" w:cs="Arial" w:eastAsia="Arial" w:hAnsi="Arial"/>
          <w:sz w:val="21"/>
          <w:szCs w:val="21"/>
          <w:color w:val="auto"/>
        </w:rPr>
      </w:pPr>
      <w:r>
        <w:rPr>
          <w:rFonts w:ascii="Arial" w:cs="Arial" w:eastAsia="Arial" w:hAnsi="Arial"/>
          <w:sz w:val="21"/>
          <w:szCs w:val="21"/>
          <w:color w:val="auto"/>
        </w:rPr>
        <w:t>Parent has delivered to the Company a true and complete copy of a fully executed equity commitment letter dated as of the date hereof, together with all schedules, exhibits, annexes and term sheets attached thereto (the “</w:t>
      </w:r>
      <w:r>
        <w:rPr>
          <w:rFonts w:ascii="Arial" w:cs="Arial" w:eastAsia="Arial" w:hAnsi="Arial"/>
          <w:sz w:val="21"/>
          <w:szCs w:val="21"/>
          <w:u w:val="single" w:color="auto"/>
          <w:color w:val="auto"/>
        </w:rPr>
        <w:t>Equity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Commitment Letter</w:t>
      </w:r>
      <w:r>
        <w:rPr>
          <w:rFonts w:ascii="Arial" w:cs="Arial" w:eastAsia="Arial" w:hAnsi="Arial"/>
          <w:sz w:val="21"/>
          <w:szCs w:val="21"/>
          <w:color w:val="auto"/>
        </w:rPr>
        <w:t>”), from the Guarantor to Parent and Merger Sub providing for an equity investment in Parent, subject to the terms and conditions therein, in the aggregate amount set forth therein (the “</w:t>
      </w:r>
      <w:r>
        <w:rPr>
          <w:rFonts w:ascii="Arial" w:cs="Arial" w:eastAsia="Arial" w:hAnsi="Arial"/>
          <w:sz w:val="21"/>
          <w:szCs w:val="21"/>
          <w:u w:val="single" w:color="auto"/>
          <w:color w:val="auto"/>
        </w:rPr>
        <w:t>Equity Financing</w:t>
      </w:r>
      <w:r>
        <w:rPr>
          <w:rFonts w:ascii="Arial" w:cs="Arial" w:eastAsia="Arial" w:hAnsi="Arial"/>
          <w:sz w:val="21"/>
          <w:szCs w:val="21"/>
          <w:color w:val="auto"/>
        </w:rPr>
        <w:t xml:space="preserve">”). As of the date of this Agreement, the Equity Commitment Letter in the form delivered to the Company has not been amended or modified, no such amendment or modification is contemplated and none of the obligations and commitments contained in such Equity Commitment Letter have been withdrawn, terminated or rescinded in any respect and no such withdrawal, termination or rescission is contemplated. Assuming the Equity Financing is funded in accordance with the Equity Commitment Letter and the accuracy of the representations and warranties set forth in </w:t>
      </w:r>
      <w:r>
        <w:rPr>
          <w:rFonts w:ascii="Arial" w:cs="Arial" w:eastAsia="Arial" w:hAnsi="Arial"/>
          <w:sz w:val="21"/>
          <w:szCs w:val="21"/>
          <w:u w:val="single" w:color="auto"/>
          <w:color w:val="auto"/>
        </w:rPr>
        <w:t>Section 3.02(a)</w:t>
      </w:r>
      <w:r>
        <w:rPr>
          <w:rFonts w:ascii="Arial" w:cs="Arial" w:eastAsia="Arial" w:hAnsi="Arial"/>
          <w:sz w:val="21"/>
          <w:szCs w:val="21"/>
          <w:color w:val="auto"/>
        </w:rPr>
        <w:t xml:space="preserve"> and compliance by the Company with </w:t>
      </w:r>
      <w:r>
        <w:rPr>
          <w:rFonts w:ascii="Arial" w:cs="Arial" w:eastAsia="Arial" w:hAnsi="Arial"/>
          <w:sz w:val="21"/>
          <w:szCs w:val="21"/>
          <w:u w:val="single" w:color="auto"/>
          <w:color w:val="auto"/>
        </w:rPr>
        <w:t>Section 5.01(b)(i)</w:t>
      </w:r>
      <w:r>
        <w:rPr>
          <w:rFonts w:ascii="Arial" w:cs="Arial" w:eastAsia="Arial" w:hAnsi="Arial"/>
          <w:sz w:val="21"/>
          <w:szCs w:val="21"/>
          <w:color w:val="auto"/>
        </w:rPr>
        <w:t>, the net proceeds contemplated by the Equity Commitment Letter will in the aggregate be sufficient for Parent and Merger Sub to pay the aggregate Merger Consideration and any other amount required to be paid by Parent or Merger Sub in connection with the consummation of the Transactions.</w:t>
      </w:r>
    </w:p>
    <w:p>
      <w:pPr>
        <w:spacing w:after="0" w:line="212" w:lineRule="exact"/>
        <w:rPr>
          <w:rFonts w:ascii="Arial" w:cs="Arial" w:eastAsia="Arial" w:hAnsi="Arial"/>
          <w:sz w:val="21"/>
          <w:szCs w:val="21"/>
          <w:color w:val="auto"/>
        </w:rPr>
      </w:pPr>
    </w:p>
    <w:p>
      <w:pPr>
        <w:jc w:val="both"/>
        <w:ind w:firstLine="1304"/>
        <w:spacing w:after="0" w:line="271" w:lineRule="auto"/>
        <w:tabs>
          <w:tab w:leader="none" w:pos="1716"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Equity Commitment Letter is in full force and effect and is the legal, valid, binding and enforceable obligation of Parent and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on the part of any party to the Equity Commitment Letter or otherwise result in any portion of the Equity Financing contemplated hereby being unavailable or delayed. As of the date of this Agreement, and assuming the satisfaction of (i) the conditions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the performance by the Company of its obligations under this Agreement and (ii) the conditions precedent or other contingencies related to the obligations of the Guarantor to fund the full amount of the Equity Financing set forth in the Equity Commitment Letter, Parent does not have any reason to believe that any party to the Equity Commitment Letter will be unable to satisfy on a timely basis any term or condition of the Equity Commitment Letter required to be satisfied by it, that the conditions to the Equity Financing in the Equity Commitment Letter will not otherwise be satisfied or that the full amount of the Equity Financing will not be available on the Closing Date. The only conditions precedent or other contingencies related to the obligations of the Guarantor to fund the full amount of the Equity Financing are those expressly set forth in the Equity Commitment Letter. As of the date of this Agreement, there are no side letters or other Contracts, arrangements or understandings (whether oral or written and whether or not legally binding) or commitments to enter into side letters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ind w:left="11100"/>
        <w:spacing w:after="0"/>
        <w:rPr>
          <w:sz w:val="20"/>
          <w:szCs w:val="20"/>
          <w:color w:val="auto"/>
        </w:rPr>
      </w:pPr>
      <w:r>
        <w:rPr>
          <w:rFonts w:ascii="Arial" w:cs="Arial" w:eastAsia="Arial" w:hAnsi="Arial"/>
          <w:sz w:val="12"/>
          <w:szCs w:val="1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other Contracts, arrangements or understandings (whether oral or written and whether or not legally binding) to which Parent or any of its Affiliates is a party related to the Equity Financing other than as expressly contained in the Equity Commitment Letter and delivered to the Company prior to the date of this Agreement. For the avoidance of doubt, in no event shall the receipt or availability of any funds or financing by or to Parent or any Affiliate of Parent be a condition to any of Parent’s or Merger Sub’s obligations hereunder.</w:t>
      </w:r>
    </w:p>
    <w:p>
      <w:pPr>
        <w:spacing w:after="0" w:line="21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Guarantee</w:t>
      </w:r>
      <w:r>
        <w:rPr>
          <w:rFonts w:ascii="Arial" w:cs="Arial" w:eastAsia="Arial" w:hAnsi="Arial"/>
          <w:sz w:val="19"/>
          <w:szCs w:val="19"/>
          <w:color w:val="auto"/>
        </w:rPr>
        <w:t>. Concurrently with the execution and delivery of this Agreement, Parent has delivered to the Company the executed guarantee of the Guarantor, dated as of the date of this Agreement, in favor of the Company in respect of Parent’s obligation to pay the Parent Termination Fee in accordance with the terms of this Agreement (the “</w:t>
      </w:r>
      <w:r>
        <w:rPr>
          <w:rFonts w:ascii="Arial" w:cs="Arial" w:eastAsia="Arial" w:hAnsi="Arial"/>
          <w:sz w:val="19"/>
          <w:szCs w:val="19"/>
          <w:u w:val="single" w:color="auto"/>
          <w:color w:val="auto"/>
        </w:rPr>
        <w:t>Guarantee</w:t>
      </w:r>
      <w:r>
        <w:rPr>
          <w:rFonts w:ascii="Arial" w:cs="Arial" w:eastAsia="Arial" w:hAnsi="Arial"/>
          <w:sz w:val="19"/>
          <w:szCs w:val="19"/>
          <w:color w:val="auto"/>
        </w:rPr>
        <w:t>”). The Guarantee is (a) a legal, valid and binding obligation of the Guarantor, (b) enforceable against the Guarantor in accordance with its terms, subject to the Bankruptcy and Equity Exception and (c) in full force and effect. As of the date of this Agreement, no event has occurred which, with or without notice, lapse of time or both, would or would reasonably be expected to constitute a default or breach on the part of the Guarantor under the Guarantee.</w:t>
      </w:r>
    </w:p>
    <w:p>
      <w:pPr>
        <w:spacing w:after="0" w:line="179"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SECTION 4.07. </w:t>
      </w:r>
      <w:r>
        <w:rPr>
          <w:rFonts w:ascii="Arial" w:cs="Arial" w:eastAsia="Arial" w:hAnsi="Arial"/>
          <w:sz w:val="21"/>
          <w:szCs w:val="21"/>
          <w:u w:val="single" w:color="auto"/>
          <w:color w:val="auto"/>
        </w:rPr>
        <w:t>Certain Arrangements</w:t>
      </w:r>
      <w:r>
        <w:rPr>
          <w:rFonts w:ascii="Arial" w:cs="Arial" w:eastAsia="Arial" w:hAnsi="Arial"/>
          <w:sz w:val="21"/>
          <w:szCs w:val="21"/>
          <w:color w:val="auto"/>
        </w:rPr>
        <w:t>. Other than the Equity Commitment Letter, the Guarantee, the Rollover Agreement and the Shareholder Agreement, as of the date of this Agreement, there are no Contracts or other arrangements or understandings (whether oral or written) or commitments to enter into Contracts or other arrangements or understandings (whether oral or written) (a) between Parent, Merger Sub, the Guarantor or any of their respective Affiliates, on the one hand, and any member of the Company’s management, the Company Board or any shareholder of the Company, on the other hand, that relate in any way to the Company or any of its Subsidiaries or the Transactions or (b) pursuant to which any shareholder of the Company would be entitled to receive consideration of a different amount or nature than the Merger Consideration or pursuant to which any shareholder of the Company agrees to vote to approve the Merger and this Agreement or agrees to vote against any Superior Proposal.</w:t>
      </w:r>
    </w:p>
    <w:p>
      <w:pPr>
        <w:spacing w:after="0" w:line="211" w:lineRule="exact"/>
        <w:rPr>
          <w:sz w:val="20"/>
          <w:szCs w:val="20"/>
          <w:color w:val="auto"/>
        </w:rPr>
      </w:pPr>
    </w:p>
    <w:p>
      <w:pPr>
        <w:jc w:val="both"/>
        <w:ind w:right="20" w:firstLine="1296"/>
        <w:spacing w:after="0" w:line="252" w:lineRule="auto"/>
        <w:rPr>
          <w:sz w:val="20"/>
          <w:szCs w:val="20"/>
          <w:color w:val="auto"/>
        </w:rPr>
      </w:pPr>
      <w:r>
        <w:rPr>
          <w:rFonts w:ascii="Arial" w:cs="Arial" w:eastAsia="Arial" w:hAnsi="Arial"/>
          <w:sz w:val="21"/>
          <w:szCs w:val="21"/>
          <w:color w:val="auto"/>
        </w:rPr>
        <w:t xml:space="preserve">SECTION 4.08. </w:t>
      </w:r>
      <w:r>
        <w:rPr>
          <w:rFonts w:ascii="Arial" w:cs="Arial" w:eastAsia="Arial" w:hAnsi="Arial"/>
          <w:sz w:val="21"/>
          <w:szCs w:val="21"/>
          <w:u w:val="single" w:color="auto"/>
          <w:color w:val="auto"/>
        </w:rPr>
        <w:t>Brokers and Other Advisors</w:t>
      </w:r>
      <w:r>
        <w:rPr>
          <w:rFonts w:ascii="Arial" w:cs="Arial" w:eastAsia="Arial" w:hAnsi="Arial"/>
          <w:sz w:val="21"/>
          <w:szCs w:val="21"/>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201"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5" w:lineRule="auto"/>
        <w:tabs>
          <w:tab w:leader="none" w:pos="1663"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Parent and Merger Sub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Except for the representations and warranties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Parent and Merger Sub hereby agree and acknowledge that (a) neither the Company nor any of its Subsidiaries, nor any other Person, has made or is making, and Parent and Merger Sub are not relying on, any other express or implied representation or warranty with respect to the Company or any of its Subsidiaries or the Joint Venture Entities or their respective businesses, operations, assets, liabilities, condition (financial or otherwise)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prospects, including with respect to any information made available to Parent, Merger Sub or any of their respective Representatives or Affiliates or any information developed by Parent, Merger Sub or any of their respective Representatives or Affiliates based thereon and (b) neither the Company nor any of its Subsidiaries, nor any other Person, will have or be subject to any liability to Parent or Merger Sub resulting from the delivery, dissemination or any other distribution to Parent, Merger Sub or any of their respective Representatives or Affiliates, or the use by Parent, Merger Sub or any of their respective Representatives or Affiliates, of any information made available to Parent, Merger Sub or any of their respective Representatives or Affiliates, including in any “data rooms” or management presentations, in anticipation or contemplation of any of the Transactions. Parent and Merger Sub hereby acknowledge (each for itself and on behalf of its Affiliates and Representatives) that it has conducted, to its satisfaction, its own independent investigation of the business, operations, assets and financial condition of the Company and its Subsidiaries and the Joint Venture Entities and, in making its determination to proceed with the Transactions, each of Parent, Merger Sub and their respective Affiliates and Representatives have relied on the results of their own independent investigation and have not relied on any express or implied representations or warranties regarding the Company, its Subsidiaries or the Joint Venture Entities other than those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w:t>
      </w:r>
    </w:p>
    <w:p>
      <w:pPr>
        <w:spacing w:after="0" w:line="183" w:lineRule="exact"/>
        <w:rPr>
          <w:sz w:val="20"/>
          <w:szCs w:val="20"/>
          <w:color w:val="auto"/>
        </w:rPr>
      </w:pPr>
    </w:p>
    <w:p>
      <w:pPr>
        <w:jc w:val="both"/>
        <w:ind w:firstLine="1304"/>
        <w:spacing w:after="0" w:line="282" w:lineRule="auto"/>
        <w:tabs>
          <w:tab w:leader="none" w:pos="1697"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Except for the representations and warranties expressly made by Parent and Merger Sub in this </w:t>
      </w:r>
      <w:r>
        <w:rPr>
          <w:rFonts w:ascii="Arial" w:cs="Arial" w:eastAsia="Arial" w:hAnsi="Arial"/>
          <w:sz w:val="19"/>
          <w:szCs w:val="19"/>
          <w:u w:val="single" w:color="auto"/>
          <w:color w:val="auto"/>
        </w:rPr>
        <w:t>Article IV</w:t>
      </w:r>
      <w:r>
        <w:rPr>
          <w:rFonts w:ascii="Arial" w:cs="Arial" w:eastAsia="Arial" w:hAnsi="Arial"/>
          <w:sz w:val="19"/>
          <w:szCs w:val="19"/>
          <w:color w:val="auto"/>
        </w:rPr>
        <w:t>, neither Parent, Merger Sub nor any other Person makes any other express or implied representation or warranty with respect to Parent or Merger Sub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w:t>
      </w:r>
    </w:p>
    <w:p>
      <w:pPr>
        <w:spacing w:after="0" w:line="17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Non-Reliance on Company Estimates, Projections, Forecasts, Forward-Looking Statements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Business Plans</w:t>
      </w:r>
      <w:r>
        <w:rPr>
          <w:rFonts w:ascii="Arial" w:cs="Arial" w:eastAsia="Arial" w:hAnsi="Arial"/>
          <w:sz w:val="19"/>
          <w:szCs w:val="19"/>
          <w:color w:val="auto"/>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 Joint Venture Entities and their respective businesses and operations. Parent and Merger Sub hereby acknowledge that (a) there are uncertainties inherent in attempting to make such estimates, projections, forecasts and other forward-looking statements, as well as in such business and strategic plans, (b) Parent and Merger Sub are making their own evaluation of the adequacy and accuracy of all estimates, projections, forecasts and other forward-looking information, as well as such business plans, so furnished to them (including the reasonableness of the assumptions underlying such estimates, projections, forward-looking information or business plans), and (c) Parent and Merger Sub have not relied on such information and will have no claim against the Company or any of its Subsidiaries, or any of their respective Representatives, with respect thereto or any rights hereunder with respect thereto, except in respect of the representations and warranties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for fraud.</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4.11. </w:t>
      </w:r>
      <w:r>
        <w:rPr>
          <w:rFonts w:ascii="Arial" w:cs="Arial" w:eastAsia="Arial" w:hAnsi="Arial"/>
          <w:sz w:val="22"/>
          <w:szCs w:val="22"/>
          <w:u w:val="single" w:color="auto"/>
          <w:color w:val="auto"/>
        </w:rPr>
        <w:t>Information Supplied</w:t>
      </w:r>
      <w:r>
        <w:rPr>
          <w:rFonts w:ascii="Arial" w:cs="Arial" w:eastAsia="Arial" w:hAnsi="Arial"/>
          <w:sz w:val="22"/>
          <w:szCs w:val="22"/>
          <w:color w:val="auto"/>
        </w:rPr>
        <w:t>. The information supplied or to be supplied by or on behalf of Parent or Merger Sub in writing expressly for inclusion in the Schedule 13E-3 (including any amendment or supplement thereto, the Proxy Statement included therein and any document incorporated by reference therein) shall not, on the date the Schedule 13E-3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Schedule 13E-3.</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4.12. </w:t>
      </w:r>
      <w:r>
        <w:rPr>
          <w:rFonts w:ascii="Arial" w:cs="Arial" w:eastAsia="Arial" w:hAnsi="Arial"/>
          <w:sz w:val="21"/>
          <w:szCs w:val="21"/>
          <w:u w:val="single" w:color="auto"/>
          <w:color w:val="auto"/>
        </w:rPr>
        <w:t>Legal Proceedings</w:t>
      </w:r>
      <w:r>
        <w:rPr>
          <w:rFonts w:ascii="Arial" w:cs="Arial" w:eastAsia="Arial" w:hAnsi="Arial"/>
          <w:sz w:val="21"/>
          <w:szCs w:val="21"/>
          <w:color w:val="auto"/>
        </w:rPr>
        <w:t>. Except as would not, individually or in the aggregate, reasonably be expected to have a Parent Material Adverse Effect, as of the date of this Agreement, there is no (a) pending or, to the Knowledge of Parent and Merger Sub, threatened in writing, legal or administrative proceeding, suit, arbitration or action or, to the Knowledge of Parent and Merger Sub, investigation against Parent or any of its Subsidiaries or (b) outstanding Judgment imposed upon Parent or any of its Subsidiaries or any director or officer of Parent or any of its Subsidiaries (in their capacity as such) or, to the Knowledge of Parent, any other Person for whom Parent or any of its Subsidiaries may be liable as an indemnifying party or otherwise, in each case, by or before any Governmental Authority.</w:t>
      </w:r>
    </w:p>
    <w:p>
      <w:pPr>
        <w:spacing w:after="0" w:line="211"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SECTION 4.13. </w:t>
      </w:r>
      <w:r>
        <w:rPr>
          <w:rFonts w:ascii="Arial" w:cs="Arial" w:eastAsia="Arial" w:hAnsi="Arial"/>
          <w:sz w:val="22"/>
          <w:szCs w:val="22"/>
          <w:u w:val="single" w:color="auto"/>
          <w:color w:val="auto"/>
        </w:rPr>
        <w:t>Ownership of Common Shares</w:t>
      </w:r>
      <w:r>
        <w:rPr>
          <w:rFonts w:ascii="Arial" w:cs="Arial" w:eastAsia="Arial" w:hAnsi="Arial"/>
          <w:sz w:val="22"/>
          <w:szCs w:val="22"/>
          <w:color w:val="auto"/>
        </w:rPr>
        <w:t>. Except as set forth in Section 4.13 of the Parent Disclosure Letter, as of the date of this Agreement, none of Parent, Merger Sub or any of their Affiliates beneficially owns (within the meaning of Section 13 of the Exchange Act) or is a party to any Contract, other arrangement or understanding (whether written or oral) (other than this Agreement and the Rollover Agreement) for the purpose of acquiring, holding, voting or disposing of any Common Shares.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Additional Covenants and Agreements</w:t>
      </w:r>
    </w:p>
    <w:p>
      <w:pPr>
        <w:spacing w:after="0" w:line="23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xml:space="preserve">. (a) 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unless Parent otherwise expressly consents in writing (such consent not to be unreasonably withheld, conditioned or delayed), the Company shall, and shall cause each of its Subsidiaries to, use its and their commercially reasonable efforts to (i) carry on its business in all material respects in the ordinary course of business and (ii) to the extent consistent with the foregoing, preserve intact in all material respects, its and each of its Subsidiaries’ business organizations, existing relations with key customers, suppliers and other Persons with whom the Company or its Subsidiaries have significant business relationships and the goodwill and reputation of the Company’s and its Subsidiaries’ respective businesses.</w:t>
      </w:r>
    </w:p>
    <w:p>
      <w:pPr>
        <w:spacing w:after="0" w:line="185" w:lineRule="exact"/>
        <w:rPr>
          <w:sz w:val="20"/>
          <w:szCs w:val="20"/>
          <w:color w:val="auto"/>
        </w:rPr>
      </w:pPr>
    </w:p>
    <w:p>
      <w:pPr>
        <w:jc w:val="both"/>
        <w:ind w:right="20" w:firstLine="1304"/>
        <w:spacing w:after="0"/>
        <w:tabs>
          <w:tab w:leader="none" w:pos="1659"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Except as required by applicable Law or Judgment, as expressly required by this Agreement or as described in Section 5.01 of the Company Disclosure Letter, during the period from the date of this Agreement until the Effective Time (or such earlier date on which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Agreement is validly terminated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unless Parent otherwise expressly consents in writing (such consent not to be unreasonably withheld, conditioned or delayed), the Company shall not, and shall cause each of its Subsidiaries not to:</w:t>
      </w:r>
    </w:p>
    <w:p>
      <w:pPr>
        <w:spacing w:after="0" w:line="132" w:lineRule="exact"/>
        <w:rPr>
          <w:sz w:val="20"/>
          <w:szCs w:val="20"/>
          <w:color w:val="auto"/>
        </w:rPr>
      </w:pPr>
    </w:p>
    <w:p>
      <w:pPr>
        <w:jc w:val="both"/>
        <w:ind w:left="660" w:firstLine="644"/>
        <w:spacing w:after="0" w:line="272" w:lineRule="auto"/>
        <w:tabs>
          <w:tab w:leader="none" w:pos="2011"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issue Common Shares or other securities as required pursuant to the vesting, settlement or exercise of Company Awards or other equity awards or Company Rights outstanding on the date of this Agreement in accordance with the terms of the applicable Company Award, other equity award or Company Right in effect on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the Subsidiaries (other than the Partnership and its Subsidiaries) of the Company may make any such sales, issuances, transfers, pledges, dispositions or grants to the Company or a direct or indirect wholly owned Subsidiary of the Company and (II) the Subsidiaries of the Partnership may make any such sales, issuances, transfers, pledges, dispositions or grants to the Partnership or a direct or indirect wholly owned Subsidiary of the Partnership;</w:t>
      </w:r>
    </w:p>
    <w:p>
      <w:pPr>
        <w:spacing w:after="0" w:line="187" w:lineRule="exact"/>
        <w:rPr>
          <w:rFonts w:ascii="Arial" w:cs="Arial" w:eastAsia="Arial" w:hAnsi="Arial"/>
          <w:sz w:val="19"/>
          <w:szCs w:val="19"/>
          <w:color w:val="auto"/>
        </w:rPr>
      </w:pPr>
    </w:p>
    <w:p>
      <w:pPr>
        <w:jc w:val="both"/>
        <w:ind w:left="660" w:firstLine="644"/>
        <w:spacing w:after="0" w:line="235" w:lineRule="auto"/>
        <w:tabs>
          <w:tab w:leader="none" w:pos="2125" w:val="left"/>
        </w:tabs>
        <w:numPr>
          <w:ilvl w:val="1"/>
          <w:numId w:val="58"/>
        </w:numPr>
        <w:rPr>
          <w:rFonts w:ascii="Arial" w:cs="Arial" w:eastAsia="Arial" w:hAnsi="Arial"/>
          <w:sz w:val="22"/>
          <w:szCs w:val="22"/>
          <w:color w:val="auto"/>
        </w:rPr>
      </w:pPr>
      <w:r>
        <w:rPr>
          <w:rFonts w:ascii="Arial" w:cs="Arial" w:eastAsia="Arial" w:hAnsi="Arial"/>
          <w:sz w:val="22"/>
          <w:szCs w:val="22"/>
          <w:color w:val="auto"/>
        </w:rPr>
        <w:t>redeem, purchase or otherwise acquire, directly or indirectly, any outstanding Common Shares or other equity or voting interests of the Company or any rights, warrants or options to acquire any Common Shares or other equity or voting interests of the Company or its Subsidiaries, except (x) pursuant to the Company Awards outstanding on the date of this Agreement in accordance with the terms of the applicable Company Award or (y) in connection with the satisfaction of Tax withholding obligations with respect to Company Awards or exercise through net settlement of any Company Option or Company SAR;</w:t>
      </w:r>
    </w:p>
    <w:p>
      <w:pPr>
        <w:spacing w:after="0" w:line="214" w:lineRule="exact"/>
        <w:rPr>
          <w:rFonts w:ascii="Arial" w:cs="Arial" w:eastAsia="Arial" w:hAnsi="Arial"/>
          <w:sz w:val="22"/>
          <w:szCs w:val="22"/>
          <w:color w:val="auto"/>
        </w:rPr>
      </w:pPr>
    </w:p>
    <w:p>
      <w:pPr>
        <w:jc w:val="both"/>
        <w:ind w:left="660" w:firstLine="644"/>
        <w:spacing w:after="0" w:line="271" w:lineRule="auto"/>
        <w:tabs>
          <w:tab w:leader="none" w:pos="2172" w:val="left"/>
        </w:tabs>
        <w:numPr>
          <w:ilvl w:val="1"/>
          <w:numId w:val="58"/>
        </w:numPr>
        <w:rPr>
          <w:rFonts w:ascii="Arial" w:cs="Arial" w:eastAsia="Arial" w:hAnsi="Arial"/>
          <w:sz w:val="19"/>
          <w:szCs w:val="19"/>
          <w:color w:val="auto"/>
        </w:rPr>
      </w:pPr>
      <w:r>
        <w:rPr>
          <w:rFonts w:ascii="Arial" w:cs="Arial" w:eastAsia="Arial" w:hAnsi="Arial"/>
          <w:sz w:val="19"/>
          <w:szCs w:val="19"/>
          <w:color w:val="auto"/>
        </w:rPr>
        <w:t>establish a record date for, declare, set aside for payment or pay any dividend on, or make any other distribution in respect of, 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 in each case, other than</w:t>
      </w:r>
    </w:p>
    <w:p>
      <w:pPr>
        <w:spacing w:after="0" w:line="3" w:lineRule="exact"/>
        <w:rPr>
          <w:rFonts w:ascii="Arial" w:cs="Arial" w:eastAsia="Arial" w:hAnsi="Arial"/>
          <w:sz w:val="19"/>
          <w:szCs w:val="19"/>
          <w:color w:val="auto"/>
        </w:rPr>
      </w:pPr>
    </w:p>
    <w:p>
      <w:pPr>
        <w:jc w:val="both"/>
        <w:ind w:left="660" w:hanging="4"/>
        <w:spacing w:after="0" w:line="266" w:lineRule="auto"/>
        <w:tabs>
          <w:tab w:leader="none" w:pos="1016" w:val="left"/>
        </w:tabs>
        <w:numPr>
          <w:ilvl w:val="0"/>
          <w:numId w:val="59"/>
        </w:numPr>
        <w:rPr>
          <w:rFonts w:ascii="Arial" w:cs="Arial" w:eastAsia="Arial" w:hAnsi="Arial"/>
          <w:sz w:val="19"/>
          <w:szCs w:val="19"/>
          <w:color w:val="auto"/>
        </w:rPr>
      </w:pPr>
      <w:r>
        <w:rPr>
          <w:rFonts w:ascii="Arial" w:cs="Arial" w:eastAsia="Arial" w:hAnsi="Arial"/>
          <w:sz w:val="19"/>
          <w:szCs w:val="19"/>
          <w:color w:val="auto"/>
        </w:rPr>
        <w:t>with respect to the Company, regular quarterly cash distributions paid during the first and second quarters of 2021 not to exceed $0.05 per Common Share in each case with customary declaration, record and payment dates consistent with past practice and corresponding dividend equivalent in respect of each Company RSU Award or Company PSU Award,</w:t>
      </w:r>
    </w:p>
    <w:p>
      <w:pPr>
        <w:spacing w:after="0" w:line="2" w:lineRule="exact"/>
        <w:rPr>
          <w:rFonts w:ascii="Arial" w:cs="Arial" w:eastAsia="Arial" w:hAnsi="Arial"/>
          <w:sz w:val="19"/>
          <w:szCs w:val="19"/>
          <w:color w:val="auto"/>
        </w:rPr>
      </w:pPr>
    </w:p>
    <w:p>
      <w:pPr>
        <w:jc w:val="both"/>
        <w:ind w:left="660" w:hanging="4"/>
        <w:spacing w:after="0" w:line="245" w:lineRule="auto"/>
        <w:tabs>
          <w:tab w:leader="none" w:pos="1002" w:val="left"/>
        </w:tabs>
        <w:numPr>
          <w:ilvl w:val="0"/>
          <w:numId w:val="59"/>
        </w:numPr>
        <w:rPr>
          <w:rFonts w:ascii="Arial" w:cs="Arial" w:eastAsia="Arial" w:hAnsi="Arial"/>
          <w:sz w:val="21"/>
          <w:szCs w:val="21"/>
          <w:color w:val="auto"/>
        </w:rPr>
      </w:pPr>
      <w:r>
        <w:rPr>
          <w:rFonts w:ascii="Arial" w:cs="Arial" w:eastAsia="Arial" w:hAnsi="Arial"/>
          <w:sz w:val="21"/>
          <w:szCs w:val="21"/>
          <w:color w:val="auto"/>
        </w:rPr>
        <w:t>with respect to Preference Shares, in accordance with their terms, (C) with respect to the Partnership, regular quarterly cash distributions not to exceed $0.01 per unit in each case consistent with customary declaration, record and payment dates consistent with past practice and or with respect to preference units of the Partnership in accordance with their terms, (D) dividends or distributions from wholly owned Subsidiaries of the Partnership to other wholly owned Subsidiaries of the Partnership or to the Partnership and (E) dividends or distributions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wholly owned Subsidiaries of the Company to other wholly owned Subsidiaries of the Company or to the Company;</w:t>
      </w:r>
    </w:p>
    <w:p>
      <w:pPr>
        <w:spacing w:after="0" w:line="268" w:lineRule="exact"/>
        <w:rPr>
          <w:sz w:val="20"/>
          <w:szCs w:val="20"/>
          <w:color w:val="auto"/>
        </w:rPr>
      </w:pPr>
    </w:p>
    <w:p>
      <w:pPr>
        <w:ind w:left="660" w:firstLine="644"/>
        <w:spacing w:after="0" w:line="250" w:lineRule="auto"/>
        <w:tabs>
          <w:tab w:leader="none" w:pos="2187" w:val="left"/>
        </w:tabs>
        <w:numPr>
          <w:ilvl w:val="0"/>
          <w:numId w:val="60"/>
        </w:numPr>
        <w:rPr>
          <w:rFonts w:ascii="Arial" w:cs="Arial" w:eastAsia="Arial" w:hAnsi="Arial"/>
          <w:sz w:val="22"/>
          <w:szCs w:val="22"/>
          <w:color w:val="auto"/>
        </w:rPr>
      </w:pPr>
      <w:r>
        <w:rPr>
          <w:rFonts w:ascii="Arial" w:cs="Arial" w:eastAsia="Arial" w:hAnsi="Arial"/>
          <w:sz w:val="22"/>
          <w:szCs w:val="22"/>
          <w:color w:val="auto"/>
        </w:rPr>
        <w:t>split, combine, subdivide or reclassify any Common Shares or other equity or voting interests of the Company, the Partnership or any non-wholly owned Subsidiaries of the Company or the Partnership;</w:t>
      </w:r>
    </w:p>
    <w:p>
      <w:pPr>
        <w:spacing w:after="0" w:line="201" w:lineRule="exact"/>
        <w:rPr>
          <w:rFonts w:ascii="Arial" w:cs="Arial" w:eastAsia="Arial" w:hAnsi="Arial"/>
          <w:sz w:val="22"/>
          <w:szCs w:val="22"/>
          <w:color w:val="auto"/>
        </w:rPr>
      </w:pPr>
    </w:p>
    <w:p>
      <w:pPr>
        <w:jc w:val="both"/>
        <w:ind w:left="660" w:firstLine="644"/>
        <w:spacing w:after="0" w:line="297" w:lineRule="auto"/>
        <w:tabs>
          <w:tab w:leader="none" w:pos="1992"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amend the Company Organizational Documents or (B)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60" w:lineRule="exact"/>
        <w:rPr>
          <w:rFonts w:ascii="Arial" w:cs="Arial" w:eastAsia="Arial" w:hAnsi="Arial"/>
          <w:sz w:val="19"/>
          <w:szCs w:val="19"/>
          <w:color w:val="auto"/>
        </w:rPr>
      </w:pPr>
    </w:p>
    <w:p>
      <w:pPr>
        <w:jc w:val="both"/>
        <w:ind w:left="660" w:firstLine="644"/>
        <w:spacing w:after="0" w:line="287" w:lineRule="auto"/>
        <w:tabs>
          <w:tab w:leader="none" w:pos="2119" w:val="left"/>
        </w:tabs>
        <w:numPr>
          <w:ilvl w:val="0"/>
          <w:numId w:val="60"/>
        </w:numPr>
        <w:rPr>
          <w:rFonts w:ascii="Arial" w:cs="Arial" w:eastAsia="Arial" w:hAnsi="Arial"/>
          <w:sz w:val="19"/>
          <w:szCs w:val="19"/>
          <w:color w:val="auto"/>
        </w:rPr>
      </w:pPr>
      <w:r>
        <w:rPr>
          <w:rFonts w:ascii="Arial" w:cs="Arial" w:eastAsia="Arial" w:hAnsi="Arial"/>
          <w:sz w:val="19"/>
          <w:szCs w:val="19"/>
          <w:color w:val="auto"/>
        </w:rPr>
        <w:t>adopt a plan or agreement of complete or partial liquidation or dissolution, merger, amalgamation, consolidation, restructuring, recapitalization or other reorganization of the Company or any of its Subsidiaries (other than dormant Subsidiaries or, with respect to any merger, amalgamation or consolidation, other than among the Company and any wholly owned Subsidiary of the Company or among wholly owned Subsidiaries of the Company);</w:t>
      </w:r>
    </w:p>
    <w:p>
      <w:pPr>
        <w:spacing w:after="0" w:line="169" w:lineRule="exact"/>
        <w:rPr>
          <w:rFonts w:ascii="Arial" w:cs="Arial" w:eastAsia="Arial" w:hAnsi="Arial"/>
          <w:sz w:val="19"/>
          <w:szCs w:val="19"/>
          <w:color w:val="auto"/>
        </w:rPr>
      </w:pPr>
    </w:p>
    <w:p>
      <w:pPr>
        <w:jc w:val="both"/>
        <w:ind w:left="660" w:firstLine="644"/>
        <w:spacing w:after="0" w:line="236" w:lineRule="auto"/>
        <w:tabs>
          <w:tab w:leader="none" w:pos="2058"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fail to file any Tax Return (or attachment thereof) where such failure itself would preclude the Company from claiming any available exclusion from gross income under Section 883 of the Code for all income described in Section 883(a)(1) of the Code;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is legally able to claim such exclusion and has in its possession all documentation and certifications necessary to substantiate such exemption pursuant to Section 883 of the Code and the Treasury Regulations thereunder;</w:t>
      </w:r>
    </w:p>
    <w:p>
      <w:pPr>
        <w:spacing w:after="0" w:line="214" w:lineRule="exact"/>
        <w:rPr>
          <w:rFonts w:ascii="Arial" w:cs="Arial" w:eastAsia="Arial" w:hAnsi="Arial"/>
          <w:sz w:val="22"/>
          <w:szCs w:val="22"/>
          <w:color w:val="auto"/>
        </w:rPr>
      </w:pPr>
    </w:p>
    <w:p>
      <w:pPr>
        <w:ind w:left="660" w:firstLine="644"/>
        <w:spacing w:after="0" w:line="250" w:lineRule="auto"/>
        <w:tabs>
          <w:tab w:leader="none" w:pos="215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take any action which, if taken following the Closing, would require the consent of Parent pursuant to Annex A of the Shareholder Agreement; or</w:t>
      </w:r>
    </w:p>
    <w:p>
      <w:pPr>
        <w:spacing w:after="0" w:line="201" w:lineRule="exact"/>
        <w:rPr>
          <w:rFonts w:ascii="Arial" w:cs="Arial" w:eastAsia="Arial" w:hAnsi="Arial"/>
          <w:sz w:val="22"/>
          <w:szCs w:val="22"/>
          <w:color w:val="auto"/>
        </w:rPr>
      </w:pPr>
    </w:p>
    <w:p>
      <w:pPr>
        <w:ind w:left="2040" w:hanging="736"/>
        <w:spacing w:after="0"/>
        <w:tabs>
          <w:tab w:leader="none" w:pos="204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authorize any of, or commit or agree, in writing or otherwise, to take any of, the foregoing actions.</w:t>
      </w:r>
    </w:p>
    <w:p>
      <w:pPr>
        <w:spacing w:after="0" w:line="245" w:lineRule="exact"/>
        <w:rPr>
          <w:sz w:val="20"/>
          <w:szCs w:val="20"/>
          <w:color w:val="auto"/>
        </w:rPr>
      </w:pPr>
    </w:p>
    <w:p>
      <w:pPr>
        <w:jc w:val="both"/>
        <w:ind w:firstLine="1304"/>
        <w:spacing w:after="0"/>
        <w:tabs>
          <w:tab w:leader="none" w:pos="1682" w:val="left"/>
        </w:tabs>
        <w:numPr>
          <w:ilvl w:val="0"/>
          <w:numId w:val="61"/>
        </w:numPr>
        <w:rPr>
          <w:rFonts w:ascii="Arial" w:cs="Arial" w:eastAsia="Arial" w:hAnsi="Arial"/>
          <w:sz w:val="22"/>
          <w:szCs w:val="22"/>
          <w:color w:val="auto"/>
        </w:rPr>
      </w:pPr>
      <w:r>
        <w:rPr>
          <w:rFonts w:ascii="Arial" w:cs="Arial" w:eastAsia="Arial" w:hAnsi="Arial"/>
          <w:sz w:val="22"/>
          <w:szCs w:val="22"/>
          <w:color w:val="auto"/>
        </w:rPr>
        <w:t>Neither Parent nor Merger Sub shall knowingly take or permit any of their respective Affiliates to take any action that could reasonably be expected to prevent or to impede, interfere with, hinder or delay in any material respect the consummation of the Transactions.</w:t>
      </w:r>
    </w:p>
    <w:p>
      <w:pPr>
        <w:spacing w:after="0" w:line="213" w:lineRule="exact"/>
        <w:rPr>
          <w:rFonts w:ascii="Arial" w:cs="Arial" w:eastAsia="Arial" w:hAnsi="Arial"/>
          <w:sz w:val="22"/>
          <w:szCs w:val="22"/>
          <w:color w:val="auto"/>
        </w:rPr>
      </w:pPr>
    </w:p>
    <w:p>
      <w:pPr>
        <w:jc w:val="both"/>
        <w:ind w:firstLine="1304"/>
        <w:spacing w:after="0" w:line="249" w:lineRule="auto"/>
        <w:tabs>
          <w:tab w:leader="none" w:pos="1687" w:val="left"/>
        </w:tabs>
        <w:numPr>
          <w:ilvl w:val="0"/>
          <w:numId w:val="61"/>
        </w:numPr>
        <w:rPr>
          <w:rFonts w:ascii="Arial" w:cs="Arial" w:eastAsia="Arial" w:hAnsi="Arial"/>
          <w:sz w:val="21"/>
          <w:szCs w:val="21"/>
          <w:color w:val="auto"/>
        </w:rPr>
      </w:pPr>
      <w:r>
        <w:rPr>
          <w:rFonts w:ascii="Arial" w:cs="Arial" w:eastAsia="Arial" w:hAnsi="Arial"/>
          <w:sz w:val="21"/>
          <w:szCs w:val="21"/>
          <w:color w:val="auto"/>
        </w:rPr>
        <w:t>Nothing contained in this Agreement is intended to give Parent, directly or indirectly, the right to control or direct the Company’s or its Subsidiaries’ operations prior to the Effective Time, and nothing contained in this Agreement is intended to give the Company, directly or indirectly, the right to control or direct Parent’s or its Subsidiaries’ operations. Prior to the Effective Time, each of Parent and the Company shall exercise, consistent with the terms and conditions of this Agreement, complete control and supervision over its and its Subsidiaries’ respective operations.</w:t>
      </w:r>
    </w:p>
    <w:p>
      <w:pPr>
        <w:spacing w:after="0" w:line="205" w:lineRule="exact"/>
        <w:rPr>
          <w:rFonts w:ascii="Arial" w:cs="Arial" w:eastAsia="Arial" w:hAnsi="Arial"/>
          <w:sz w:val="21"/>
          <w:szCs w:val="21"/>
          <w:color w:val="auto"/>
        </w:rPr>
      </w:pPr>
    </w:p>
    <w:p>
      <w:pPr>
        <w:jc w:val="both"/>
        <w:ind w:firstLine="1304"/>
        <w:spacing w:after="0" w:line="297" w:lineRule="auto"/>
        <w:tabs>
          <w:tab w:leader="none" w:pos="1664"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Notwithstanding anything to the contrary herein, the Company may, and may permit or cause any Subsidiary to, take actions as may be reasonably necessary with respect to (i) any operational or maritime emergencies (including any piracy, marine disasters, accidents involving a Vessel, hurricanes, strong winds, ice event, fire, tornado, tsunami, flood, earthquake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or other natural or manmade disaster or severe 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22"/>
          <w:szCs w:val="22"/>
          <w:u w:val="single" w:color="auto"/>
          <w:color w:val="auto"/>
        </w:rPr>
        <w:t>provided</w:t>
      </w:r>
      <w:r>
        <w:rPr>
          <w:rFonts w:ascii="Arial" w:cs="Arial" w:eastAsia="Arial" w:hAnsi="Arial"/>
          <w:sz w:val="22"/>
          <w:szCs w:val="22"/>
          <w:color w:val="auto"/>
        </w:rPr>
        <w:t>, in each case, that the Company shall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215" w:lineRule="exact"/>
        <w:rPr>
          <w:sz w:val="20"/>
          <w:szCs w:val="20"/>
          <w:color w:val="auto"/>
        </w:rPr>
      </w:pPr>
    </w:p>
    <w:p>
      <w:pPr>
        <w:jc w:val="both"/>
        <w:ind w:firstLine="1304"/>
        <w:spacing w:after="0" w:line="248" w:lineRule="auto"/>
        <w:tabs>
          <w:tab w:leader="none" w:pos="1667"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the Company’s obligation to cause the Partnership and its Subsidiaries to take or omit to take any action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shall be deemed to be performed in full so long as the Company directs, and takes all reasonable actions in its power to cause, the Partnership and its Subsidiaries to take or omit to take any such 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4"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No Solicitation by the Company; Change in Recommendation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3" w:lineRule="auto"/>
        <w:tabs>
          <w:tab w:leader="none" w:pos="1675"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Except as permitted by this </w:t>
      </w:r>
      <w:r>
        <w:rPr>
          <w:rFonts w:ascii="Arial" w:cs="Arial" w:eastAsia="Arial" w:hAnsi="Arial"/>
          <w:sz w:val="19"/>
          <w:szCs w:val="19"/>
          <w:u w:val="single" w:color="auto"/>
          <w:color w:val="auto"/>
        </w:rPr>
        <w:t>Section 5.02</w:t>
      </w:r>
      <w:r>
        <w:rPr>
          <w:rFonts w:ascii="Arial" w:cs="Arial" w:eastAsia="Arial" w:hAnsi="Arial"/>
          <w:sz w:val="19"/>
          <w:szCs w:val="19"/>
          <w:color w:val="auto"/>
        </w:rPr>
        <w:t>, the Company shall and shall cause each of its Subsidiaries and its and their officers, employees and directors to, and shall use its reasonable best efforts to cause its other Representatives to, (i) immediately cease any discussions or negotiations with any Persons that may be ongoing with respect to a Takeover Proposal and</w:t>
      </w:r>
    </w:p>
    <w:p>
      <w:pPr>
        <w:spacing w:after="0" w:line="1" w:lineRule="exact"/>
        <w:rPr>
          <w:rFonts w:ascii="Arial" w:cs="Arial" w:eastAsia="Arial" w:hAnsi="Arial"/>
          <w:sz w:val="19"/>
          <w:szCs w:val="19"/>
          <w:color w:val="auto"/>
        </w:rPr>
      </w:pPr>
    </w:p>
    <w:p>
      <w:pPr>
        <w:jc w:val="both"/>
        <w:ind w:firstLine="8"/>
        <w:spacing w:after="0" w:line="269" w:lineRule="auto"/>
        <w:tabs>
          <w:tab w:leader="none" w:pos="352"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from the date hereof until the Effective Time (or, if earlier, the valid termination of this Agreement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not, directly or indirectly, (A) solicit, initiate or knowingly encourage or knowingly facilitate the making of a Takeover Proposal, (B) 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The Company will promptly request that each Person (other than Parent, Merger Sub and their Representatives) that has, on or prior to the date hereof,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hereof and shall terminate access to all data rooms furnished in connection therewith. The Company agrees that neither it nor any of its Subsidiaries shall terminate, waive, amend, release or modify any provision of any existing standstill or similar agreement to which it or one of its Subsidiaries is a party, except that prior to obtaining the Required Shareholder Approvals, if after consultation with, and taking into account the advice of, outside legal counsel, the Company Board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Company Board, a Takeover Proposal, or to permit any discussions or negotiations permitted by </w:t>
      </w:r>
      <w:r>
        <w:rPr>
          <w:rFonts w:ascii="Arial" w:cs="Arial" w:eastAsia="Arial" w:hAnsi="Arial"/>
          <w:sz w:val="19"/>
          <w:szCs w:val="19"/>
          <w:u w:val="single" w:color="auto"/>
          <w:color w:val="auto"/>
        </w:rPr>
        <w:t>Section 5.02(b)</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jc w:val="both"/>
        <w:ind w:firstLine="1304"/>
        <w:spacing w:after="0" w:line="297" w:lineRule="auto"/>
        <w:tabs>
          <w:tab w:leader="none" w:pos="1741"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or any other provision of this Agreement to the contrary, if at any time prior to obtaining the Required Shareholder Approvals the Company receives a Takeover Proposal, which Takeover Proposal did not result from any breach of this </w:t>
      </w:r>
      <w:r>
        <w:rPr>
          <w:rFonts w:ascii="Arial" w:cs="Arial" w:eastAsia="Arial" w:hAnsi="Arial"/>
          <w:sz w:val="19"/>
          <w:szCs w:val="19"/>
          <w:u w:val="single" w:color="auto"/>
          <w:color w:val="auto"/>
        </w:rPr>
        <w:t>Section 5.02</w:t>
      </w:r>
      <w:r>
        <w:rPr>
          <w:rFonts w:ascii="Arial" w:cs="Arial" w:eastAsia="Arial" w:hAnsi="Arial"/>
          <w:sz w:val="19"/>
          <w:szCs w:val="19"/>
          <w:color w:val="auto"/>
        </w:rPr>
        <w:t>, then (i) the Company and its Representatives may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and engage in discussions with such Person or group of Persons making the Takeover Proposal or its or their Representatives to clarify the terms and conditions thereof or to request that any Takeover Proposal made orally be made in writing and (ii) if the Company Board or the Special Committee determines in good faith after consultation with, and taking into account the advice of, its financial advisor and outside legal counsel that such Takeover Proposal constitutes or would reasonably be expected to lead to a Superior Proposal, then the Company and its Representatives may (x) enter into an Acceptable Confidentiality Agreement with the Person or group of Persons making the Takeover Proposal and furnish pursuant thereto information (including non-public information) with respect to the Company and its Subsidiaries to the Person or group of Persons who has made such Takeover Proposal and its or their respective Representatives and financing sources;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promptly provide to Parent any non-public information concerning the Company or any of its Subsidiaries that is provided to any Person or group of Persons given such access that was not previously provided to Parent or its Representatives and (y) engage in or otherwise participate in discussions or negotiations with the Person or group of Persons making such Takeover Proposal and its or their Representatives and financing sources, including to solicit the making of a revised Takeover Proposal.</w:t>
      </w:r>
    </w:p>
    <w:p>
      <w:pPr>
        <w:spacing w:after="0" w:line="188" w:lineRule="exact"/>
        <w:rPr>
          <w:sz w:val="20"/>
          <w:szCs w:val="20"/>
          <w:color w:val="auto"/>
        </w:rPr>
      </w:pPr>
    </w:p>
    <w:p>
      <w:pPr>
        <w:jc w:val="both"/>
        <w:ind w:firstLine="1304"/>
        <w:spacing w:after="0" w:line="272" w:lineRule="auto"/>
        <w:tabs>
          <w:tab w:leader="none" w:pos="1663"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The Company shall promptly (and in any event within 24 hours) notify Parent in the event that the Company or any of its Subsidiaries or its or their Representatives receives a Takeover Proposal and shall disclose to Parent the material terms and conditions of any such Takeover Proposal and copies of any written Takeover Proposal, including proposed agreements, and the identity of the Person or group of Persons making such Takeover Proposal, and the Company shall, upon the request of Parent, keep Parent reasonably informed on a prompt and timely basis of any material developments with respect to any such Takeover Proposal (including any material changes thereto) and provide to Parent on a prompt and timely basis (and in any event within 48 hours) after receipt or delivery thereof copies of all material correspondence and other written materials sent or provided to the Company or any of its Subsidiaries from any Person or group of Persons describing any of the material terms or conditions of any Takeover Proposal. The Company agrees that it and its Subsidiaries will not enter into any confidentiality agreement with any Person subsequent to the date of this Agreement that prohibits the Company from providing any information to Parent in accordance with this </w:t>
      </w:r>
      <w:r>
        <w:rPr>
          <w:rFonts w:ascii="Arial" w:cs="Arial" w:eastAsia="Arial" w:hAnsi="Arial"/>
          <w:sz w:val="19"/>
          <w:szCs w:val="19"/>
          <w:u w:val="single" w:color="auto"/>
          <w:color w:val="auto"/>
        </w:rPr>
        <w:t>Section 5.02(c)</w:t>
      </w:r>
      <w:r>
        <w:rPr>
          <w:rFonts w:ascii="Arial" w:cs="Arial" w:eastAsia="Arial" w:hAnsi="Arial"/>
          <w:sz w:val="19"/>
          <w:szCs w:val="19"/>
          <w:color w:val="auto"/>
        </w:rPr>
        <w:t xml:space="preserve">. For the avoidance of doubt, all information provided to Parent pursuant to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will be subject to the terms of the Confidentiality Agreement.</w:t>
      </w:r>
    </w:p>
    <w:p>
      <w:pPr>
        <w:spacing w:after="0" w:line="187" w:lineRule="exact"/>
        <w:rPr>
          <w:rFonts w:ascii="Arial" w:cs="Arial" w:eastAsia="Arial" w:hAnsi="Arial"/>
          <w:sz w:val="19"/>
          <w:szCs w:val="19"/>
          <w:color w:val="auto"/>
        </w:rPr>
      </w:pPr>
    </w:p>
    <w:p>
      <w:pPr>
        <w:ind w:left="1680" w:hanging="376"/>
        <w:spacing w:after="0"/>
        <w:tabs>
          <w:tab w:leader="none" w:pos="1680" w:val="left"/>
        </w:tabs>
        <w:numPr>
          <w:ilvl w:val="1"/>
          <w:numId w:val="65"/>
        </w:numPr>
        <w:rPr>
          <w:rFonts w:ascii="Arial" w:cs="Arial" w:eastAsia="Arial" w:hAnsi="Arial"/>
          <w:sz w:val="19"/>
          <w:szCs w:val="19"/>
          <w:color w:val="auto"/>
        </w:rPr>
      </w:pPr>
      <w:r>
        <w:rPr>
          <w:rFonts w:ascii="Arial" w:cs="Arial" w:eastAsia="Arial" w:hAnsi="Arial"/>
          <w:sz w:val="19"/>
          <w:szCs w:val="19"/>
          <w:color w:val="auto"/>
        </w:rPr>
        <w:t>Neither the Company Board, the Special Committee nor any other committee of the Company Board shall (i)</w:t>
      </w:r>
    </w:p>
    <w:p>
      <w:pPr>
        <w:spacing w:after="0" w:line="42" w:lineRule="exact"/>
        <w:rPr>
          <w:rFonts w:ascii="Arial" w:cs="Arial" w:eastAsia="Arial" w:hAnsi="Arial"/>
          <w:sz w:val="19"/>
          <w:szCs w:val="19"/>
          <w:color w:val="auto"/>
        </w:rPr>
      </w:pPr>
    </w:p>
    <w:p>
      <w:pPr>
        <w:jc w:val="both"/>
        <w:ind w:firstLine="8"/>
        <w:spacing w:after="0" w:line="272" w:lineRule="auto"/>
        <w:tabs>
          <w:tab w:leader="none" w:pos="355"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withhold or withdraw (or modify in a manner adverse to Parent), or publicly propose to withhold or withdraw (or modify in a manner adverse to Parent), the Company Board Recommendation, (B) recommend, approve or adopt, or publicly propose to recommend, approve or adopt, any Takeover Proposal or (C) fail to include the Company Board Recommendation in the Proxy Statement (any action described in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being referred to as an “</w:t>
      </w:r>
      <w:r>
        <w:rPr>
          <w:rFonts w:ascii="Arial" w:cs="Arial" w:eastAsia="Arial" w:hAnsi="Arial"/>
          <w:sz w:val="19"/>
          <w:szCs w:val="19"/>
          <w:u w:val="single" w:color="auto"/>
          <w:color w:val="auto"/>
        </w:rPr>
        <w:t>Adverse Recommendation Change</w:t>
      </w:r>
      <w:r>
        <w:rPr>
          <w:rFonts w:ascii="Arial" w:cs="Arial" w:eastAsia="Arial" w:hAnsi="Arial"/>
          <w:sz w:val="19"/>
          <w:szCs w:val="19"/>
          <w:color w:val="auto"/>
        </w:rPr>
        <w:t xml:space="preserve">”) or (ii) authorize, cause or permit the Company or any of its Subsidiaries to execute or enter into any letter of intent, memorandum of understanding, agreement in principle, merger agreement, acquisition agreement, amalgamation agreement or other similar agreement relating to any Takeover Proposal, other than any Acceptable Confidentiality Agreement pursuant to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Company Acquisition Agreement</w:t>
      </w:r>
      <w:r>
        <w:rPr>
          <w:rFonts w:ascii="Arial" w:cs="Arial" w:eastAsia="Arial" w:hAnsi="Arial"/>
          <w:sz w:val="19"/>
          <w:szCs w:val="19"/>
          <w:color w:val="auto"/>
        </w:rPr>
        <w:t>”). Notwithstanding the foregoing or any other provision of this Agreement to the contrary, prior to the time the Required Shareholder Approvals are obtained,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or the Special Committee may, if the Company Board or the Special Committee has determined in good faith, after consultation with, and taking into account the advice of, its financial advisor and outside legal counsel, that failure to take such action would be inconsistent with the directors’ fiduciary duties under applicable Law, (I) make an Adverse Recommendation Change in response to an Intervening Event or (II) if a Superior Proposal is received by the Company that did not result from, any breach of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make an Adverse Recommendation Change or cause the Company to terminate this Agreement pursuant to </w:t>
      </w:r>
      <w:r>
        <w:rPr>
          <w:rFonts w:ascii="Arial" w:cs="Arial" w:eastAsia="Arial" w:hAnsi="Arial"/>
          <w:sz w:val="19"/>
          <w:szCs w:val="19"/>
          <w:u w:val="single" w:color="auto"/>
          <w:color w:val="auto"/>
        </w:rPr>
        <w:t>Section 7.01(d)(ii)</w:t>
      </w:r>
      <w:r>
        <w:rPr>
          <w:rFonts w:ascii="Arial" w:cs="Arial" w:eastAsia="Arial" w:hAnsi="Arial"/>
          <w:sz w:val="19"/>
          <w:szCs w:val="19"/>
          <w:color w:val="auto"/>
        </w:rPr>
        <w:t xml:space="preserve"> and enter into a Company Acquisition Agreement with respect to such Superior Proposal;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permitted to take any action set forth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unless the Company (x) delivers to Parent a written notice (a “</w:t>
      </w:r>
      <w:r>
        <w:rPr>
          <w:rFonts w:ascii="Arial" w:cs="Arial" w:eastAsia="Arial" w:hAnsi="Arial"/>
          <w:sz w:val="19"/>
          <w:szCs w:val="19"/>
          <w:u w:val="single" w:color="auto"/>
          <w:color w:val="auto"/>
        </w:rPr>
        <w:t>Company Notice</w:t>
      </w:r>
      <w:r>
        <w:rPr>
          <w:rFonts w:ascii="Arial" w:cs="Arial" w:eastAsia="Arial" w:hAnsi="Arial"/>
          <w:sz w:val="19"/>
          <w:szCs w:val="19"/>
          <w:color w:val="auto"/>
        </w:rPr>
        <w:t xml:space="preserve">”) advising Parent that the Company intends to take such action and specifying the reasons therefor and a reasonably detailed description of the underlying facts giving rise thereto and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if requested by Parent, the Company will and will cause its Representatives to, engage in good faith negotiations with Parent and its Representatives regarding any changes to the terms of this Agreement so that such Intervening Event would cease to warrant an Adverse Recommendation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Company shall not be permitted to take any action set forth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unless the Company (x) delivers to Parent a Company Notice, including (1) the material terms and conditions of such Takeover Proposal and the identity of the Person or group of Persons making such Takeover Proposal and (2) a copy of the most current version of the Company Acquisition Agreement (if any) with respect to such Superior Proposal,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(the “</w:t>
      </w:r>
      <w:r>
        <w:rPr>
          <w:rFonts w:ascii="Arial" w:cs="Arial" w:eastAsia="Arial" w:hAnsi="Arial"/>
          <w:sz w:val="19"/>
          <w:szCs w:val="19"/>
          <w:u w:val="single" w:color="auto"/>
          <w:color w:val="auto"/>
        </w:rPr>
        <w:t>Notice Period</w:t>
      </w:r>
      <w:r>
        <w:rPr>
          <w:rFonts w:ascii="Arial" w:cs="Arial" w:eastAsia="Arial" w:hAnsi="Arial"/>
          <w:sz w:val="19"/>
          <w:szCs w:val="19"/>
          <w:color w:val="auto"/>
        </w:rPr>
        <w:t xml:space="preserve">”), if requested by Parent, the Company will and will cause its Representatives to, engage in good faith negotiations with Parent and its Representatives regarding any changes to the terms of this Agreement so that such Takeover Proposal ceases to constitute a Superior Proposal and (z) after the expiration of the Notice Period, the Company Board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Company Notice and a new two business day Notice Period (it being understood that any such two business day period will be calculated in the same manner as the initial four business day period and no such new Company Notice shall reduce the initial four business day period)). In determining whether to terminate this Agreement pursuant to </w:t>
      </w:r>
      <w:r>
        <w:rPr>
          <w:rFonts w:ascii="Arial" w:cs="Arial" w:eastAsia="Arial" w:hAnsi="Arial"/>
          <w:sz w:val="19"/>
          <w:szCs w:val="19"/>
          <w:u w:val="single" w:color="auto"/>
          <w:color w:val="auto"/>
        </w:rPr>
        <w:t>Section 7.01(d)(ii)</w:t>
      </w:r>
      <w:r>
        <w:rPr>
          <w:rFonts w:ascii="Arial" w:cs="Arial" w:eastAsia="Arial" w:hAnsi="Arial"/>
          <w:sz w:val="19"/>
          <w:szCs w:val="19"/>
          <w:color w:val="auto"/>
        </w:rPr>
        <w:t xml:space="preserve"> and enter into a Company Acquisition Agreement with respect to such Superior Proposal, the Company Board or the Special Committee will take into account any changes to the terms of this Agreement committed to in writing by Parent by 5:00 p.m., Bermuda time, on the last business day of the applicable Notice Period in response to a Company Notice.</w:t>
      </w:r>
    </w:p>
    <w:p>
      <w:pPr>
        <w:spacing w:after="0" w:line="200" w:lineRule="exact"/>
        <w:rPr>
          <w:sz w:val="20"/>
          <w:szCs w:val="20"/>
          <w:color w:val="auto"/>
        </w:rPr>
      </w:pPr>
    </w:p>
    <w:p>
      <w:pPr>
        <w:spacing w:after="0" w:line="256" w:lineRule="exact"/>
        <w:rPr>
          <w:sz w:val="20"/>
          <w:szCs w:val="20"/>
          <w:color w:val="auto"/>
        </w:rPr>
      </w:pPr>
    </w:p>
    <w:p>
      <w:pPr>
        <w:jc w:val="both"/>
        <w:ind w:firstLine="1304"/>
        <w:spacing w:after="0" w:line="238" w:lineRule="auto"/>
        <w:tabs>
          <w:tab w:leader="none" w:pos="17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or elsewhere in this Agreement shall prohibit the Company, the Company Board, the Special Committee or any other committee of the Company Board from (i) taking and disclosing to shareholders of the Company a position or communication contemplated by Rule 14e-2(a), Rule 14d-9 or Item 1012(a) of Regulation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promulgated under the Exchange Act or (ii) making any disclosure or communication to shareholders of the Company that the Company Board, the Special Committee or any other committee of the Company Board determines in good faith, after consultation with, and taking into account the advice of, its outside legal counsel, is required by the directors’ fiduciary duties or applicable Law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Company, the Company Board, the Special Committee or any other committee of the Company Board may recommend a Takeover Proposal unless expressly permitted by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disclosure that has the substantive effect of withdrawing or adversely modifying the Company Board Recommendation and any such disclosure that relates to a Takeover Proposal shall in each case be deemed to be an Adverse Recommendation Change (it being understood that any “stop, look or listen” communication pursuant to Rule 14d-9(f) shall not, in and of itself, be deemed to be an Adverse Recommendation Change)).</w:t>
      </w:r>
    </w:p>
    <w:p>
      <w:pPr>
        <w:spacing w:after="0" w:line="185" w:lineRule="exact"/>
        <w:rPr>
          <w:sz w:val="20"/>
          <w:szCs w:val="20"/>
          <w:color w:val="auto"/>
        </w:rPr>
      </w:pPr>
    </w:p>
    <w:p>
      <w:pPr>
        <w:jc w:val="both"/>
        <w:ind w:firstLine="1304"/>
        <w:spacing w:after="0" w:line="275" w:lineRule="auto"/>
        <w:tabs>
          <w:tab w:leader="none" w:pos="1724"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Acceptable Confidentiality Agreement</w:t>
      </w:r>
      <w:r>
        <w:rPr>
          <w:rFonts w:ascii="Arial" w:cs="Arial" w:eastAsia="Arial" w:hAnsi="Arial"/>
          <w:sz w:val="19"/>
          <w:szCs w:val="19"/>
          <w:color w:val="auto"/>
        </w:rPr>
        <w:t xml:space="preserve">” shall mean (i) any confidentiality agreement entered into by the Company from and after the date of this Agreement that contains confidentiality provisions that are not materially less favorable in the aggregate to the Company than those contained in the Confidentiality Agreement and which does not restrict the Company from providing the access, information or data required to be provided to Parent pursuant to this Agreement, including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or (ii) any confidentiality agreement entered into prior to the date of this Agreement, except that if any such confidentiality agreement would restrict the Company from providing the access, information or data required to be provided to Parent pursuant to this Agreement, including this </w:t>
      </w:r>
      <w:r>
        <w:rPr>
          <w:rFonts w:ascii="Arial" w:cs="Arial" w:eastAsia="Arial" w:hAnsi="Arial"/>
          <w:sz w:val="19"/>
          <w:szCs w:val="19"/>
          <w:u w:val="single" w:color="auto"/>
          <w:color w:val="auto"/>
        </w:rPr>
        <w:t>Section 5.02</w:t>
      </w:r>
      <w:r>
        <w:rPr>
          <w:rFonts w:ascii="Arial" w:cs="Arial" w:eastAsia="Arial" w:hAnsi="Arial"/>
          <w:sz w:val="19"/>
          <w:szCs w:val="19"/>
          <w:color w:val="auto"/>
        </w:rPr>
        <w:t>, no such confidentiality agreement shall constitute an Acceptable Confidentiality Agreement unless and until it has been amended to remove any such restrictions.</w:t>
      </w:r>
    </w:p>
    <w:p>
      <w:pPr>
        <w:spacing w:after="0" w:line="184" w:lineRule="exact"/>
        <w:rPr>
          <w:rFonts w:ascii="Arial" w:cs="Arial" w:eastAsia="Arial" w:hAnsi="Arial"/>
          <w:sz w:val="19"/>
          <w:szCs w:val="19"/>
          <w:color w:val="auto"/>
        </w:rPr>
      </w:pPr>
    </w:p>
    <w:p>
      <w:pPr>
        <w:jc w:val="both"/>
        <w:ind w:firstLine="1304"/>
        <w:spacing w:after="0" w:line="273" w:lineRule="auto"/>
        <w:tabs>
          <w:tab w:leader="none" w:pos="16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Intervening Event</w:t>
      </w:r>
      <w:r>
        <w:rPr>
          <w:rFonts w:ascii="Arial" w:cs="Arial" w:eastAsia="Arial" w:hAnsi="Arial"/>
          <w:sz w:val="19"/>
          <w:szCs w:val="19"/>
          <w:color w:val="auto"/>
        </w:rPr>
        <w:t xml:space="preserve">” means any event, change, effect, condition, development, fact or circumstance with respect to the Company and its Subsidiaries or their respective businesses that (i) is neither known by, nor reasonably foreseeable (with respect to magnitude or material consequences) by the Company Board or the Special Committee as of the date of this Agreement and (ii) does not relate to any Takeover Proposal;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foregoing shall constitute an Intervening Event: (A)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(B)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w:t>
      </w:r>
    </w:p>
    <w:p>
      <w:pPr>
        <w:spacing w:after="0" w:line="182" w:lineRule="exact"/>
        <w:rPr>
          <w:rFonts w:ascii="Arial" w:cs="Arial" w:eastAsia="Arial" w:hAnsi="Arial"/>
          <w:sz w:val="19"/>
          <w:szCs w:val="19"/>
          <w:color w:val="auto"/>
        </w:rPr>
      </w:pPr>
    </w:p>
    <w:p>
      <w:pPr>
        <w:jc w:val="both"/>
        <w:ind w:firstLine="1304"/>
        <w:spacing w:after="0" w:line="249" w:lineRule="auto"/>
        <w:tabs>
          <w:tab w:leader="none" w:pos="1671" w:val="left"/>
        </w:tabs>
        <w:numPr>
          <w:ilvl w:val="0"/>
          <w:numId w:val="68"/>
        </w:numPr>
        <w:rPr>
          <w:rFonts w:ascii="Arial" w:cs="Arial" w:eastAsia="Arial" w:hAnsi="Arial"/>
          <w:sz w:val="21"/>
          <w:szCs w:val="21"/>
          <w:color w:val="auto"/>
        </w:rPr>
      </w:pPr>
      <w:r>
        <w:rPr>
          <w:rFonts w:ascii="Arial" w:cs="Arial" w:eastAsia="Arial" w:hAnsi="Arial"/>
          <w:sz w:val="21"/>
          <w:szCs w:val="21"/>
          <w:color w:val="auto"/>
        </w:rPr>
        <w:t>As used in this Agreement, “</w:t>
      </w:r>
      <w:r>
        <w:rPr>
          <w:rFonts w:ascii="Arial" w:cs="Arial" w:eastAsia="Arial" w:hAnsi="Arial"/>
          <w:sz w:val="21"/>
          <w:szCs w:val="21"/>
          <w:u w:val="single" w:color="auto"/>
          <w:color w:val="auto"/>
        </w:rPr>
        <w:t>Takeover Proposal</w:t>
      </w:r>
      <w:r>
        <w:rPr>
          <w:rFonts w:ascii="Arial" w:cs="Arial" w:eastAsia="Arial" w:hAnsi="Arial"/>
          <w:sz w:val="21"/>
          <w:szCs w:val="21"/>
          <w:color w:val="auto"/>
        </w:rPr>
        <w:t>” shall mean any inquiry, proposal (whether or not in writing) or offer from any Person or group (other than Parent and its Subsidiaries) relating to, in a single transaction or series of related transactions, any direct or indirect (i) acquisition that if consummated would result in any Person or group owning 20% or more of the assets (based on the fair market value thereof, as determined in good faith by the Company Board, the Special Committee or any other committee of the Company Board),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ind w:left="11100"/>
        <w:spacing w:after="0"/>
        <w:rPr>
          <w:sz w:val="20"/>
          <w:szCs w:val="20"/>
          <w:color w:val="auto"/>
        </w:rPr>
      </w:pPr>
      <w:r>
        <w:rPr>
          <w:rFonts w:ascii="Arial" w:cs="Arial" w:eastAsia="Arial" w:hAnsi="Arial"/>
          <w:sz w:val="12"/>
          <w:szCs w:val="12"/>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or net income of the Company and its Subsidiaries, taken as a whole, (ii) acquisition of Common Shares representing 20% or more of the outstanding Common Shares, (iii) tender offer or exchange offer that if consummated would result in any Person or group having beneficial ownership of Common Shares representing 20% or more of the outstanding Common Shares or</w:t>
      </w:r>
    </w:p>
    <w:p>
      <w:pPr>
        <w:spacing w:after="0" w:line="1" w:lineRule="exact"/>
        <w:rPr>
          <w:sz w:val="20"/>
          <w:szCs w:val="20"/>
          <w:color w:val="auto"/>
        </w:rPr>
      </w:pPr>
    </w:p>
    <w:p>
      <w:pPr>
        <w:jc w:val="both"/>
        <w:ind w:firstLine="8"/>
        <w:spacing w:after="0" w:line="273" w:lineRule="auto"/>
        <w:tabs>
          <w:tab w:leader="none" w:pos="423" w:val="left"/>
        </w:tabs>
        <w:numPr>
          <w:ilvl w:val="0"/>
          <w:numId w:val="69"/>
        </w:numPr>
        <w:rPr>
          <w:rFonts w:ascii="Arial" w:cs="Arial" w:eastAsia="Arial" w:hAnsi="Arial"/>
          <w:sz w:val="19"/>
          <w:szCs w:val="19"/>
          <w:color w:val="auto"/>
        </w:rPr>
      </w:pPr>
      <w:r>
        <w:rPr>
          <w:rFonts w:ascii="Arial" w:cs="Arial" w:eastAsia="Arial" w:hAnsi="Arial"/>
          <w:sz w:val="19"/>
          <w:szCs w:val="19"/>
          <w:color w:val="auto"/>
        </w:rPr>
        <w:t>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20% or more of the aggregate voting power of the Company or of the surviving entity in a merger or amalgamation involving the Company or the resulting direct or indirect parent of the Company or such surviving entity, in each case, other than (A) the Transactions or (B) any such transaction or series of related transactions resulting from the acquisition of Common Shares by one or more of the Rolling Shareholders solely from the transfer or other disposition of Common Shares by another Rolling Shareholder as expressly contemplated by the Rollover Agreement.</w:t>
      </w:r>
    </w:p>
    <w:p>
      <w:pPr>
        <w:spacing w:after="0" w:line="186" w:lineRule="exact"/>
        <w:rPr>
          <w:rFonts w:ascii="Arial" w:cs="Arial" w:eastAsia="Arial" w:hAnsi="Arial"/>
          <w:sz w:val="19"/>
          <w:szCs w:val="19"/>
          <w:color w:val="auto"/>
        </w:rPr>
      </w:pPr>
    </w:p>
    <w:p>
      <w:pPr>
        <w:jc w:val="both"/>
        <w:ind w:firstLine="1304"/>
        <w:spacing w:after="0" w:line="268" w:lineRule="auto"/>
        <w:tabs>
          <w:tab w:leader="none" w:pos="1631" w:val="left"/>
        </w:tabs>
        <w:numPr>
          <w:ilvl w:val="1"/>
          <w:numId w:val="69"/>
        </w:numPr>
        <w:rPr>
          <w:rFonts w:ascii="Arial" w:cs="Arial" w:eastAsia="Arial" w:hAnsi="Arial"/>
          <w:sz w:val="19"/>
          <w:szCs w:val="19"/>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Superior Proposal</w:t>
      </w:r>
      <w:r>
        <w:rPr>
          <w:rFonts w:ascii="Arial" w:cs="Arial" w:eastAsia="Arial" w:hAnsi="Arial"/>
          <w:sz w:val="19"/>
          <w:szCs w:val="19"/>
          <w:color w:val="auto"/>
        </w:rPr>
        <w:t xml:space="preserve">” shall mean any bona fide written Takeover Proposal that the Company Board, the Special Committee or any other committee of the Company Board has determined in its good faith judgment, after consultation with, and taking into account the advice of, its financial advisor and outside legal counsel, and taking into account all relevant (in the view of the Company Board, the Special Committee or such other committee of the Company Board) legal, regulatory, financial and other aspects, including the risk and timing of consummation of such proposal and any changes to the terms of this Agreement committed to by Parent in response to such Superior Proposal, would be more favorable to the Public Shareholders than the Merger;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the definition of “Superior Proposal”, (A) the reference to 20%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the definition of Takeover Proposal shall be deemed to be a reference to 50%, (B) the references to “20% or more of the outstanding Common Shares” in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the definition of Takeover Proposal shall be deemed to be references to “no less than all of the outstanding Common Shares not owned by the Rolling Shareholders and their Affiliates” and</w:t>
      </w:r>
    </w:p>
    <w:p>
      <w:pPr>
        <w:spacing w:after="0" w:line="8"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 xml:space="preserve">(C) the reference to “20% or more of the aggregate voting power” in </w:t>
      </w:r>
      <w:r>
        <w:rPr>
          <w:rFonts w:ascii="Arial" w:cs="Arial" w:eastAsia="Arial" w:hAnsi="Arial"/>
          <w:sz w:val="22"/>
          <w:szCs w:val="22"/>
          <w:u w:val="single" w:color="auto"/>
          <w:color w:val="auto"/>
        </w:rPr>
        <w:t>clause (iv)</w:t>
      </w:r>
      <w:r>
        <w:rPr>
          <w:rFonts w:ascii="Arial" w:cs="Arial" w:eastAsia="Arial" w:hAnsi="Arial"/>
          <w:sz w:val="22"/>
          <w:szCs w:val="22"/>
          <w:color w:val="auto"/>
        </w:rPr>
        <w:t xml:space="preserve"> of the definition of Takeover Proposal shall be deemed to be a reference to “no less than the percentage of the aggregate voting power of the outstanding Common Shares not owned by the Rolling Shareholders and their Affiliates prior to such transaction”.</w:t>
      </w:r>
    </w:p>
    <w:p>
      <w:pPr>
        <w:spacing w:after="0" w:line="214" w:lineRule="exact"/>
        <w:rPr>
          <w:rFonts w:ascii="Arial" w:cs="Arial" w:eastAsia="Arial" w:hAnsi="Arial"/>
          <w:sz w:val="19"/>
          <w:szCs w:val="19"/>
          <w:color w:val="auto"/>
        </w:rPr>
      </w:pPr>
    </w:p>
    <w:p>
      <w:pPr>
        <w:ind w:left="1660" w:hanging="356"/>
        <w:spacing w:after="0"/>
        <w:tabs>
          <w:tab w:leader="none" w:pos="16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5.02</w:t>
      </w:r>
      <w:r>
        <w:rPr>
          <w:rFonts w:ascii="Arial" w:cs="Arial" w:eastAsia="Arial" w:hAnsi="Arial"/>
          <w:sz w:val="19"/>
          <w:szCs w:val="19"/>
          <w:color w:val="auto"/>
        </w:rPr>
        <w:t>, “</w:t>
      </w:r>
      <w:r>
        <w:rPr>
          <w:rFonts w:ascii="Arial" w:cs="Arial" w:eastAsia="Arial" w:hAnsi="Arial"/>
          <w:sz w:val="19"/>
          <w:szCs w:val="19"/>
          <w:u w:val="single" w:color="auto"/>
          <w:color w:val="auto"/>
        </w:rPr>
        <w:t>group</w:t>
      </w:r>
      <w:r>
        <w:rPr>
          <w:rFonts w:ascii="Arial" w:cs="Arial" w:eastAsia="Arial" w:hAnsi="Arial"/>
          <w:sz w:val="19"/>
          <w:szCs w:val="19"/>
          <w:color w:val="auto"/>
        </w:rPr>
        <w:t>” has the meaning ascribed to it in Rule 13d-5 promulgated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Exchange Act.</w:t>
      </w:r>
    </w:p>
    <w:p>
      <w:pPr>
        <w:spacing w:after="0" w:line="215"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Preparation of Schedule 13E-3</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9" w:lineRule="auto"/>
        <w:tabs>
          <w:tab w:leader="none" w:pos="1647" w:val="left"/>
        </w:tabs>
        <w:numPr>
          <w:ilvl w:val="0"/>
          <w:numId w:val="70"/>
        </w:numPr>
        <w:rPr>
          <w:rFonts w:ascii="Arial" w:cs="Arial" w:eastAsia="Arial" w:hAnsi="Arial"/>
          <w:sz w:val="19"/>
          <w:szCs w:val="19"/>
          <w:color w:val="auto"/>
        </w:rPr>
      </w:pPr>
      <w:r>
        <w:rPr>
          <w:rFonts w:ascii="Arial" w:cs="Arial" w:eastAsia="Arial" w:hAnsi="Arial"/>
          <w:sz w:val="19"/>
          <w:szCs w:val="19"/>
          <w:color w:val="auto"/>
        </w:rPr>
        <w:t>As promptly as reasonably practicable after the execution of this Agreement, the Company, Parent and Merger Sub shall, and shall cause their respective Affiliates (as applicable) to, jointly prepare and the Company shall and shall cause its Affiliates (as applicable) to file, and, to the extent the SEC or its staff indicates that it is required, Parent and Merger Sub shall, and shall cause their respective Affiliates (as applicable) to, file with the SEC the Rule 13E-3 transaction statement on Schedule 13E-3 relating to the adoption of this Agreement by the shareholders of the Company (including all exhibits and any amendments or supplements thereto, the “</w:t>
      </w:r>
      <w:r>
        <w:rPr>
          <w:rFonts w:ascii="Arial" w:cs="Arial" w:eastAsia="Arial" w:hAnsi="Arial"/>
          <w:sz w:val="19"/>
          <w:szCs w:val="19"/>
          <w:u w:val="single" w:color="auto"/>
          <w:color w:val="auto"/>
        </w:rPr>
        <w:t>Schedule 13E-3</w:t>
      </w:r>
      <w:r>
        <w:rPr>
          <w:rFonts w:ascii="Arial" w:cs="Arial" w:eastAsia="Arial" w:hAnsi="Arial"/>
          <w:sz w:val="19"/>
          <w:szCs w:val="19"/>
          <w:color w:val="auto"/>
        </w:rPr>
        <w:t>”), including a proxy statement relating to the approval and adoption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Agreement, the Statutory Merger Agreement and the Transactions, including the Merger, by the shareholders of the Company (including all exhibits and any amendments or supplements thereto, the “</w:t>
      </w:r>
      <w:r>
        <w:rPr>
          <w:rFonts w:ascii="Arial" w:cs="Arial" w:eastAsia="Arial" w:hAnsi="Arial"/>
          <w:sz w:val="22"/>
          <w:szCs w:val="22"/>
          <w:u w:val="single" w:color="auto"/>
          <w:color w:val="auto"/>
        </w:rPr>
        <w:t>Proxy Statement</w:t>
      </w:r>
      <w:r>
        <w:rPr>
          <w:rFonts w:ascii="Arial" w:cs="Arial" w:eastAsia="Arial" w:hAnsi="Arial"/>
          <w:sz w:val="22"/>
          <w:szCs w:val="22"/>
          <w:color w:val="auto"/>
        </w:rPr>
        <w:t>”).</w:t>
      </w:r>
    </w:p>
    <w:p>
      <w:pPr>
        <w:spacing w:after="0" w:line="202" w:lineRule="exact"/>
        <w:rPr>
          <w:sz w:val="20"/>
          <w:szCs w:val="20"/>
          <w:color w:val="auto"/>
        </w:rPr>
      </w:pPr>
    </w:p>
    <w:p>
      <w:pPr>
        <w:jc w:val="both"/>
        <w:ind w:firstLine="1304"/>
        <w:spacing w:after="0" w:line="273" w:lineRule="auto"/>
        <w:tabs>
          <w:tab w:leader="none" w:pos="1673" w:val="left"/>
        </w:tabs>
        <w:numPr>
          <w:ilvl w:val="0"/>
          <w:numId w:val="71"/>
        </w:numPr>
        <w:rPr>
          <w:rFonts w:ascii="Arial" w:cs="Arial" w:eastAsia="Arial" w:hAnsi="Arial"/>
          <w:sz w:val="19"/>
          <w:szCs w:val="19"/>
          <w:color w:val="auto"/>
        </w:rPr>
      </w:pPr>
      <w:r>
        <w:rPr>
          <w:rFonts w:ascii="Arial" w:cs="Arial" w:eastAsia="Arial" w:hAnsi="Arial"/>
          <w:sz w:val="19"/>
          <w:szCs w:val="19"/>
          <w:color w:val="auto"/>
        </w:rPr>
        <w:t>Each of the Company, Parent and Merger Sub shall use its reasonable best efforts so that the Schedule 13E-3 will comply as to form in all material respects with the requirements of the Exchange Act and the rules and regulations promulgated thereunder. Each of the Company, Parent and Merger Sub shall use its reasonable best efforts to respond (with the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assistance of, and after consultation with, each other as provided by this </w:t>
      </w:r>
      <w:r>
        <w:rPr>
          <w:rFonts w:ascii="Arial" w:cs="Arial" w:eastAsia="Arial" w:hAnsi="Arial"/>
          <w:sz w:val="19"/>
          <w:szCs w:val="19"/>
          <w:u w:val="single" w:color="auto"/>
          <w:color w:val="auto"/>
        </w:rPr>
        <w:t>Section 5.03(b)</w:t>
      </w:r>
      <w:r>
        <w:rPr>
          <w:rFonts w:ascii="Arial" w:cs="Arial" w:eastAsia="Arial" w:hAnsi="Arial"/>
          <w:sz w:val="19"/>
          <w:szCs w:val="19"/>
          <w:color w:val="auto"/>
        </w:rPr>
        <w:t>) promptly to any comments of the SEC with respect to the Schedule 13E-3 and to resolve comments from the SEC. Each of the Company, Parent and Merger Sub shall furnish all information concerning such party or its Affiliates (as applicable) to the others as may be reasonably requested in connection with the preparation, filing and distribution of the Schedule 13E-3 and the resolution of comments with respect thereto from the SEC. Each of the Company, Parent and Merger Sub shall promptly notify the other parties hereto upon the receipt of any comments from the SEC or its staff or any request from the SEC or its staff for amendments or supplements to the Schedule 13E-3 and shall provide such other parties with copies of all correspondence between it and its Representatives, on the one hand, and the SEC and its staff, on the other hand. Prior to filing the Schedule 13E-3 or mailing the Proxy Statement (or in each case, any amendment or supplement thereto) or responding to any comments of the SEC with respect thereto, the Company</w:t>
      </w:r>
    </w:p>
    <w:p>
      <w:pPr>
        <w:spacing w:after="0" w:line="8" w:lineRule="exact"/>
        <w:rPr>
          <w:sz w:val="20"/>
          <w:szCs w:val="20"/>
          <w:color w:val="auto"/>
        </w:rPr>
      </w:pPr>
    </w:p>
    <w:p>
      <w:pPr>
        <w:ind w:firstLine="8"/>
        <w:spacing w:after="0" w:line="308" w:lineRule="auto"/>
        <w:tabs>
          <w:tab w:leader="none" w:pos="268" w:val="left"/>
        </w:tabs>
        <w:numPr>
          <w:ilvl w:val="0"/>
          <w:numId w:val="72"/>
        </w:numPr>
        <w:rPr>
          <w:rFonts w:ascii="Arial" w:cs="Arial" w:eastAsia="Arial" w:hAnsi="Arial"/>
          <w:sz w:val="19"/>
          <w:szCs w:val="19"/>
          <w:color w:val="auto"/>
        </w:rPr>
      </w:pPr>
      <w:r>
        <w:rPr>
          <w:rFonts w:ascii="Arial" w:cs="Arial" w:eastAsia="Arial" w:hAnsi="Arial"/>
          <w:sz w:val="19"/>
          <w:szCs w:val="19"/>
          <w:color w:val="auto"/>
        </w:rPr>
        <w:t>shall provide Parent and Merger Sub with a reasonable period of time to review and comment on such document or response and (ii) shall consider in good faith all additions, deletions or changes reasonably proposed by Parent in good faith.</w:t>
      </w:r>
    </w:p>
    <w:p>
      <w:pPr>
        <w:spacing w:after="0" w:line="150" w:lineRule="exact"/>
        <w:rPr>
          <w:rFonts w:ascii="Arial" w:cs="Arial" w:eastAsia="Arial" w:hAnsi="Arial"/>
          <w:sz w:val="19"/>
          <w:szCs w:val="19"/>
          <w:color w:val="auto"/>
        </w:rPr>
      </w:pPr>
    </w:p>
    <w:p>
      <w:pPr>
        <w:jc w:val="both"/>
        <w:ind w:firstLine="1304"/>
        <w:spacing w:after="0" w:line="273" w:lineRule="auto"/>
        <w:tabs>
          <w:tab w:leader="none" w:pos="165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If at any time prior to the Company Shareholders Meeting, any event, circumstance or information relating to Parent, Merger Sub or the Company, or their respective Affiliates, officers or directors, should be discovered that should be set forth in an amendment or a supplement to the Proxy Statement or the Schedule 13E-3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or circumstance shall be promptly filed with the SEC and disseminated to the shareholders of the Company to the extent required by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such filing, the Company and Parent, as the case may be, shall consult with each other with respect to such amendment or supplement and shall afford the other party hereto and its Representatives a reasonable opportunity to comment thereon.</w:t>
      </w:r>
    </w:p>
    <w:p>
      <w:pPr>
        <w:spacing w:after="0" w:line="187" w:lineRule="exact"/>
        <w:rPr>
          <w:rFonts w:ascii="Arial" w:cs="Arial" w:eastAsia="Arial" w:hAnsi="Arial"/>
          <w:sz w:val="19"/>
          <w:szCs w:val="19"/>
          <w:color w:val="auto"/>
        </w:rPr>
      </w:pPr>
    </w:p>
    <w:p>
      <w:pPr>
        <w:jc w:val="both"/>
        <w:ind w:firstLine="1304"/>
        <w:spacing w:after="0"/>
        <w:tabs>
          <w:tab w:leader="none" w:pos="1646"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Company shall cause the Proxy Statement and Schedule 13E-3 to be mailed to shareholders of the Company as of the record date established for the Company Shareholders Meeting promptly as practicable after the date on which the SEC confirms that it has no further comments on the Schedule 13E-3.</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1794" w:val="left"/>
        </w:tabs>
        <w:numPr>
          <w:ilvl w:val="1"/>
          <w:numId w:val="72"/>
        </w:numPr>
        <w:rPr>
          <w:rFonts w:ascii="Arial" w:cs="Arial" w:eastAsia="Arial" w:hAnsi="Arial"/>
          <w:sz w:val="22"/>
          <w:szCs w:val="22"/>
          <w:color w:val="auto"/>
        </w:rPr>
      </w:pPr>
      <w:r>
        <w:rPr>
          <w:rFonts w:ascii="Arial" w:cs="Arial" w:eastAsia="Arial" w:hAnsi="Arial"/>
          <w:sz w:val="22"/>
          <w:szCs w:val="22"/>
          <w:color w:val="auto"/>
        </w:rPr>
        <w:t>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11100"/>
        <w:spacing w:after="0"/>
        <w:rPr>
          <w:sz w:val="20"/>
          <w:szCs w:val="20"/>
          <w:color w:val="auto"/>
        </w:rPr>
      </w:pPr>
      <w:r>
        <w:rPr>
          <w:rFonts w:ascii="Arial" w:cs="Arial" w:eastAsia="Arial" w:hAnsi="Arial"/>
          <w:sz w:val="12"/>
          <w:szCs w:val="12"/>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45" w:lineRule="exact"/>
        <w:rPr>
          <w:sz w:val="20"/>
          <w:szCs w:val="20"/>
          <w:color w:val="auto"/>
        </w:rPr>
      </w:pPr>
      <w:r>
        <w:rPr>
          <w:rFonts w:ascii="Arial" w:cs="Arial" w:eastAsia="Arial" w:hAnsi="Arial"/>
          <w:sz w:val="19"/>
          <w:szCs w:val="19"/>
          <w:color w:val="auto"/>
        </w:rPr>
        <w:t xml:space="preserve">with the SEC in connection with the Transactions, will, as of the time such documents (or any amendment thereof or supplement thereto) are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representation, warranty, covenant or agreement is made by Parent, Merger Sub or the Company with respect to information supplied by the other party for inclusion or incorporation by reference in the Proxy Statement or the Schedule 13E</w:t>
      </w:r>
      <w:r>
        <w:rPr>
          <w:rFonts w:ascii="MS PGothic" w:cs="MS PGothic" w:eastAsia="MS PGothic" w:hAnsi="MS PGothic"/>
          <w:sz w:val="19"/>
          <w:szCs w:val="19"/>
          <w:color w:val="auto"/>
        </w:rPr>
        <w:t>‑</w:t>
      </w:r>
      <w:r>
        <w:rPr>
          <w:rFonts w:ascii="Arial" w:cs="Arial" w:eastAsia="Arial" w:hAnsi="Arial"/>
          <w:sz w:val="19"/>
          <w:szCs w:val="19"/>
          <w:color w:val="auto"/>
        </w:rPr>
        <w:t>3, as applicable.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220" w:lineRule="exact"/>
        <w:rPr>
          <w:sz w:val="20"/>
          <w:szCs w:val="20"/>
          <w:color w:val="auto"/>
        </w:rPr>
      </w:pPr>
    </w:p>
    <w:p>
      <w:pPr>
        <w:jc w:val="both"/>
        <w:ind w:firstLine="1304"/>
        <w:spacing w:after="0" w:line="233" w:lineRule="auto"/>
        <w:tabs>
          <w:tab w:leader="none" w:pos="1687"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the Company Board shall make the Company Board Recommendation and shall include such recommendation in the Proxy Statement. For the avoidance of doubt, nothing in this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shall limit or preclude the ability of the Company Board or the Special Committee to effect an Adverse Recommendation Change pursuant to and in accordance with </w:t>
      </w:r>
      <w:r>
        <w:rPr>
          <w:rFonts w:ascii="Arial" w:cs="Arial" w:eastAsia="Arial" w:hAnsi="Arial"/>
          <w:sz w:val="22"/>
          <w:szCs w:val="22"/>
          <w:u w:val="single" w:color="auto"/>
          <w:color w:val="auto"/>
        </w:rPr>
        <w:t>Section 5.02</w:t>
      </w:r>
      <w:r>
        <w:rPr>
          <w:rFonts w:ascii="Arial" w:cs="Arial" w:eastAsia="Arial" w:hAnsi="Arial"/>
          <w:sz w:val="22"/>
          <w:szCs w:val="22"/>
          <w:color w:val="auto"/>
        </w:rPr>
        <w:t>. In connection with any disclosure regarding an Adverse Recommendation Change, the Company shall not be required to provide Parent or Merger Sub (i) the opportunity to review or comment on (or include comments proposed by Parent or Merger Sub in) the Proxy Statement or any amendment or supplement thereto, (ii) any comments thereon or requests related thereto from, or any other filing or correspondence with, the SEC or any other Governmental Authority, in each case with respect to such disclosure, or (iii) any notification with respect to any of the foregoing.</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Company Shareholders Meeting</w:t>
      </w:r>
      <w:r>
        <w:rPr>
          <w:rFonts w:ascii="Arial" w:cs="Arial" w:eastAsia="Arial" w:hAnsi="Arial"/>
          <w:sz w:val="19"/>
          <w:szCs w:val="19"/>
          <w:color w:val="auto"/>
        </w:rPr>
        <w:t>. As soon as reasonably practicable after the SEC confirms that it has no further comments on the Schedule 13E-3, the Company shall take all necessary actions in accordance with applicable Law, the Company Organizational Documents and the rules of the New York Stock Exchange to call, give notice of, convene and hold a meeting of its shareholders (including any adjournment, recess, reconvening or postponement thereof, the “</w:t>
      </w:r>
      <w:r>
        <w:rPr>
          <w:rFonts w:ascii="Arial" w:cs="Arial" w:eastAsia="Arial" w:hAnsi="Arial"/>
          <w:sz w:val="19"/>
          <w:szCs w:val="19"/>
          <w:u w:val="single" w:color="auto"/>
          <w:color w:val="auto"/>
        </w:rPr>
        <w:t>Company Shareholders Meeting</w:t>
      </w:r>
      <w:r>
        <w:rPr>
          <w:rFonts w:ascii="Arial" w:cs="Arial" w:eastAsia="Arial" w:hAnsi="Arial"/>
          <w:sz w:val="19"/>
          <w:szCs w:val="19"/>
          <w:color w:val="auto"/>
        </w:rPr>
        <w:t xml:space="preserve">”) for the purpose of obtaining the Required Shareholder Approvals (it being understood that, unless this Agreement is terminated in accordance with its terms, the requirement to hold the Company Shareholders Meeting shall not be affected by any Adverse Recommendation Change). Subject to </w:t>
      </w:r>
      <w:r>
        <w:rPr>
          <w:rFonts w:ascii="Arial" w:cs="Arial" w:eastAsia="Arial" w:hAnsi="Arial"/>
          <w:sz w:val="19"/>
          <w:szCs w:val="19"/>
          <w:u w:val="single" w:color="auto"/>
          <w:color w:val="auto"/>
        </w:rPr>
        <w:t>Section 5.02</w:t>
      </w:r>
      <w:r>
        <w:rPr>
          <w:rFonts w:ascii="Arial" w:cs="Arial" w:eastAsia="Arial" w:hAnsi="Arial"/>
          <w:sz w:val="19"/>
          <w:szCs w:val="19"/>
          <w:color w:val="auto"/>
        </w:rPr>
        <w:t>, the Company shall use its reasonable best efforts to obtain the Required Shareholder Approvals. Notwithstanding anything to the contrary contained in this Agreement, the Company may adjourn, recess, reconvene or postpone the Company Shareholders Meeting if, after consultation with Parent, the Company reasonably believes that (i) such adjournment, recess, reconvening or postponement is necessary to ensure that any required supplement or amendment to the Proxy Statement or Schedule 13E-3 (as determined after consultation with its outside counsel) is provided to the Company’s shareholders within a reasonable amount of time in advance of the Company Shareholders Meeting, (ii) as of the time for which the Company Shareholders Meeting is originally scheduled (as set forth in the Proxy Statement), (A) there will be an insufficient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of Common Shares or Preference Shares present (either in person or by proxy) to constitute a quorum necessary to conduct the business of the Company Shareholders Meeting or (B) there will be an insufficient number of proxies to obtain the Required Shareholder Approvals or (iii) such adjournment, recess, reconvening or postponement is required by applicable Law or a court or other Governmental Authority of competent jurisdiction in connection with any Actions in connection with this Agreement or the Transactions or has been requested by the SEC or its staff;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the Company Shareholders Meeting shall not be adjourned, recessed or postponed to a date that is more than 30 days after the date on which the Company Shareholders Meeting was originally scheduled without the prior written consent of Parent (not to be unreasonably withheld, conditioned or delayed). The Company shall keep Parent and its Representatives reasonably apprised following the mailing of the Proxy Statement and prior to the date of the Company Shareholders Meeting (and any reconvening thereof) as to the aggregate tally of proxies received by the Company with respect to the Required Shareholder Approvals and whether such proxies have been voted affirmatively or negatively with respect to each of the proposals to be presented at the Company Shareholders Meeting.</w:t>
      </w:r>
    </w:p>
    <w:p>
      <w:pPr>
        <w:spacing w:after="0" w:line="213"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u w:val="single" w:color="auto"/>
          <w:color w:val="auto"/>
        </w:rPr>
        <w:t>Reasonable Best Efforts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0" w:lineRule="auto"/>
        <w:tabs>
          <w:tab w:leader="none" w:pos="16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Subject to and upon the terms and conditions of this Agreement, each of the parties hereto shall cooperate with the other parties hereto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applicable to such party to be satisfied as promptly as reasonably practicable and to consummate and make effective, in the most expeditious manner reasonably practicable, the Transactions, including (A) taking all such actions contemplated by the terms of the Statutory Merger Agreement, (B) otherwise preparing and filing promptly and fully all documentation to effect all necessary filings, notices, petitions, statements, registrations, submissions of information, applications and other documents and (C) executing and delivering any additional instruments necessary to consummate the Transactions, (ii) obtain all Consents from any Governmental Authority or third-party necessary, proper or advisable to consummate the Transactions, including any such Consents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could otherwise prevent or impede, interfere with, hinder or delay in any material respect the consummation of the Transactions. Notwithstanding anything in this Agreement to the contrary, nothing in this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or elsewhere in this Agreement shall require Parent or Merger Sub to take or agree to take any action with respect to any of its Affiliates (including any Person in which any of its Affiliates has any debt or equity investment and any affiliated or commonly advised investment fund) or any direct or indirect portfolio companies (as such term is understood in the private equity industry) thereof.</w:t>
      </w:r>
    </w:p>
    <w:p>
      <w:pPr>
        <w:spacing w:after="0" w:line="189" w:lineRule="exact"/>
        <w:rPr>
          <w:rFonts w:ascii="Arial" w:cs="Arial" w:eastAsia="Arial" w:hAnsi="Arial"/>
          <w:sz w:val="19"/>
          <w:szCs w:val="19"/>
          <w:color w:val="auto"/>
        </w:rPr>
      </w:pPr>
    </w:p>
    <w:p>
      <w:pPr>
        <w:jc w:val="both"/>
        <w:ind w:firstLine="1304"/>
        <w:spacing w:after="0"/>
        <w:tabs>
          <w:tab w:leader="none" w:pos="1687"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Subject to and upon the terms and conditions of this Agreement, the Company and Parent shall each use its reasonable best efforts to (i) take all action necessary to ensure that no Takeover Law is or becomes applicable to any of the Transactions or this Agreement and refrain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212" w:lineRule="exact"/>
        <w:rPr>
          <w:sz w:val="20"/>
          <w:szCs w:val="20"/>
          <w:color w:val="auto"/>
        </w:rPr>
      </w:pPr>
    </w:p>
    <w:p>
      <w:pPr>
        <w:jc w:val="both"/>
        <w:ind w:firstLine="1304"/>
        <w:spacing w:after="0" w:line="271" w:lineRule="auto"/>
        <w:tabs>
          <w:tab w:leader="none" w:pos="1649"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Notwithstanding anything to the contrary herein, the Company shall use its commercially reasonable efforts to obtain the third-party Consents listed on Section 5.05(c)(i) of the Company Disclosure Letter (the “</w:t>
      </w:r>
      <w:r>
        <w:rPr>
          <w:rFonts w:ascii="Arial" w:cs="Arial" w:eastAsia="Arial" w:hAnsi="Arial"/>
          <w:sz w:val="19"/>
          <w:szCs w:val="19"/>
          <w:u w:val="single" w:color="auto"/>
          <w:color w:val="auto"/>
        </w:rPr>
        <w:t>Required Third-Party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in connection with the consummation of the Transactions, and Parent shall use its commercially reasonable efforts to cooperate with the Company with respect to (i) obtaining such Required Third-Party Consents or (ii) taking such action to obviate the need for such Required Third-Party Consents, including the replacement or refinancing of any indebtedness in a manner permitted by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(and in the event any such action has resulted in the obviation of any Consent requirement with respect to any Required Third-Party Consent, such Required Third-Party Consent shall no longer be deemed to be a Required Third-Party Consent for purposes of this </w:t>
      </w:r>
      <w:r>
        <w:rPr>
          <w:rFonts w:ascii="Arial" w:cs="Arial" w:eastAsia="Arial" w:hAnsi="Arial"/>
          <w:sz w:val="19"/>
          <w:szCs w:val="19"/>
          <w:u w:val="single" w:color="auto"/>
          <w:color w:val="auto"/>
        </w:rPr>
        <w:t>Section 5.05(c)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party hereto shall be required to pay (and the Company and its Subsidiaries shall not pay or agree to pay any amounts in excess of the amount set forth in Section 5.05(c)(ii) of the Company Disclosure Letter with respect to any individual Required Third-Party Consent without the prior written consent of Parent (such consent not to be unreasonably withheld, conditioned or delayed)) any fee, penalty or other consideration to any third-party for any such Required Third-Party Consents or for any other Consent or approval required for the consummation of the transactions contemplated by this Agreement under any Contract. Notwithstanding the foregoing, each party hereto acknowledges and agrees that its respective obligations to effect the Transaction is not subject to any condition or contingency with respect to the receipt of any third-party Consents, except to the extent expressly set forth in </w:t>
      </w:r>
      <w:r>
        <w:rPr>
          <w:rFonts w:ascii="Arial" w:cs="Arial" w:eastAsia="Arial" w:hAnsi="Arial"/>
          <w:sz w:val="19"/>
          <w:szCs w:val="19"/>
          <w:u w:val="single" w:color="auto"/>
          <w:color w:val="auto"/>
        </w:rPr>
        <w:t>Sections 6.02(a)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6.02(d)</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Transfer Taxes</w:t>
      </w:r>
      <w:r>
        <w:rPr>
          <w:rFonts w:ascii="Arial" w:cs="Arial" w:eastAsia="Arial" w:hAnsi="Arial"/>
          <w:sz w:val="19"/>
          <w:szCs w:val="19"/>
          <w:color w:val="auto"/>
        </w:rPr>
        <w:t>. Except as provided in Section 2.02(b), all share transfer, real estate transfer, documentary, stamp, recording and other similar Taxes (including interest, penalties and additions to any such Taxes) (“Transfer Taxes”) incurred in connection with the Transactions and imposed on Parent, Merger Sub, the Company or its Subsidiaries shall be paid by the Company, and, prior to the Effective Time, the parties hereto shall cooperate with each other in preparing, executing and filing any applicable Tax Returns with respect to such Transfer Taxes.</w:t>
      </w:r>
    </w:p>
    <w:p>
      <w:pPr>
        <w:spacing w:after="0" w:line="17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Parent and Merger Sub, on the one hand, and the Company, on the other hand,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or to the extent related to any actual or contemplated litigation between or among the parties 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apply with respect to any press release or other public statement made regarding an Adverse Recommendation Change or a Takeover Proposal following an Adverse Recommendation Change. The parties hereto agree that the initial press release to be issued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respect to the Transactions following execution of this Agreement shall be in the form heretofore agreed to by the parties hereto. Notwithstanding the foregoing, Parent and the Company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201"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Access to Information; Confidentiality</w:t>
      </w:r>
      <w:r>
        <w:rPr>
          <w:rFonts w:ascii="Arial" w:cs="Arial" w:eastAsia="Arial" w:hAnsi="Arial"/>
          <w:sz w:val="19"/>
          <w:szCs w:val="19"/>
          <w:color w:val="auto"/>
        </w:rPr>
        <w:t xml:space="preserve">. Subject to applicable Law and any applicable Judgment, between the date of this Agreement and the earlier of the Effective Time and the valid termination of this Agreement pursuant to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upon reasonable notice, the Company shall (a) afford to Parent and Parent’s Representatives reasonable access during normal business hours to the Company’s officers, employees, agents, properties, books, Contracts and records (other than any of the foregoing that relate to the negotiation and execution of this Agreement or, except as expressly provided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to any Takeover Proposal) and (b) furnish to Parent and Parent’s Representatives such information concerning its business, personnel, assets, liabilities and properties as Parent may reasonably request, in the case of each of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solely for the purpose of facilitating the consummation of the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Parent and its Representatives shall conduct any such activities in such a manner as not to interfere unreasonably with the business or operations of the Company;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obligated to provide such access or information if the Company determines, in its reasonable judgment, that doing so could (i) violate any confidentiality restrictions with its customers, (ii) result in the disclosure of trade secrets or competitively sensitive information to any competitor of the Company or any of its Subsidiaries, (iii) violate applicable Law, an applicable Judgment or a Contract or obligation of confidentiality owing to a third-party, (iv) waive the protection of an attorney-client privilege, attorney work product protection or other legal privilege, (v) be adverse to the interests of the Company or any of its Subsidiaries in any pending or threatened Action against Parent or any of its Affiliates, (vi) expose the Company to risk of liability for disclosure of sensitive or personal information or (vii) involve documents or information relating to the evaluation or negotiation of this Agreement, the Transactions or, subject to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 Takeover Proposal or Superior Proposal. Without limiting the foregoing, in the event that the Company does not provide access or information in reliance on the immediately preceding sentence, it shall provide notice to Parent that it is withholding such access or information and the basis for such withholding and shall use its reasonable best efforts to make appropriate substitute arrangements under circumstances in which any of the potential harms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above would not apply or, to the extent such arrangements are not feasible, to communicate, to the extent feasible, the applicable information in a way that would not result in any of the potential harms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w:t>
      </w:r>
    </w:p>
    <w:p>
      <w:pPr>
        <w:spacing w:after="0" w:line="16" w:lineRule="exact"/>
        <w:rPr>
          <w:sz w:val="20"/>
          <w:szCs w:val="20"/>
          <w:color w:val="auto"/>
        </w:rPr>
      </w:pPr>
    </w:p>
    <w:p>
      <w:pPr>
        <w:jc w:val="both"/>
        <w:ind w:firstLine="8"/>
        <w:spacing w:after="0" w:line="245" w:lineRule="auto"/>
        <w:tabs>
          <w:tab w:leader="none" w:pos="447" w:val="left"/>
        </w:tabs>
        <w:numPr>
          <w:ilvl w:val="0"/>
          <w:numId w:val="76"/>
        </w:numPr>
        <w:rPr>
          <w:rFonts w:ascii="Arial" w:cs="Arial" w:eastAsia="Arial" w:hAnsi="Arial"/>
          <w:sz w:val="21"/>
          <w:szCs w:val="21"/>
          <w:u w:val="single" w:color="auto"/>
          <w:color w:val="auto"/>
        </w:rPr>
      </w:pPr>
      <w:r>
        <w:rPr>
          <w:rFonts w:ascii="Arial" w:cs="Arial" w:eastAsia="Arial" w:hAnsi="Arial"/>
          <w:sz w:val="21"/>
          <w:szCs w:val="21"/>
          <w:color w:val="auto"/>
        </w:rPr>
        <w:t xml:space="preserve">above. All requests for information made pursuant to this </w:t>
      </w:r>
      <w:r>
        <w:rPr>
          <w:rFonts w:ascii="Arial" w:cs="Arial" w:eastAsia="Arial" w:hAnsi="Arial"/>
          <w:sz w:val="21"/>
          <w:szCs w:val="21"/>
          <w:u w:val="single" w:color="auto"/>
          <w:color w:val="auto"/>
        </w:rPr>
        <w:t>Section 5.08</w:t>
      </w:r>
      <w:r>
        <w:rPr>
          <w:rFonts w:ascii="Arial" w:cs="Arial" w:eastAsia="Arial" w:hAnsi="Arial"/>
          <w:sz w:val="21"/>
          <w:szCs w:val="21"/>
          <w:color w:val="auto"/>
        </w:rPr>
        <w:t xml:space="preserve"> shall be directed to the Person designated by the Company. Until the Effective Time, all information provided by the Company and its Representatives in connection with this Agreement, including pursuant to this </w:t>
      </w:r>
      <w:r>
        <w:rPr>
          <w:rFonts w:ascii="Arial" w:cs="Arial" w:eastAsia="Arial" w:hAnsi="Arial"/>
          <w:sz w:val="21"/>
          <w:szCs w:val="21"/>
          <w:u w:val="single" w:color="auto"/>
          <w:color w:val="auto"/>
        </w:rPr>
        <w:t>Section 5.08</w:t>
      </w:r>
      <w:r>
        <w:rPr>
          <w:rFonts w:ascii="Arial" w:cs="Arial" w:eastAsia="Arial" w:hAnsi="Arial"/>
          <w:sz w:val="21"/>
          <w:szCs w:val="21"/>
          <w:color w:val="auto"/>
        </w:rPr>
        <w:t>, will be subject to the terms of the non-disclosure agreement dated as of November 24, 2020, by and between the Company and BlackRock Alternatives Management LLC (as may in the future be amended from time to time, the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w:t>
      </w:r>
    </w:p>
    <w:p>
      <w:pPr>
        <w:spacing w:after="0" w:line="207"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9"/>
          <w:szCs w:val="19"/>
          <w:u w:val="single" w:color="auto"/>
          <w:color w:val="auto"/>
        </w:rPr>
        <w:t>Equity Financing</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50" w:lineRule="auto"/>
        <w:tabs>
          <w:tab w:leader="none" w:pos="16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each of Parent and Merger Sub will not, without the prior written consent of the Company in its sole discretion,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or permit any amendment or modification to be made to, or any waiver of any provision or remedy pursuant to, the Equity Commitment Letter if such amendment, modification or waiver would, or would reasonably be expected to, (i) reduce the aggregate amount of the Equity Financing, (ii) impose new or additional conditions or other terms or otherwise expand, amend or modify any of the conditions to the receipt of the Equity Financing or any other terms to the Equity Financing in a manner that would reasonably be expected to (A) delay or prevent the Closing Date or (B) make the timely funding of the Equity Financing, or the satisfaction of the conditions to obtaining the Equity Financing, less likely to occur in any respect or (iii) adversely impact the ability of Parent, Merger Sub or the Company, as applicable, to enforce its rights against the Guarantor under the Equity Commitment Letter.</w:t>
      </w:r>
    </w:p>
    <w:p>
      <w:pPr>
        <w:spacing w:after="0" w:line="214" w:lineRule="exact"/>
        <w:rPr>
          <w:sz w:val="20"/>
          <w:szCs w:val="20"/>
          <w:color w:val="auto"/>
        </w:rPr>
      </w:pPr>
    </w:p>
    <w:p>
      <w:pPr>
        <w:jc w:val="both"/>
        <w:ind w:firstLine="1304"/>
        <w:spacing w:after="0" w:line="271" w:lineRule="auto"/>
        <w:tabs>
          <w:tab w:leader="none" w:pos="1675" w:val="left"/>
        </w:tabs>
        <w:numPr>
          <w:ilvl w:val="0"/>
          <w:numId w:val="78"/>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prior to the Effective Time, Parent and Merger Sub shall each use its respective reasonable best efforts to take, or cause to be taken, all actions and to do, or cause to be done, all things necessary, proper and advisable to consummate and obtain the Equity Financing on the terms and conditions described in the Equity Commitment Letter, including using its reasonable best efforts to (i) maintain in effect the Equity Commitment Letter, (ii) satisfy on a timely basis all conditions to funding that are applicable to Parent and Merger Sub in the Equity Commitment Letter that are within its control, (iii) consummate the Equity Financing at or prior to the Closing, (iv) comply with its obligations pursuant to the Equity Commitment Letter and (v) enforce its rights pursuant to the Equity Commitment Letter. Nothing in this Agreement shall require, and in no event shall the reasonable best efforts of Parent and Merger Sub be deemed or construed to require, either Parent or Merger Sub to seek the Equity Financing from any source other than the Guarantor, or in excess of that contemplated by, the Equity Commitment Letter. Parent and Merger Sub shall give the Company prompt notice of, and keep the Company informed on a current basis and in reasonable detail of, (i) any actual or potential breach, default, termination or repudiation by any party to the Equity Commitment Letter of which Parent or Merger Sub becomes aware, including the receipt of any written notice or communication with respect thereto and (ii) the occurrence of an event or development that could reasonably be expected to adversely impact the ability of Parent or Merger Sub to obtain all or a portion of the Equity Financing at or prior to the Closing.</w:t>
      </w:r>
    </w:p>
    <w:p>
      <w:pPr>
        <w:spacing w:after="0" w:line="200" w:lineRule="exact"/>
        <w:rPr>
          <w:sz w:val="20"/>
          <w:szCs w:val="20"/>
          <w:color w:val="auto"/>
        </w:rPr>
      </w:pPr>
    </w:p>
    <w:p>
      <w:pPr>
        <w:spacing w:after="0" w:line="234"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Notification of Certain Matters; Litigation</w:t>
      </w:r>
      <w:r>
        <w:rPr>
          <w:rFonts w:ascii="Arial" w:cs="Arial" w:eastAsia="Arial" w:hAnsi="Arial"/>
          <w:sz w:val="19"/>
          <w:szCs w:val="19"/>
          <w:color w:val="auto"/>
        </w:rPr>
        <w:t xml:space="preserve">. During the period from the date of this Agreement through the earlier of the Effective Time and the valid termination of this Agreement, Parent shall give prompt notice to the Company, and the Company shall give prompt notice to Parent, of any Actions commenced or, to such party’s Knowledge, threatened against such party which relates to this Agreement, the Statutory Merger Agreement or the Transactions, and such party shall keep the other parties hereto reasonably informed regarding any such Action. Subject to applicable Law and the provisions of </w:t>
      </w:r>
      <w:r>
        <w:rPr>
          <w:rFonts w:ascii="Arial" w:cs="Arial" w:eastAsia="Arial" w:hAnsi="Arial"/>
          <w:sz w:val="19"/>
          <w:szCs w:val="19"/>
          <w:u w:val="single" w:color="auto"/>
          <w:color w:val="auto"/>
        </w:rPr>
        <w:t>Section 5.01(b)(viii)</w:t>
      </w:r>
      <w:r>
        <w:rPr>
          <w:rFonts w:ascii="Arial" w:cs="Arial" w:eastAsia="Arial" w:hAnsi="Arial"/>
          <w:sz w:val="19"/>
          <w:szCs w:val="19"/>
          <w:color w:val="auto"/>
        </w:rPr>
        <w:t>, each party hereto shall give the other parties hereto the opportunity to participate, at such other party’s sole cost and expense, in the defense and settlement of any litigation against the first party or its directors relating to this Agreement, the Statutory Merger Agreement or the Transactions, and no such settlement shall be agreed to without such other party’s prior written consent (such consent not to be unreasonably withheld, conditioned or delayed).</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Merger Sub Shareholder Approval</w:t>
      </w:r>
      <w:r>
        <w:rPr>
          <w:rFonts w:ascii="Arial" w:cs="Arial" w:eastAsia="Arial" w:hAnsi="Arial"/>
          <w:sz w:val="22"/>
          <w:szCs w:val="22"/>
          <w:color w:val="auto"/>
        </w:rPr>
        <w:t>. As promptly as practicable following the execution of this Agreement, Parent shall execute and deliver,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ind w:left="11100"/>
        <w:spacing w:after="0"/>
        <w:rPr>
          <w:sz w:val="20"/>
          <w:szCs w:val="20"/>
          <w:color w:val="auto"/>
        </w:rPr>
      </w:pPr>
      <w:r>
        <w:rPr>
          <w:rFonts w:ascii="Arial" w:cs="Arial" w:eastAsia="Arial" w:hAnsi="Arial"/>
          <w:sz w:val="12"/>
          <w:szCs w:val="12"/>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Section 106 of the Bermuda Companies Act and in its capacity as the sole shareholder of Merger Sub, the Merger Sub Shareholder Approval, to the extent that such has not already been executed.</w:t>
      </w:r>
    </w:p>
    <w:p>
      <w:pPr>
        <w:spacing w:after="0" w:line="20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Stock Exchange De-listing</w:t>
      </w:r>
      <w:r>
        <w:rPr>
          <w:rFonts w:ascii="Arial" w:cs="Arial" w:eastAsia="Arial" w:hAnsi="Arial"/>
          <w:sz w:val="22"/>
          <w:szCs w:val="22"/>
          <w:color w:val="auto"/>
        </w:rPr>
        <w:t>. The Surviving Company shall use its reasonable best efforts to cause the Common Shares to be de-listed from the New York Stock Exchange and de-registered under the Exchange Act as soon as reasonably practicable following the Effective Time.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 Precedent</w:t>
      </w:r>
    </w:p>
    <w:p>
      <w:pPr>
        <w:spacing w:after="0" w:line="23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Conditions to Each Party’s Obligation to Effect the Merger</w:t>
      </w:r>
      <w:r>
        <w:rPr>
          <w:rFonts w:ascii="Arial" w:cs="Arial" w:eastAsia="Arial" w:hAnsi="Arial"/>
          <w:sz w:val="21"/>
          <w:szCs w:val="21"/>
          <w:color w:val="auto"/>
        </w:rPr>
        <w:t>. The respective obligations of the Company, Parent and Merger Sub to effect the Merger shall be subject to the satisfaction (or written waiver by the Company and Parent, if permissible under applicable Law) at or prior to the Closing of the following conditions:</w:t>
      </w:r>
    </w:p>
    <w:p>
      <w:pPr>
        <w:spacing w:after="0" w:line="196" w:lineRule="exact"/>
        <w:rPr>
          <w:sz w:val="20"/>
          <w:szCs w:val="20"/>
          <w:color w:val="auto"/>
        </w:rPr>
      </w:pPr>
    </w:p>
    <w:p>
      <w:pPr>
        <w:ind w:firstLine="1304"/>
        <w:spacing w:after="0" w:line="250" w:lineRule="auto"/>
        <w:tabs>
          <w:tab w:leader="none" w:pos="177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Required Shareholder Approvals</w:t>
      </w:r>
      <w:r>
        <w:rPr>
          <w:rFonts w:ascii="Arial" w:cs="Arial" w:eastAsia="Arial" w:hAnsi="Arial"/>
          <w:sz w:val="22"/>
          <w:szCs w:val="22"/>
          <w:color w:val="auto"/>
        </w:rPr>
        <w:t>. The Required Shareholder Approvals shall have been obtained in accordance with applicable Law and the Company Organizational Documents.</w:t>
      </w:r>
    </w:p>
    <w:p>
      <w:pPr>
        <w:spacing w:after="0" w:line="201" w:lineRule="exact"/>
        <w:rPr>
          <w:rFonts w:ascii="Arial" w:cs="Arial" w:eastAsia="Arial" w:hAnsi="Arial"/>
          <w:sz w:val="22"/>
          <w:szCs w:val="22"/>
          <w:color w:val="auto"/>
        </w:rPr>
      </w:pPr>
    </w:p>
    <w:p>
      <w:pPr>
        <w:jc w:val="both"/>
        <w:ind w:firstLine="1304"/>
        <w:spacing w:after="0"/>
        <w:tabs>
          <w:tab w:leader="none" w:pos="1804"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Restraints</w:t>
      </w:r>
      <w:r>
        <w:rPr>
          <w:rFonts w:ascii="Arial" w:cs="Arial" w:eastAsia="Arial" w:hAnsi="Arial"/>
          <w:sz w:val="22"/>
          <w:szCs w:val="22"/>
          <w:color w:val="auto"/>
        </w:rPr>
        <w:t>. No Judgment enacted, promulgated, issued, entered, amended or enforced by any Governmental Authority of competent jurisdiction (collectively, “</w:t>
      </w:r>
      <w:r>
        <w:rPr>
          <w:rFonts w:ascii="Arial" w:cs="Arial" w:eastAsia="Arial" w:hAnsi="Arial"/>
          <w:sz w:val="22"/>
          <w:szCs w:val="22"/>
          <w:u w:val="single" w:color="auto"/>
          <w:color w:val="auto"/>
        </w:rPr>
        <w:t>Restraints</w:t>
      </w:r>
      <w:r>
        <w:rPr>
          <w:rFonts w:ascii="Arial" w:cs="Arial" w:eastAsia="Arial" w:hAnsi="Arial"/>
          <w:sz w:val="22"/>
          <w:szCs w:val="22"/>
          <w:color w:val="auto"/>
        </w:rPr>
        <w:t>”) shall be in effect enjoining, restraining or otherwise making illegal, preventing or prohibiting the consummation of the Merger.</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Conditions to Obligations of Parent and Merger Sub</w:t>
      </w:r>
      <w:r>
        <w:rPr>
          <w:rFonts w:ascii="Arial" w:cs="Arial" w:eastAsia="Arial" w:hAnsi="Arial"/>
          <w:sz w:val="22"/>
          <w:szCs w:val="22"/>
          <w:color w:val="auto"/>
        </w:rPr>
        <w:t>. The obligations of Parent and Merger Sub to effect the Merger are further subject to the satisfaction (or written waiver by Parent, if permissible under applicable Law) at or prior to the Closing of the following conditions:</w:t>
      </w:r>
    </w:p>
    <w:p>
      <w:pPr>
        <w:spacing w:after="0" w:line="213" w:lineRule="exact"/>
        <w:rPr>
          <w:sz w:val="20"/>
          <w:szCs w:val="20"/>
          <w:color w:val="auto"/>
        </w:rPr>
      </w:pPr>
    </w:p>
    <w:p>
      <w:pPr>
        <w:jc w:val="both"/>
        <w:ind w:firstLine="1304"/>
        <w:spacing w:after="0" w:line="244" w:lineRule="auto"/>
        <w:tabs>
          <w:tab w:leader="none" w:pos="1765"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The representations and warranties of the Company (i) set forth in </w:t>
      </w:r>
      <w:r>
        <w:rPr>
          <w:rFonts w:ascii="Arial" w:cs="Arial" w:eastAsia="Arial" w:hAnsi="Arial"/>
          <w:sz w:val="21"/>
          <w:szCs w:val="21"/>
          <w:u w:val="single" w:color="auto"/>
          <w:color w:val="auto"/>
        </w:rPr>
        <w:t>Sections 3.03(e)</w:t>
      </w:r>
      <w:r>
        <w:rPr>
          <w:rFonts w:ascii="Arial" w:cs="Arial" w:eastAsia="Arial" w:hAnsi="Arial"/>
          <w:sz w:val="21"/>
          <w:szCs w:val="21"/>
          <w:color w:val="auto"/>
        </w:rPr>
        <w:t xml:space="preserve">, </w:t>
      </w:r>
      <w:r>
        <w:rPr>
          <w:rFonts w:ascii="Arial" w:cs="Arial" w:eastAsia="Arial" w:hAnsi="Arial"/>
          <w:sz w:val="21"/>
          <w:szCs w:val="21"/>
          <w:u w:val="single" w:color="auto"/>
          <w:color w:val="auto"/>
        </w:rPr>
        <w:t>3.06(b)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3.22(h)</w:t>
      </w:r>
      <w:r>
        <w:rPr>
          <w:rFonts w:ascii="Arial" w:cs="Arial" w:eastAsia="Arial" w:hAnsi="Arial"/>
          <w:sz w:val="21"/>
          <w:szCs w:val="21"/>
          <w:color w:val="auto"/>
        </w:rPr>
        <w:t xml:space="preserve"> shall be true and correct in all respects as of the Closing Date with the same effect as though made on and as of such date, (ii) set forth in </w:t>
      </w:r>
      <w:r>
        <w:rPr>
          <w:rFonts w:ascii="Arial" w:cs="Arial" w:eastAsia="Arial" w:hAnsi="Arial"/>
          <w:sz w:val="21"/>
          <w:szCs w:val="21"/>
          <w:u w:val="single" w:color="auto"/>
          <w:color w:val="auto"/>
        </w:rPr>
        <w:t>Section 3.02(a)</w:t>
      </w:r>
      <w:r>
        <w:rPr>
          <w:rFonts w:ascii="Arial" w:cs="Arial" w:eastAsia="Arial" w:hAnsi="Arial"/>
          <w:sz w:val="21"/>
          <w:szCs w:val="21"/>
          <w:color w:val="auto"/>
        </w:rPr>
        <w:t xml:space="preserve">, the first sentence of </w:t>
      </w:r>
      <w:r>
        <w:rPr>
          <w:rFonts w:ascii="Arial" w:cs="Arial" w:eastAsia="Arial" w:hAnsi="Arial"/>
          <w:sz w:val="21"/>
          <w:szCs w:val="21"/>
          <w:u w:val="single" w:color="auto"/>
          <w:color w:val="auto"/>
        </w:rPr>
        <w:t>Section 3.02(b)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3.02(f)</w:t>
      </w:r>
      <w:r>
        <w:rPr>
          <w:rFonts w:ascii="Arial" w:cs="Arial" w:eastAsia="Arial" w:hAnsi="Arial"/>
          <w:sz w:val="21"/>
          <w:szCs w:val="21"/>
          <w:color w:val="auto"/>
        </w:rPr>
        <w:t xml:space="preserve"> shall be true and correct in all but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respects as of the Closing Date as though made on and as of such date (except to the extent expressly made as of an earlier date, in which case as of such earlier date), (iii) set forth in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3.02</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3.02(a)</w:t>
      </w:r>
      <w:r>
        <w:rPr>
          <w:rFonts w:ascii="Arial" w:cs="Arial" w:eastAsia="Arial" w:hAnsi="Arial"/>
          <w:sz w:val="21"/>
          <w:szCs w:val="21"/>
          <w:color w:val="auto"/>
        </w:rPr>
        <w:t xml:space="preserve">, the first sentence of </w:t>
      </w:r>
      <w:r>
        <w:rPr>
          <w:rFonts w:ascii="Arial" w:cs="Arial" w:eastAsia="Arial" w:hAnsi="Arial"/>
          <w:sz w:val="21"/>
          <w:szCs w:val="21"/>
          <w:u w:val="single" w:color="auto"/>
          <w:color w:val="auto"/>
        </w:rPr>
        <w:t>3.02(b)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3.02(f)</w:t>
      </w:r>
      <w:r>
        <w:rPr>
          <w:rFonts w:ascii="Arial" w:cs="Arial" w:eastAsia="Arial" w:hAnsi="Arial"/>
          <w:sz w:val="21"/>
          <w:szCs w:val="21"/>
          <w:color w:val="auto"/>
        </w:rPr>
        <w:t xml:space="preserve">), </w:t>
      </w:r>
      <w:r>
        <w:rPr>
          <w:rFonts w:ascii="Arial" w:cs="Arial" w:eastAsia="Arial" w:hAnsi="Arial"/>
          <w:sz w:val="21"/>
          <w:szCs w:val="21"/>
          <w:u w:val="single" w:color="auto"/>
          <w:color w:val="auto"/>
        </w:rPr>
        <w:t>3.03(a)</w:t>
      </w:r>
      <w:r>
        <w:rPr>
          <w:rFonts w:ascii="Arial" w:cs="Arial" w:eastAsia="Arial" w:hAnsi="Arial"/>
          <w:sz w:val="21"/>
          <w:szCs w:val="21"/>
          <w:color w:val="auto"/>
        </w:rPr>
        <w:t xml:space="preserve">, </w:t>
      </w:r>
      <w:r>
        <w:rPr>
          <w:rFonts w:ascii="Arial" w:cs="Arial" w:eastAsia="Arial" w:hAnsi="Arial"/>
          <w:sz w:val="21"/>
          <w:szCs w:val="21"/>
          <w:u w:val="single" w:color="auto"/>
          <w:color w:val="auto"/>
        </w:rPr>
        <w:t>3.03(b)</w:t>
      </w:r>
      <w:r>
        <w:rPr>
          <w:rFonts w:ascii="Arial" w:cs="Arial" w:eastAsia="Arial" w:hAnsi="Arial"/>
          <w:sz w:val="21"/>
          <w:szCs w:val="21"/>
          <w:color w:val="auto"/>
        </w:rPr>
        <w:t xml:space="preserve">, </w:t>
      </w:r>
      <w:r>
        <w:rPr>
          <w:rFonts w:ascii="Arial" w:cs="Arial" w:eastAsia="Arial" w:hAnsi="Arial"/>
          <w:sz w:val="21"/>
          <w:szCs w:val="21"/>
          <w:u w:val="single" w:color="auto"/>
          <w:color w:val="auto"/>
        </w:rPr>
        <w:t>3.03(c)</w:t>
      </w:r>
      <w:r>
        <w:rPr>
          <w:rFonts w:ascii="Arial" w:cs="Arial" w:eastAsia="Arial" w:hAnsi="Arial"/>
          <w:sz w:val="21"/>
          <w:szCs w:val="21"/>
          <w:color w:val="auto"/>
        </w:rPr>
        <w:t xml:space="preserve">, </w:t>
      </w:r>
      <w:r>
        <w:rPr>
          <w:rFonts w:ascii="Arial" w:cs="Arial" w:eastAsia="Arial" w:hAnsi="Arial"/>
          <w:sz w:val="21"/>
          <w:szCs w:val="21"/>
          <w:u w:val="single" w:color="auto"/>
          <w:color w:val="auto"/>
        </w:rPr>
        <w:t>3.15</w:t>
      </w:r>
      <w:r>
        <w:rPr>
          <w:rFonts w:ascii="Arial" w:cs="Arial" w:eastAsia="Arial" w:hAnsi="Arial"/>
          <w:sz w:val="21"/>
          <w:szCs w:val="21"/>
          <w:color w:val="auto"/>
        </w:rPr>
        <w:t xml:space="preserve">, </w:t>
      </w:r>
      <w:r>
        <w:rPr>
          <w:rFonts w:ascii="Arial" w:cs="Arial" w:eastAsia="Arial" w:hAnsi="Arial"/>
          <w:sz w:val="21"/>
          <w:szCs w:val="21"/>
          <w:u w:val="single" w:color="auto"/>
          <w:color w:val="auto"/>
        </w:rPr>
        <w:t>3.18</w:t>
      </w:r>
      <w:r>
        <w:rPr>
          <w:rFonts w:ascii="Arial" w:cs="Arial" w:eastAsia="Arial" w:hAnsi="Arial"/>
          <w:sz w:val="21"/>
          <w:szCs w:val="21"/>
          <w:color w:val="auto"/>
        </w:rPr>
        <w:t xml:space="preserve">, </w:t>
      </w:r>
      <w:r>
        <w:rPr>
          <w:rFonts w:ascii="Arial" w:cs="Arial" w:eastAsia="Arial" w:hAnsi="Arial"/>
          <w:sz w:val="21"/>
          <w:szCs w:val="21"/>
          <w:u w:val="single" w:color="auto"/>
          <w:color w:val="auto"/>
        </w:rPr>
        <w:t>3.19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3.22(a)</w:t>
      </w:r>
      <w:r>
        <w:rPr>
          <w:rFonts w:ascii="Arial" w:cs="Arial" w:eastAsia="Arial" w:hAnsi="Arial"/>
          <w:sz w:val="21"/>
          <w:szCs w:val="21"/>
          <w:color w:val="auto"/>
        </w:rPr>
        <w:t xml:space="preserve"> shall be true and correct in all material respects as of the Closing Date with the same effect as though made on and as of such date (except to the extent expressly made as of an earlier date, in which case as of such earlier date), and (iv) set forth in the Sections of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other than those Sections specifically identified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shall be true and correct (disregarding all qualifications or limitations as to “materiality”, “Material Adverse Effect” and words of similar import set forth therein)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21"/>
          <w:szCs w:val="21"/>
          <w:u w:val="single" w:color="auto"/>
          <w:color w:val="auto"/>
        </w:rPr>
        <w:t>clause (iv)</w:t>
      </w:r>
      <w:r>
        <w:rPr>
          <w:rFonts w:ascii="Arial" w:cs="Arial" w:eastAsia="Arial" w:hAnsi="Arial"/>
          <w:sz w:val="21"/>
          <w:szCs w:val="21"/>
          <w:color w:val="auto"/>
        </w:rPr>
        <w:t>, where the failure to be true and correct would not, individually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aggregate, reasonably be expected to have a Material Adverse Effect. Parent shall have received a certificate signed on behalf of the Company by an executive officer of the Company to such effect.</w:t>
      </w:r>
    </w:p>
    <w:p>
      <w:pPr>
        <w:spacing w:after="0" w:line="202" w:lineRule="exact"/>
        <w:rPr>
          <w:sz w:val="20"/>
          <w:szCs w:val="20"/>
          <w:color w:val="auto"/>
        </w:rPr>
      </w:pPr>
    </w:p>
    <w:p>
      <w:pPr>
        <w:jc w:val="both"/>
        <w:ind w:firstLine="1304"/>
        <w:spacing w:after="0" w:line="246" w:lineRule="auto"/>
        <w:tabs>
          <w:tab w:leader="none" w:pos="1683"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Performance of Obligations and Agreements of the Company and the Rolling Shareholders</w:t>
      </w:r>
      <w:r>
        <w:rPr>
          <w:rFonts w:ascii="Arial" w:cs="Arial" w:eastAsia="Arial" w:hAnsi="Arial"/>
          <w:sz w:val="21"/>
          <w:szCs w:val="21"/>
          <w:color w:val="auto"/>
        </w:rPr>
        <w:t xml:space="preserve">. The Company shall have performed or complied in all material respects with the obligations and agreements required to be performed or complied with by it under this Agreement at or prior to the Effective Time, and Parent shall have received a certificate signed on behalf of the Company by an executive officer of the Company to such effect. Each Rolling Shareholder shall have performed or complied in all material respects with the obligations and agreements required to be performed or complied with by it under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5.07</w:t>
      </w:r>
      <w:r>
        <w:rPr>
          <w:rFonts w:ascii="Arial" w:cs="Arial" w:eastAsia="Arial" w:hAnsi="Arial"/>
          <w:sz w:val="21"/>
          <w:szCs w:val="21"/>
          <w:color w:val="auto"/>
        </w:rPr>
        <w:t xml:space="preserve"> of the Rollover Agreement (collectively, the “</w:t>
      </w:r>
      <w:r>
        <w:rPr>
          <w:rFonts w:ascii="Arial" w:cs="Arial" w:eastAsia="Arial" w:hAnsi="Arial"/>
          <w:sz w:val="21"/>
          <w:szCs w:val="21"/>
          <w:u w:val="single" w:color="auto"/>
          <w:color w:val="auto"/>
        </w:rPr>
        <w:t>Specified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Rollover Obligations</w:t>
      </w:r>
      <w:r>
        <w:rPr>
          <w:rFonts w:ascii="Arial" w:cs="Arial" w:eastAsia="Arial" w:hAnsi="Arial"/>
          <w:sz w:val="21"/>
          <w:szCs w:val="21"/>
          <w:color w:val="auto"/>
        </w:rPr>
        <w:t>”) at or prior to the Effective Time.</w:t>
      </w:r>
    </w:p>
    <w:p>
      <w:pPr>
        <w:spacing w:after="0" w:line="211" w:lineRule="exact"/>
        <w:rPr>
          <w:rFonts w:ascii="Arial" w:cs="Arial" w:eastAsia="Arial" w:hAnsi="Arial"/>
          <w:sz w:val="21"/>
          <w:szCs w:val="21"/>
          <w:color w:val="auto"/>
        </w:rPr>
      </w:pPr>
    </w:p>
    <w:p>
      <w:pPr>
        <w:jc w:val="both"/>
        <w:ind w:firstLine="1304"/>
        <w:spacing w:after="0"/>
        <w:tabs>
          <w:tab w:leader="none" w:pos="1711"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Key Man Retention</w:t>
      </w:r>
      <w:r>
        <w:rPr>
          <w:rFonts w:ascii="Arial" w:cs="Arial" w:eastAsia="Arial" w:hAnsi="Arial"/>
          <w:sz w:val="22"/>
          <w:szCs w:val="22"/>
          <w:color w:val="auto"/>
        </w:rPr>
        <w:t>. The Person set forth in Section 6.02(c) of the Company Disclosure Letter shall be employed, engaged or retained by the Company or its Affiliates in substantially the same capacity as such Person served the Company immediately prior to the date of this Agreement.</w:t>
      </w:r>
    </w:p>
    <w:p>
      <w:pPr>
        <w:spacing w:after="0" w:line="213" w:lineRule="exact"/>
        <w:rPr>
          <w:rFonts w:ascii="Arial" w:cs="Arial" w:eastAsia="Arial" w:hAnsi="Arial"/>
          <w:sz w:val="22"/>
          <w:szCs w:val="22"/>
          <w:color w:val="auto"/>
        </w:rPr>
      </w:pPr>
    </w:p>
    <w:p>
      <w:pPr>
        <w:ind w:right="20" w:firstLine="1304"/>
        <w:spacing w:after="0" w:line="274" w:lineRule="auto"/>
        <w:tabs>
          <w:tab w:leader="none" w:pos="1656"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Required Third-Party Consents</w:t>
      </w:r>
      <w:r>
        <w:rPr>
          <w:rFonts w:ascii="Arial" w:cs="Arial" w:eastAsia="Arial" w:hAnsi="Arial"/>
          <w:sz w:val="21"/>
          <w:szCs w:val="21"/>
          <w:color w:val="auto"/>
        </w:rPr>
        <w:t>. The Company shall have received and delivered to Parent and Merger Sub all Required Third-Party Consents, and all such Required Third-Party Consents shall remain in full force and effect.</w:t>
      </w:r>
    </w:p>
    <w:p>
      <w:pPr>
        <w:spacing w:after="0" w:line="17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Conditions to Obligations of the Company</w:t>
      </w:r>
      <w:r>
        <w:rPr>
          <w:rFonts w:ascii="Arial" w:cs="Arial" w:eastAsia="Arial" w:hAnsi="Arial"/>
          <w:sz w:val="22"/>
          <w:szCs w:val="22"/>
          <w:color w:val="auto"/>
        </w:rPr>
        <w:t>. The obligations of the Company to effect the Merger are further subject to the satisfaction (or written waiver by the Company, if permissible under applicable Law) at or prior to the Closing of the following conditions:</w:t>
      </w:r>
    </w:p>
    <w:p>
      <w:pPr>
        <w:spacing w:after="0" w:line="213" w:lineRule="exact"/>
        <w:rPr>
          <w:sz w:val="20"/>
          <w:szCs w:val="20"/>
          <w:color w:val="auto"/>
        </w:rPr>
      </w:pPr>
    </w:p>
    <w:p>
      <w:pPr>
        <w:jc w:val="both"/>
        <w:ind w:firstLine="1304"/>
        <w:spacing w:after="0" w:line="273" w:lineRule="auto"/>
        <w:tabs>
          <w:tab w:leader="none" w:pos="165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Parent and Merger Sub (i) set forth in </w:t>
      </w:r>
      <w:r>
        <w:rPr>
          <w:rFonts w:ascii="Arial" w:cs="Arial" w:eastAsia="Arial" w:hAnsi="Arial"/>
          <w:sz w:val="19"/>
          <w:szCs w:val="19"/>
          <w:u w:val="single" w:color="auto"/>
          <w:color w:val="auto"/>
        </w:rPr>
        <w:t>Sections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4.08</w:t>
      </w:r>
      <w:r>
        <w:rPr>
          <w:rFonts w:ascii="Arial" w:cs="Arial" w:eastAsia="Arial" w:hAnsi="Arial"/>
          <w:sz w:val="19"/>
          <w:szCs w:val="19"/>
          <w:color w:val="auto"/>
        </w:rPr>
        <w:t xml:space="preserve"> shall be true and correct in all material respects as of the Closing Date with the same effect as though made on and as of such date (except to the extent expressly made as of an earlier date, in which case as of such date) and (ii) set forth in the Sections of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other than those Sections specifically identified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be true and correct (disregarding all qualifications or limitations as to “materiality”, “Parent Material Adverse Effect” and words of similar import set forth therein) as of the Closing Date with the same effect as though made on and as of such date (except to the extent expressly made as of an earlier date, in which case as of such date), except, in the case of this </w:t>
      </w:r>
      <w:r>
        <w:rPr>
          <w:rFonts w:ascii="Arial" w:cs="Arial" w:eastAsia="Arial" w:hAnsi="Arial"/>
          <w:sz w:val="19"/>
          <w:szCs w:val="19"/>
          <w:u w:val="single" w:color="auto"/>
          <w:color w:val="auto"/>
        </w:rPr>
        <w:t>clause (ii)</w:t>
      </w:r>
      <w:r>
        <w:rPr>
          <w:rFonts w:ascii="Arial" w:cs="Arial" w:eastAsia="Arial" w:hAnsi="Arial"/>
          <w:sz w:val="19"/>
          <w:szCs w:val="19"/>
          <w:color w:val="auto"/>
        </w:rPr>
        <w:t>, where the failure to be true and correct would not, individually or in the aggregate, reasonably be expected to have a Parent Material Adverse Effect. The Company shall have received a certificate signed on behalf of Parent and Merger Sub by an executive officer of Parent to such effect.</w:t>
      </w:r>
    </w:p>
    <w:p>
      <w:pPr>
        <w:spacing w:after="0" w:line="187" w:lineRule="exact"/>
        <w:rPr>
          <w:rFonts w:ascii="Arial" w:cs="Arial" w:eastAsia="Arial" w:hAnsi="Arial"/>
          <w:sz w:val="19"/>
          <w:szCs w:val="19"/>
          <w:color w:val="auto"/>
        </w:rPr>
      </w:pPr>
    </w:p>
    <w:p>
      <w:pPr>
        <w:jc w:val="both"/>
        <w:ind w:firstLine="1304"/>
        <w:spacing w:after="0" w:line="252" w:lineRule="auto"/>
        <w:tabs>
          <w:tab w:leader="none" w:pos="1683"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Performance of Obligations and Agreements of Parent and Merger Sub</w:t>
      </w:r>
      <w:r>
        <w:rPr>
          <w:rFonts w:ascii="Arial" w:cs="Arial" w:eastAsia="Arial" w:hAnsi="Arial"/>
          <w:sz w:val="21"/>
          <w:szCs w:val="21"/>
          <w:color w:val="auto"/>
        </w:rPr>
        <w:t>. Parent and Merger Sub shall have performed or complied in all material respects with the obligations and agreements required to be performed or complied with by them under this Agreement at or prior to the Effective Time, and the Company shall have received a certificate signed on behalf of Parent and Merger Sub by an executive officer of Parent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Frustration of Closing Conditions</w:t>
      </w:r>
      <w:r>
        <w:rPr>
          <w:rFonts w:ascii="Arial" w:cs="Arial" w:eastAsia="Arial" w:hAnsi="Arial"/>
          <w:sz w:val="22"/>
          <w:szCs w:val="22"/>
          <w:color w:val="auto"/>
        </w:rPr>
        <w:t xml:space="preserve">. The Company may not rely on the failure of any condition set forth in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to be satisfied if the failure of the Company to perform in all material respects any of its obligations under this Agreement, including to use its reasonable best efforts to consummate the Transactions, as required by and subject to the terms of this Agreement, was the primary cause of or primarily resulted in the failure of such condition to be satisfied. Neither Parent nor Merger Sub may rely on the failure of any condition set forth in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to be satisfied if the failure of Parent or Merger Sub to perform in all material respects any of its obligations under this Agreement, including to use its reasonable best efforts to consummate the Transactions as required by and subject to the terms and conditions of this Agreement, was the primary cause of or primarily resulted in the failure of such condition to be satisfied.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Termination</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 abandoned at any time prior to the Effective Time, whether before or after receipt of the Required Shareholder Approvals (except as otherwise expressly noted):</w:t>
      </w:r>
    </w:p>
    <w:p>
      <w:pPr>
        <w:spacing w:after="0" w:line="213" w:lineRule="exact"/>
        <w:rPr>
          <w:sz w:val="20"/>
          <w:szCs w:val="20"/>
          <w:color w:val="auto"/>
        </w:rPr>
      </w:pPr>
    </w:p>
    <w:p>
      <w:pPr>
        <w:ind w:left="1660" w:hanging="356"/>
        <w:spacing w:after="0"/>
        <w:tabs>
          <w:tab w:leader="none" w:pos="1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by the mutual written consent of the Company and Parent;</w:t>
      </w:r>
    </w:p>
    <w:p>
      <w:pPr>
        <w:spacing w:after="0" w:line="233" w:lineRule="exact"/>
        <w:rPr>
          <w:rFonts w:ascii="Arial" w:cs="Arial" w:eastAsia="Arial" w:hAnsi="Arial"/>
          <w:sz w:val="22"/>
          <w:szCs w:val="22"/>
          <w:color w:val="auto"/>
        </w:rPr>
      </w:pPr>
    </w:p>
    <w:p>
      <w:pPr>
        <w:ind w:left="1660" w:hanging="356"/>
        <w:spacing w:after="0"/>
        <w:tabs>
          <w:tab w:leader="none" w:pos="1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by either of the Company or Parent:</w:t>
      </w:r>
    </w:p>
    <w:p>
      <w:pPr>
        <w:spacing w:after="0" w:line="233" w:lineRule="exact"/>
        <w:rPr>
          <w:sz w:val="20"/>
          <w:szCs w:val="20"/>
          <w:color w:val="auto"/>
        </w:rPr>
      </w:pPr>
    </w:p>
    <w:p>
      <w:pPr>
        <w:jc w:val="both"/>
        <w:ind w:left="660" w:firstLine="644"/>
        <w:spacing w:after="0" w:line="275" w:lineRule="auto"/>
        <w:tabs>
          <w:tab w:leader="none" w:pos="209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if the Merger shall not have been consummated on or prior to September 30, 2021 (as such date may be extended pursuant to </w:t>
      </w:r>
      <w:r>
        <w:rPr>
          <w:rFonts w:ascii="Arial" w:cs="Arial" w:eastAsia="Arial" w:hAnsi="Arial"/>
          <w:sz w:val="19"/>
          <w:szCs w:val="19"/>
          <w:u w:val="single" w:color="auto"/>
          <w:color w:val="auto"/>
        </w:rPr>
        <w:t>Section 8.08</w:t>
      </w:r>
      <w:r>
        <w:rPr>
          <w:rFonts w:ascii="Arial" w:cs="Arial" w:eastAsia="Arial" w:hAnsi="Arial"/>
          <w:sz w:val="19"/>
          <w:szCs w:val="19"/>
          <w:color w:val="auto"/>
        </w:rPr>
        <w:t>,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7.01(b)(i)</w:t>
      </w:r>
      <w:r>
        <w:rPr>
          <w:rFonts w:ascii="Arial" w:cs="Arial" w:eastAsia="Arial" w:hAnsi="Arial"/>
          <w:sz w:val="19"/>
          <w:szCs w:val="19"/>
          <w:color w:val="auto"/>
        </w:rPr>
        <w:t xml:space="preserve"> shall (x) not be available to any party if the breach by such party of its representations and warranties set forth in this Agreement or the failure of such party to perform any of its obligations under this Agreement, its failure to act in good faith or its failure to use its reasonable best efforts to consummate the Transactions, including to the extent required by and subject to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has been a principal cause of or resulted in the failure of the Merger to be consummated on or prior to such date (it being understood that Parent and Merger Sub shall be deemed a single party for purposes of the foregoing proviso) and (y) be subject to the proviso set forth in </w:t>
      </w:r>
      <w:r>
        <w:rPr>
          <w:rFonts w:ascii="Arial" w:cs="Arial" w:eastAsia="Arial" w:hAnsi="Arial"/>
          <w:sz w:val="19"/>
          <w:szCs w:val="19"/>
          <w:u w:val="single" w:color="auto"/>
          <w:color w:val="auto"/>
        </w:rPr>
        <w:t>Section 7.01(d)(iii)</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left="660" w:firstLine="644"/>
        <w:spacing w:after="0" w:line="287" w:lineRule="auto"/>
        <w:tabs>
          <w:tab w:leader="none" w:pos="2058"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if any Restraint having the effect set forth in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shall be in effect and shall have become final and nonappealable;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seeking to terminate this Agreement pursuant to this </w:t>
      </w:r>
      <w:r>
        <w:rPr>
          <w:rFonts w:ascii="Arial" w:cs="Arial" w:eastAsia="Arial" w:hAnsi="Arial"/>
          <w:sz w:val="19"/>
          <w:szCs w:val="19"/>
          <w:u w:val="single" w:color="auto"/>
          <w:color w:val="auto"/>
        </w:rPr>
        <w:t>Section 7.01(b)(ii)</w:t>
      </w:r>
      <w:r>
        <w:rPr>
          <w:rFonts w:ascii="Arial" w:cs="Arial" w:eastAsia="Arial" w:hAnsi="Arial"/>
          <w:sz w:val="19"/>
          <w:szCs w:val="19"/>
          <w:color w:val="auto"/>
        </w:rPr>
        <w:t xml:space="preserve"> shall have performed in all material respects its obligations under this Agreement, acted in good faith and used reasonable best efforts to prevent the entry of and to remove such Restraint in accordance with its obligations under this Agreement; or</w:t>
      </w:r>
    </w:p>
    <w:p>
      <w:pPr>
        <w:spacing w:after="0" w:line="169" w:lineRule="exact"/>
        <w:rPr>
          <w:rFonts w:ascii="Arial" w:cs="Arial" w:eastAsia="Arial" w:hAnsi="Arial"/>
          <w:sz w:val="19"/>
          <w:szCs w:val="19"/>
          <w:color w:val="auto"/>
        </w:rPr>
      </w:pPr>
    </w:p>
    <w:p>
      <w:pPr>
        <w:ind w:left="660" w:firstLine="644"/>
        <w:spacing w:after="0" w:line="328" w:lineRule="auto"/>
        <w:tabs>
          <w:tab w:leader="none" w:pos="2145"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the Company Shareholders Meeting (including any adjournments or postponements thereof) at which the vote was taken shall have concluded and the Required Shareholder Approvals shall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 by Parent:</w:t>
      </w:r>
    </w:p>
    <w:p>
      <w:pPr>
        <w:spacing w:after="0" w:line="233" w:lineRule="exact"/>
        <w:rPr>
          <w:sz w:val="20"/>
          <w:szCs w:val="20"/>
          <w:color w:val="auto"/>
        </w:rPr>
      </w:pPr>
    </w:p>
    <w:p>
      <w:pPr>
        <w:jc w:val="both"/>
        <w:ind w:firstLine="644"/>
        <w:spacing w:after="0" w:line="245" w:lineRule="auto"/>
        <w:tabs>
          <w:tab w:leader="none" w:pos="1405"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if the Company shall have breached any of its representations or warranties or failed to perform any of its obligations or agreements set forth in this Agreement or any of the Rolling Shareholders have breached any of the Specified Rollover Obligations, which breach or failure to perform (A) would give rise to the failure of a condition set forth in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6.02(b)</w:t>
      </w:r>
      <w:r>
        <w:rPr>
          <w:rFonts w:ascii="Arial" w:cs="Arial" w:eastAsia="Arial" w:hAnsi="Arial"/>
          <w:sz w:val="21"/>
          <w:szCs w:val="21"/>
          <w:color w:val="auto"/>
        </w:rPr>
        <w:t xml:space="preserve"> and (B) is not reasonably capable of being cured prior to the Outside Date or, if reasonably capable of being cured prior to the Outside Date, has not been cured within 30 calendar days following receipt by the Company of written notice of such breach or failure to perform from Parent stating Parent’s intention to terminate this Agreement pursuant to this </w:t>
      </w:r>
      <w:r>
        <w:rPr>
          <w:rFonts w:ascii="Arial" w:cs="Arial" w:eastAsia="Arial" w:hAnsi="Arial"/>
          <w:sz w:val="21"/>
          <w:szCs w:val="21"/>
          <w:u w:val="single" w:color="auto"/>
          <w:color w:val="auto"/>
        </w:rPr>
        <w:t>Section 7.01(c)(i)</w:t>
      </w:r>
      <w:r>
        <w:rPr>
          <w:rFonts w:ascii="Arial" w:cs="Arial" w:eastAsia="Arial" w:hAnsi="Arial"/>
          <w:sz w:val="21"/>
          <w:szCs w:val="21"/>
          <w:color w:val="auto"/>
        </w:rPr>
        <w:t xml:space="preserve"> and the basis for such termination (or in any event has not been cured by the Outside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Parent shall not have the right to terminate this Agreement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7.01(c)(i)</w:t>
      </w:r>
      <w:r>
        <w:rPr>
          <w:rFonts w:ascii="Arial" w:cs="Arial" w:eastAsia="Arial" w:hAnsi="Arial"/>
          <w:sz w:val="21"/>
          <w:szCs w:val="21"/>
          <w:color w:val="auto"/>
        </w:rPr>
        <w:t xml:space="preserve"> if Parent or Merger Sub is then in material breach of any of its representations, warranties, obligations or agreements hereunder; or</w:t>
      </w:r>
    </w:p>
    <w:p>
      <w:pPr>
        <w:spacing w:after="0" w:line="207" w:lineRule="exact"/>
        <w:rPr>
          <w:rFonts w:ascii="Arial" w:cs="Arial" w:eastAsia="Arial" w:hAnsi="Arial"/>
          <w:sz w:val="21"/>
          <w:szCs w:val="21"/>
          <w:color w:val="auto"/>
        </w:rPr>
      </w:pPr>
    </w:p>
    <w:p>
      <w:pPr>
        <w:jc w:val="both"/>
        <w:ind w:firstLine="644"/>
        <w:spacing w:after="0" w:line="275" w:lineRule="auto"/>
        <w:tabs>
          <w:tab w:leader="none" w:pos="13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prior to receipt of the Required Shareholder Approvals, (A) if an Adverse Recommendation Change shall have occurred, (B) following the commencement of a tender offer or exchange offer that constitutes a Takeover Proposal, the Company shall not have published, sent or given to its shareholders, pursuant to Rule 14e-2 under the Exchange Act within the ten business day period (as specified in Rule 14e-2 under the Exchange Act) after such tender offer or exchange offer is first published, sent or given, or subsequently amended in any material respect, a statement recommending that shareholders reject such tender offer or exchange offer and affirming the Company Board Recommendation, or (C) the Company Board, the Special Committee or any other committee of the Company Board shall have resolved to effect or publicly announced an intention to effect any of the foregoing; 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(d) by the Company:</w:t>
      </w:r>
    </w:p>
    <w:p>
      <w:pPr>
        <w:spacing w:after="0" w:line="233" w:lineRule="exact"/>
        <w:rPr>
          <w:sz w:val="20"/>
          <w:szCs w:val="20"/>
          <w:color w:val="auto"/>
        </w:rPr>
      </w:pPr>
    </w:p>
    <w:p>
      <w:pPr>
        <w:jc w:val="both"/>
        <w:ind w:firstLine="644"/>
        <w:spacing w:after="0" w:line="274" w:lineRule="auto"/>
        <w:tabs>
          <w:tab w:leader="none" w:pos="1473"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if Parent or Merger Sub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6.03(b)</w:t>
      </w:r>
      <w:r>
        <w:rPr>
          <w:rFonts w:ascii="Arial" w:cs="Arial" w:eastAsia="Arial" w:hAnsi="Arial"/>
          <w:sz w:val="19"/>
          <w:szCs w:val="19"/>
          <w:color w:val="auto"/>
        </w:rPr>
        <w:t xml:space="preserve"> and (B) is not reasonably capable of being cured prior to the Outside Date, or if reasonably capable of being cured prior to the Outside Date, has not been cured within 30 calendar days following receipt by Parent or Merger Sub of written notice of such breach or failure to perform from the Company stating the Company’s intention to terminate this Agreement pursuant to this </w:t>
      </w:r>
      <w:r>
        <w:rPr>
          <w:rFonts w:ascii="Arial" w:cs="Arial" w:eastAsia="Arial" w:hAnsi="Arial"/>
          <w:sz w:val="19"/>
          <w:szCs w:val="19"/>
          <w:u w:val="single" w:color="auto"/>
          <w:color w:val="auto"/>
        </w:rPr>
        <w:t>Section 7.01(d)(i)</w:t>
      </w:r>
      <w:r>
        <w:rPr>
          <w:rFonts w:ascii="Arial" w:cs="Arial" w:eastAsia="Arial" w:hAnsi="Arial"/>
          <w:sz w:val="19"/>
          <w:szCs w:val="19"/>
          <w:color w:val="auto"/>
        </w:rPr>
        <w:t xml:space="preserve"> and the basis for such termination (or in any event has not been cured by the Outside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have the right to terminate this Agreement pursuant to this </w:t>
      </w:r>
      <w:r>
        <w:rPr>
          <w:rFonts w:ascii="Arial" w:cs="Arial" w:eastAsia="Arial" w:hAnsi="Arial"/>
          <w:sz w:val="19"/>
          <w:szCs w:val="19"/>
          <w:u w:val="single" w:color="auto"/>
          <w:color w:val="auto"/>
        </w:rPr>
        <w:t>Section 7.01(d)(i)</w:t>
      </w:r>
      <w:r>
        <w:rPr>
          <w:rFonts w:ascii="Arial" w:cs="Arial" w:eastAsia="Arial" w:hAnsi="Arial"/>
          <w:sz w:val="19"/>
          <w:szCs w:val="19"/>
          <w:color w:val="auto"/>
        </w:rPr>
        <w:t xml:space="preserve"> if the Company is then in material breach of any of its representations, warranties, obligations or agreements hereunder;</w:t>
      </w:r>
    </w:p>
    <w:p>
      <w:pPr>
        <w:spacing w:after="0" w:line="185" w:lineRule="exact"/>
        <w:rPr>
          <w:rFonts w:ascii="Arial" w:cs="Arial" w:eastAsia="Arial" w:hAnsi="Arial"/>
          <w:sz w:val="19"/>
          <w:szCs w:val="19"/>
          <w:color w:val="auto"/>
        </w:rPr>
      </w:pPr>
    </w:p>
    <w:p>
      <w:pPr>
        <w:jc w:val="both"/>
        <w:ind w:firstLine="644"/>
        <w:spacing w:after="0"/>
        <w:tabs>
          <w:tab w:leader="none" w:pos="15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prior to receipt of the Required Shareholder Approvals, in connection with entering into a Company Acquisition Agreement in accordance with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of the second sentence of </w:t>
      </w:r>
      <w:r>
        <w:rPr>
          <w:rFonts w:ascii="Arial" w:cs="Arial" w:eastAsia="Arial" w:hAnsi="Arial"/>
          <w:sz w:val="22"/>
          <w:szCs w:val="22"/>
          <w:u w:val="single" w:color="auto"/>
          <w:color w:val="auto"/>
        </w:rPr>
        <w:t>Section 5.02(d)</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prior to or concurrently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577850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termination the Company pays or causes to be paid the Company Termination Fee, so long as Parent has provided the Company with wire instructions for such payment; or</w:t>
      </w:r>
    </w:p>
    <w:p>
      <w:pPr>
        <w:spacing w:after="0" w:line="202" w:lineRule="exact"/>
        <w:rPr>
          <w:sz w:val="20"/>
          <w:szCs w:val="20"/>
          <w:color w:val="auto"/>
        </w:rPr>
      </w:pPr>
    </w:p>
    <w:p>
      <w:pPr>
        <w:jc w:val="both"/>
        <w:ind w:left="660" w:firstLine="644"/>
        <w:spacing w:after="0" w:line="273" w:lineRule="auto"/>
        <w:tabs>
          <w:tab w:leader="none" w:pos="2158"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if (A) the conditions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have been satisfied or waived (other than those conditions that by their nature are to be satisfied by actions taken at the Closing so long as such conditions would be satisfied if the Closing Date were the date of termination of this Agreement), (B) the Company has confirmed by notice to Parent that all conditions set forth in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have been satisfied (other than those conditions that by their nature are to be satisfied by actions taken at the Closing so long as such conditions would be satisfied if the Closing Date were the date of such notice) or that it is willing to waive any unsatisfied conditions of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(C) the Merger is required to be consummated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(D) Parent and Merger Sub fail to consummate the Merger within three business days after the later of (i) receipt by Parent of the notice referred to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and (ii) the date the Merger was required to be consummated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w:t>
      </w:r>
      <w:r>
        <w:rPr>
          <w:rFonts w:ascii="Arial" w:cs="Arial" w:eastAsia="Arial" w:hAnsi="Arial"/>
          <w:sz w:val="19"/>
          <w:szCs w:val="19"/>
          <w:u w:val="single" w:color="auto"/>
          <w:color w:val="auto"/>
        </w:rPr>
        <w:t>Section 7.01(b)(i)</w:t>
      </w:r>
      <w:r>
        <w:rPr>
          <w:rFonts w:ascii="Arial" w:cs="Arial" w:eastAsia="Arial" w:hAnsi="Arial"/>
          <w:sz w:val="19"/>
          <w:szCs w:val="19"/>
          <w:color w:val="auto"/>
        </w:rPr>
        <w:t xml:space="preserve"> to the contrary, no party shall be permitted to terminate this Agreement pursuant to </w:t>
      </w:r>
      <w:r>
        <w:rPr>
          <w:rFonts w:ascii="Arial" w:cs="Arial" w:eastAsia="Arial" w:hAnsi="Arial"/>
          <w:sz w:val="19"/>
          <w:szCs w:val="19"/>
          <w:u w:val="single" w:color="auto"/>
          <w:color w:val="auto"/>
        </w:rPr>
        <w:t>Section 7.01(b)(i)</w:t>
      </w:r>
      <w:r>
        <w:rPr>
          <w:rFonts w:ascii="Arial" w:cs="Arial" w:eastAsia="Arial" w:hAnsi="Arial"/>
          <w:sz w:val="19"/>
          <w:szCs w:val="19"/>
          <w:color w:val="auto"/>
        </w:rPr>
        <w:t xml:space="preserve"> during such three business day period.</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the termination of this Agreement as provided in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Arial" w:cs="Arial" w:eastAsia="Arial" w:hAnsi="Arial"/>
          <w:sz w:val="21"/>
          <w:szCs w:val="21"/>
          <w:u w:val="single" w:color="auto"/>
          <w:color w:val="auto"/>
        </w:rPr>
        <w:t>Sections 7.02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7.03</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 the Guarantee, the Confidentiality Agreement and the last sentence of </w:t>
      </w:r>
      <w:r>
        <w:rPr>
          <w:rFonts w:ascii="Arial" w:cs="Arial" w:eastAsia="Arial" w:hAnsi="Arial"/>
          <w:sz w:val="21"/>
          <w:szCs w:val="21"/>
          <w:u w:val="single" w:color="auto"/>
          <w:color w:val="auto"/>
        </w:rPr>
        <w:t>Section 5.08</w:t>
      </w:r>
      <w:r>
        <w:rPr>
          <w:rFonts w:ascii="Arial" w:cs="Arial" w:eastAsia="Arial" w:hAnsi="Arial"/>
          <w:sz w:val="21"/>
          <w:szCs w:val="21"/>
          <w:color w:val="auto"/>
        </w:rPr>
        <w:t xml:space="preserve">,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subject to </w:t>
      </w:r>
      <w:r>
        <w:rPr>
          <w:rFonts w:ascii="Arial" w:cs="Arial" w:eastAsia="Arial" w:hAnsi="Arial"/>
          <w:sz w:val="21"/>
          <w:szCs w:val="21"/>
          <w:u w:val="single" w:color="auto"/>
          <w:color w:val="auto"/>
        </w:rPr>
        <w:t>Section 7.03(d)</w:t>
      </w:r>
      <w:r>
        <w:rPr>
          <w:rFonts w:ascii="Arial" w:cs="Arial" w:eastAsia="Arial" w:hAnsi="Arial"/>
          <w:sz w:val="21"/>
          <w:szCs w:val="21"/>
          <w:color w:val="auto"/>
        </w:rPr>
        <w:t>, that no such termination shall relieve any party from liability for any Willful Breach.</w:t>
      </w:r>
    </w:p>
    <w:p>
      <w:pPr>
        <w:spacing w:after="0" w:line="207"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Termination Fees and Expense Reimbursement</w:t>
      </w:r>
      <w:r>
        <w:rPr>
          <w:rFonts w:ascii="Arial" w:cs="Arial" w:eastAsia="Arial" w:hAnsi="Arial"/>
          <w:sz w:val="19"/>
          <w:szCs w:val="19"/>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In the event that:</w:t>
      </w:r>
    </w:p>
    <w:p>
      <w:pPr>
        <w:spacing w:after="0" w:line="233" w:lineRule="exact"/>
        <w:rPr>
          <w:sz w:val="20"/>
          <w:szCs w:val="20"/>
          <w:color w:val="auto"/>
        </w:rPr>
      </w:pPr>
    </w:p>
    <w:p>
      <w:pPr>
        <w:jc w:val="both"/>
        <w:ind w:left="660" w:firstLine="644"/>
        <w:spacing w:after="0" w:line="269" w:lineRule="auto"/>
        <w:tabs>
          <w:tab w:leader="none" w:pos="2700"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(A) this Agreement is terminated by the Company or Parent pursuant to </w:t>
      </w:r>
      <w:r>
        <w:rPr>
          <w:rFonts w:ascii="Arial" w:cs="Arial" w:eastAsia="Arial" w:hAnsi="Arial"/>
          <w:sz w:val="19"/>
          <w:szCs w:val="19"/>
          <w:u w:val="single" w:color="auto"/>
          <w:color w:val="auto"/>
        </w:rPr>
        <w:t>Section 7.01(b)(i)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7.01(b)(iii)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7.01(c)(i)</w:t>
      </w:r>
      <w:r>
        <w:rPr>
          <w:rFonts w:ascii="Arial" w:cs="Arial" w:eastAsia="Arial" w:hAnsi="Arial"/>
          <w:sz w:val="19"/>
          <w:szCs w:val="19"/>
          <w:color w:val="auto"/>
        </w:rPr>
        <w:t xml:space="preserve">, (B) at any time after the date of this Agreement but prior to the date of such termination (in the case of </w:t>
      </w:r>
      <w:r>
        <w:rPr>
          <w:rFonts w:ascii="Arial" w:cs="Arial" w:eastAsia="Arial" w:hAnsi="Arial"/>
          <w:sz w:val="19"/>
          <w:szCs w:val="19"/>
          <w:u w:val="single" w:color="auto"/>
          <w:color w:val="auto"/>
        </w:rPr>
        <w:t>Section 7.01(b)(i)</w:t>
      </w:r>
      <w:r>
        <w:rPr>
          <w:rFonts w:ascii="Arial" w:cs="Arial" w:eastAsia="Arial" w:hAnsi="Arial"/>
          <w:sz w:val="19"/>
          <w:szCs w:val="19"/>
          <w:color w:val="auto"/>
        </w:rPr>
        <w:t xml:space="preserve">), prior to the date of the Company Shareholders Meeting (in the case of </w:t>
      </w:r>
      <w:r>
        <w:rPr>
          <w:rFonts w:ascii="Arial" w:cs="Arial" w:eastAsia="Arial" w:hAnsi="Arial"/>
          <w:sz w:val="19"/>
          <w:szCs w:val="19"/>
          <w:u w:val="single" w:color="auto"/>
          <w:color w:val="auto"/>
        </w:rPr>
        <w:t>Section 7.01(b)(iii)</w:t>
      </w:r>
      <w:r>
        <w:rPr>
          <w:rFonts w:ascii="Arial" w:cs="Arial" w:eastAsia="Arial" w:hAnsi="Arial"/>
          <w:sz w:val="19"/>
          <w:szCs w:val="19"/>
          <w:color w:val="auto"/>
        </w:rPr>
        <w:t xml:space="preserve">) and prior to the breach giving rise to the right of such termination (in the case of </w:t>
      </w:r>
      <w:r>
        <w:rPr>
          <w:rFonts w:ascii="Arial" w:cs="Arial" w:eastAsia="Arial" w:hAnsi="Arial"/>
          <w:sz w:val="19"/>
          <w:szCs w:val="19"/>
          <w:u w:val="single" w:color="auto"/>
          <w:color w:val="auto"/>
        </w:rPr>
        <w:t>Section 7.01(c)(i)</w:t>
      </w:r>
      <w:r>
        <w:rPr>
          <w:rFonts w:ascii="Arial" w:cs="Arial" w:eastAsia="Arial" w:hAnsi="Arial"/>
          <w:sz w:val="19"/>
          <w:szCs w:val="19"/>
          <w:color w:val="auto"/>
        </w:rPr>
        <w:t xml:space="preserve">), a bona fide Triggering Takeover Proposal shall have been made or proposed (which Triggering Takeover Proposal must have been publicly made or proposed in the case of </w:t>
      </w:r>
      <w:r>
        <w:rPr>
          <w:rFonts w:ascii="Arial" w:cs="Arial" w:eastAsia="Arial" w:hAnsi="Arial"/>
          <w:sz w:val="19"/>
          <w:szCs w:val="19"/>
          <w:u w:val="single" w:color="auto"/>
          <w:color w:val="auto"/>
        </w:rPr>
        <w:t>Section 7.01(b)(iii)</w:t>
      </w:r>
      <w:r>
        <w:rPr>
          <w:rFonts w:ascii="Arial" w:cs="Arial" w:eastAsia="Arial" w:hAnsi="Arial"/>
          <w:sz w:val="19"/>
          <w:szCs w:val="19"/>
          <w:color w:val="auto"/>
        </w:rPr>
        <w:t xml:space="preserve">, which, in the case of </w:t>
      </w:r>
      <w:r>
        <w:rPr>
          <w:rFonts w:ascii="Arial" w:cs="Arial" w:eastAsia="Arial" w:hAnsi="Arial"/>
          <w:sz w:val="19"/>
          <w:szCs w:val="19"/>
          <w:u w:val="single" w:color="auto"/>
          <w:color w:val="auto"/>
        </w:rPr>
        <w:t>Section 7.01(b)(iii)</w:t>
      </w:r>
      <w:r>
        <w:rPr>
          <w:rFonts w:ascii="Arial" w:cs="Arial" w:eastAsia="Arial" w:hAnsi="Arial"/>
          <w:sz w:val="19"/>
          <w:szCs w:val="19"/>
          <w:color w:val="auto"/>
        </w:rPr>
        <w:t xml:space="preserve"> was not withdrawn at least three business days prior to the Company Shareholders Meeting), (C) at the time of such termination,</w:t>
      </w:r>
    </w:p>
    <w:p>
      <w:pPr>
        <w:spacing w:after="0" w:line="4" w:lineRule="exact"/>
        <w:rPr>
          <w:rFonts w:ascii="Arial" w:cs="Arial" w:eastAsia="Arial" w:hAnsi="Arial"/>
          <w:sz w:val="19"/>
          <w:szCs w:val="19"/>
          <w:color w:val="auto"/>
        </w:rPr>
      </w:pPr>
    </w:p>
    <w:p>
      <w:pPr>
        <w:jc w:val="both"/>
        <w:ind w:left="660" w:hanging="4"/>
        <w:spacing w:after="0" w:line="233" w:lineRule="auto"/>
        <w:tabs>
          <w:tab w:leader="none" w:pos="9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the Company was not entitled to terminate the Agreement pursuant to </w:t>
      </w:r>
      <w:r>
        <w:rPr>
          <w:rFonts w:ascii="Arial" w:cs="Arial" w:eastAsia="Arial" w:hAnsi="Arial"/>
          <w:sz w:val="22"/>
          <w:szCs w:val="22"/>
          <w:u w:val="single" w:color="auto"/>
          <w:color w:val="auto"/>
        </w:rPr>
        <w:t>Section 7.01(d)(iii)</w:t>
      </w:r>
      <w:r>
        <w:rPr>
          <w:rFonts w:ascii="Arial" w:cs="Arial" w:eastAsia="Arial" w:hAnsi="Arial"/>
          <w:sz w:val="22"/>
          <w:szCs w:val="22"/>
          <w:color w:val="auto"/>
        </w:rPr>
        <w:t xml:space="preserve"> and (2) neither Parent nor Merger Sub was then in material breach of its representations, warranties, covenants or obligations under this Agreement and (D) within nine months after the date this Agreement is terminated, the Company consummates a Triggering Takeover Proposal or enters into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Acquisition Agreement with respect to a Triggering Takeover Proposal (whether or not such Company Acquisition Agreement or Triggering Takeover Proposal involves the same Triggering Takeover Proposal as that which was made or proposed prior to the termination of this Agreement); for purposes of this Agreement, “</w:t>
      </w:r>
      <w:r>
        <w:rPr>
          <w:rFonts w:ascii="Arial" w:cs="Arial" w:eastAsia="Arial" w:hAnsi="Arial"/>
          <w:sz w:val="19"/>
          <w:szCs w:val="19"/>
          <w:u w:val="single" w:color="auto"/>
          <w:color w:val="auto"/>
        </w:rPr>
        <w:t>Triggering Takeover Proposal</w:t>
      </w:r>
      <w:r>
        <w:rPr>
          <w:rFonts w:ascii="Arial" w:cs="Arial" w:eastAsia="Arial" w:hAnsi="Arial"/>
          <w:sz w:val="19"/>
          <w:szCs w:val="19"/>
          <w:color w:val="auto"/>
        </w:rPr>
        <w:t xml:space="preserve">” shall mean any inquiry, proposal (whether or not in writing) or offer from any Person or group (other than Parent and its Subsidiaries) relating to, in a single transaction or series of related transactions, any direct or indirect (v) acquisition that if consummated would result in any Person or group owning 50% or more of the assets (based on the fair market value thereof, as determined in good faith by the Company Board, the Special Committee or any other committee of the Company Board), revenues or net income of the Company and its Subsidiaries, taken as a whole, (w) acquisition of Common Shares representing 40% or more of the outstanding Common Shares or acquisition of not less than all of the outstanding Common Shares not owned by the Rolling Shareholders, any employee of the Company or any of their respective Affiliates, (x) tender offer or exchange offer that if consummated would result in any Person or group having beneficial ownership of Common Shares representing 40% or more of the outstanding Common Shares or not less than all of the outstanding Common Shares not owned by the Rolling Shareholders, any employee of the Company or any of their respective Affiliates, (y)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in each case of </w:t>
      </w:r>
      <w:r>
        <w:rPr>
          <w:rFonts w:ascii="Arial" w:cs="Arial" w:eastAsia="Arial" w:hAnsi="Arial"/>
          <w:sz w:val="19"/>
          <w:szCs w:val="19"/>
          <w:u w:val="single" w:color="auto"/>
          <w:color w:val="auto"/>
        </w:rPr>
        <w:t>clauses (v)</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(y)</w:t>
      </w:r>
      <w:r>
        <w:rPr>
          <w:rFonts w:ascii="Arial" w:cs="Arial" w:eastAsia="Arial" w:hAnsi="Arial"/>
          <w:sz w:val="19"/>
          <w:szCs w:val="19"/>
          <w:color w:val="auto"/>
        </w:rPr>
        <w:t>, other than the Transactions or (z) any similar transaction that would have constituted a Triggering Takeover Proposal but for the parties structuring the transaction with the primary purpose of such structure being to avoid the payment of the Company Termination Fee;</w:t>
      </w:r>
    </w:p>
    <w:p>
      <w:pPr>
        <w:spacing w:after="0" w:line="200" w:lineRule="exact"/>
        <w:rPr>
          <w:sz w:val="20"/>
          <w:szCs w:val="20"/>
          <w:color w:val="auto"/>
        </w:rPr>
      </w:pPr>
    </w:p>
    <w:p>
      <w:pPr>
        <w:spacing w:after="0" w:line="243" w:lineRule="exact"/>
        <w:rPr>
          <w:sz w:val="20"/>
          <w:szCs w:val="20"/>
          <w:color w:val="auto"/>
        </w:rPr>
      </w:pPr>
    </w:p>
    <w:p>
      <w:pPr>
        <w:ind w:left="2160" w:hanging="856"/>
        <w:spacing w:after="0"/>
        <w:tabs>
          <w:tab w:leader="none" w:pos="21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this Agreement is terminated by the Company pursuant to </w:t>
      </w:r>
      <w:r>
        <w:rPr>
          <w:rFonts w:ascii="Arial" w:cs="Arial" w:eastAsia="Arial" w:hAnsi="Arial"/>
          <w:sz w:val="22"/>
          <w:szCs w:val="22"/>
          <w:u w:val="single" w:color="auto"/>
          <w:color w:val="auto"/>
        </w:rPr>
        <w:t>Section 7.01(d)(ii)</w:t>
      </w:r>
      <w:r>
        <w:rPr>
          <w:rFonts w:ascii="Arial" w:cs="Arial" w:eastAsia="Arial" w:hAnsi="Arial"/>
          <w:sz w:val="22"/>
          <w:szCs w:val="22"/>
          <w:color w:val="auto"/>
        </w:rPr>
        <w:t>; or</w:t>
      </w:r>
    </w:p>
    <w:p>
      <w:pPr>
        <w:spacing w:after="0" w:line="233" w:lineRule="exact"/>
        <w:rPr>
          <w:rFonts w:ascii="Arial" w:cs="Arial" w:eastAsia="Arial" w:hAnsi="Arial"/>
          <w:sz w:val="22"/>
          <w:szCs w:val="22"/>
          <w:color w:val="auto"/>
        </w:rPr>
      </w:pPr>
    </w:p>
    <w:p>
      <w:pPr>
        <w:jc w:val="both"/>
        <w:ind w:left="660" w:firstLine="644"/>
        <w:spacing w:after="0"/>
        <w:tabs>
          <w:tab w:leader="none" w:pos="2131"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this Agreement is terminated by Parent pursuant to </w:t>
      </w:r>
      <w:r>
        <w:rPr>
          <w:rFonts w:ascii="Arial" w:cs="Arial" w:eastAsia="Arial" w:hAnsi="Arial"/>
          <w:sz w:val="22"/>
          <w:szCs w:val="22"/>
          <w:u w:val="single" w:color="auto"/>
          <w:color w:val="auto"/>
        </w:rPr>
        <w:t>Section 7.01(c)(ii)</w:t>
      </w:r>
      <w:r>
        <w:rPr>
          <w:rFonts w:ascii="Arial" w:cs="Arial" w:eastAsia="Arial" w:hAnsi="Arial"/>
          <w:sz w:val="22"/>
          <w:szCs w:val="22"/>
          <w:color w:val="auto"/>
        </w:rPr>
        <w:t xml:space="preserve"> or by Parent or the Company or Parent pursuant to </w:t>
      </w:r>
      <w:r>
        <w:rPr>
          <w:rFonts w:ascii="Arial" w:cs="Arial" w:eastAsia="Arial" w:hAnsi="Arial"/>
          <w:sz w:val="22"/>
          <w:szCs w:val="22"/>
          <w:u w:val="single" w:color="auto"/>
          <w:color w:val="auto"/>
        </w:rPr>
        <w:t>Section 7.01(b)(i)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7.01(b)(iii)</w:t>
      </w:r>
      <w:r>
        <w:rPr>
          <w:rFonts w:ascii="Arial" w:cs="Arial" w:eastAsia="Arial" w:hAnsi="Arial"/>
          <w:sz w:val="22"/>
          <w:szCs w:val="22"/>
          <w:color w:val="auto"/>
        </w:rPr>
        <w:t xml:space="preserve"> at a time at which this Agreement was terminable by Parent pursuant to </w:t>
      </w:r>
      <w:r>
        <w:rPr>
          <w:rFonts w:ascii="Arial" w:cs="Arial" w:eastAsia="Arial" w:hAnsi="Arial"/>
          <w:sz w:val="22"/>
          <w:szCs w:val="22"/>
          <w:u w:val="single" w:color="auto"/>
          <w:color w:val="auto"/>
        </w:rPr>
        <w:t>Section 7.01(c)(ii)</w:t>
      </w:r>
      <w:r>
        <w:rPr>
          <w:rFonts w:ascii="Arial" w:cs="Arial" w:eastAsia="Arial" w:hAnsi="Arial"/>
          <w:sz w:val="22"/>
          <w:szCs w:val="22"/>
          <w:color w:val="auto"/>
        </w:rPr>
        <w:t>;</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then, in any such event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7.03(a)</w:t>
      </w:r>
      <w:r>
        <w:rPr>
          <w:rFonts w:ascii="Arial" w:cs="Arial" w:eastAsia="Arial" w:hAnsi="Arial"/>
          <w:sz w:val="19"/>
          <w:szCs w:val="19"/>
          <w:color w:val="auto"/>
        </w:rPr>
        <w:t xml:space="preserve">, the Company shall pay or cause to be paid the Company Termination Fee to Parent or its designee by wire transfer of same-day funds (x) in the case of </w:t>
      </w:r>
      <w:r>
        <w:rPr>
          <w:rFonts w:ascii="Arial" w:cs="Arial" w:eastAsia="Arial" w:hAnsi="Arial"/>
          <w:sz w:val="19"/>
          <w:szCs w:val="19"/>
          <w:u w:val="single" w:color="auto"/>
          <w:color w:val="auto"/>
        </w:rPr>
        <w:t>Section 7.03(a)(iii)</w:t>
      </w:r>
      <w:r>
        <w:rPr>
          <w:rFonts w:ascii="Arial" w:cs="Arial" w:eastAsia="Arial" w:hAnsi="Arial"/>
          <w:sz w:val="19"/>
          <w:szCs w:val="19"/>
          <w:color w:val="auto"/>
        </w:rPr>
        <w:t xml:space="preserve">, within two business days after such termination, (y) in the case of </w:t>
      </w:r>
      <w:r>
        <w:rPr>
          <w:rFonts w:ascii="Arial" w:cs="Arial" w:eastAsia="Arial" w:hAnsi="Arial"/>
          <w:sz w:val="19"/>
          <w:szCs w:val="19"/>
          <w:u w:val="single" w:color="auto"/>
          <w:color w:val="auto"/>
        </w:rPr>
        <w:t>Section 7.03(a)(ii)</w:t>
      </w:r>
      <w:r>
        <w:rPr>
          <w:rFonts w:ascii="Arial" w:cs="Arial" w:eastAsia="Arial" w:hAnsi="Arial"/>
          <w:sz w:val="19"/>
          <w:szCs w:val="19"/>
          <w:color w:val="auto"/>
        </w:rPr>
        <w:t>, simultaneously with such termination or</w:t>
      </w:r>
    </w:p>
    <w:p>
      <w:pPr>
        <w:spacing w:after="0" w:line="1" w:lineRule="exact"/>
        <w:rPr>
          <w:sz w:val="20"/>
          <w:szCs w:val="20"/>
          <w:color w:val="auto"/>
        </w:rPr>
      </w:pPr>
    </w:p>
    <w:p>
      <w:pPr>
        <w:ind w:right="20" w:firstLine="8"/>
        <w:spacing w:after="0" w:line="236" w:lineRule="auto"/>
        <w:tabs>
          <w:tab w:leader="none" w:pos="296"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Section 7.03(a)(i)</w:t>
      </w:r>
      <w:r>
        <w:rPr>
          <w:rFonts w:ascii="Arial" w:cs="Arial" w:eastAsia="Arial" w:hAnsi="Arial"/>
          <w:sz w:val="22"/>
          <w:szCs w:val="22"/>
          <w:color w:val="auto"/>
        </w:rPr>
        <w:t>, within two business days after the earlier of entry into a Company Acquisition Agreement or consummation of a Triggering Takeover Proposal; it being understood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that in no event shall the Company be required to pay or cause to be paid the Company Termination Fee more than once. As used herein, “</w:t>
      </w:r>
      <w:r>
        <w:rPr>
          <w:rFonts w:ascii="Arial" w:cs="Arial" w:eastAsia="Arial" w:hAnsi="Arial"/>
          <w:sz w:val="22"/>
          <w:szCs w:val="22"/>
          <w:u w:val="single" w:color="auto"/>
          <w:color w:val="auto"/>
        </w:rPr>
        <w:t>Company Termination Fee</w:t>
      </w:r>
      <w:r>
        <w:rPr>
          <w:rFonts w:ascii="Arial" w:cs="Arial" w:eastAsia="Arial" w:hAnsi="Arial"/>
          <w:sz w:val="22"/>
          <w:szCs w:val="22"/>
          <w:color w:val="auto"/>
        </w:rPr>
        <w:t>” shall mean a cash amount equal to $13,000,000.</w:t>
      </w:r>
    </w:p>
    <w:p>
      <w:pPr>
        <w:spacing w:after="0" w:line="202" w:lineRule="exact"/>
        <w:rPr>
          <w:sz w:val="20"/>
          <w:szCs w:val="20"/>
          <w:color w:val="auto"/>
        </w:rPr>
      </w:pPr>
    </w:p>
    <w:p>
      <w:pPr>
        <w:jc w:val="both"/>
        <w:ind w:firstLine="1304"/>
        <w:spacing w:after="0" w:line="235" w:lineRule="auto"/>
        <w:tabs>
          <w:tab w:leader="none" w:pos="168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If this Agreement is terminated pursuant to </w:t>
      </w:r>
      <w:r>
        <w:rPr>
          <w:rFonts w:ascii="Arial" w:cs="Arial" w:eastAsia="Arial" w:hAnsi="Arial"/>
          <w:sz w:val="22"/>
          <w:szCs w:val="22"/>
          <w:u w:val="single" w:color="auto"/>
          <w:color w:val="auto"/>
        </w:rPr>
        <w:t>Section 7.01(b)(iii)</w:t>
      </w:r>
      <w:r>
        <w:rPr>
          <w:rFonts w:ascii="Arial" w:cs="Arial" w:eastAsia="Arial" w:hAnsi="Arial"/>
          <w:sz w:val="22"/>
          <w:szCs w:val="22"/>
          <w:color w:val="auto"/>
        </w:rPr>
        <w:t xml:space="preserve">, then the Company shall promptly, but in no event later than two business days after being notified of such by Parent, pay to Parent or its designee by wire transfer of same day funds all of the documented out-of-pocket fees and expenses incurred by Parent, Merger Sub or any of their Affiliates in connection with this Agreement and the Transactions up to a maximum amount of $3,000,000;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amounts paid under this </w:t>
      </w:r>
      <w:r>
        <w:rPr>
          <w:rFonts w:ascii="Arial" w:cs="Arial" w:eastAsia="Arial" w:hAnsi="Arial"/>
          <w:sz w:val="22"/>
          <w:szCs w:val="22"/>
          <w:u w:val="single" w:color="auto"/>
          <w:color w:val="auto"/>
        </w:rPr>
        <w:t>Section 7.03(b)</w:t>
      </w:r>
      <w:r>
        <w:rPr>
          <w:rFonts w:ascii="Arial" w:cs="Arial" w:eastAsia="Arial" w:hAnsi="Arial"/>
          <w:sz w:val="22"/>
          <w:szCs w:val="22"/>
          <w:color w:val="auto"/>
        </w:rPr>
        <w:t xml:space="preserve"> shall be credited, without interest, against any Company Termination Fee paid to Parent or its designee pursuant to the terms of this Agreement.</w:t>
      </w:r>
    </w:p>
    <w:p>
      <w:pPr>
        <w:spacing w:after="0" w:line="214" w:lineRule="exact"/>
        <w:rPr>
          <w:rFonts w:ascii="Arial" w:cs="Arial" w:eastAsia="Arial" w:hAnsi="Arial"/>
          <w:sz w:val="22"/>
          <w:szCs w:val="22"/>
          <w:color w:val="auto"/>
        </w:rPr>
      </w:pPr>
    </w:p>
    <w:p>
      <w:pPr>
        <w:jc w:val="both"/>
        <w:ind w:firstLine="1304"/>
        <w:spacing w:after="0" w:line="234" w:lineRule="auto"/>
        <w:tabs>
          <w:tab w:leader="none" w:pos="1718"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If this Agreement is terminated by the Company pursuant to </w:t>
      </w:r>
      <w:r>
        <w:rPr>
          <w:rFonts w:ascii="Arial" w:cs="Arial" w:eastAsia="Arial" w:hAnsi="Arial"/>
          <w:sz w:val="22"/>
          <w:szCs w:val="22"/>
          <w:u w:val="single" w:color="auto"/>
          <w:color w:val="auto"/>
        </w:rPr>
        <w:t>Section 7.01(d)(i)</w:t>
      </w:r>
      <w:r>
        <w:rPr>
          <w:rFonts w:ascii="Arial" w:cs="Arial" w:eastAsia="Arial" w:hAnsi="Arial"/>
          <w:sz w:val="22"/>
          <w:szCs w:val="22"/>
          <w:color w:val="auto"/>
        </w:rPr>
        <w:t xml:space="preserve"> (and at the time of such termination there is no state of facts or circumstances that would reasonably be expected to cause any of the conditions set forth in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to fail to be satisfied on or prior to the Outside Date (other than a state of facts or circumstances resulting from a breach of this Agreement by Parent or Merger Sub)) or </w:t>
      </w:r>
      <w:r>
        <w:rPr>
          <w:rFonts w:ascii="Arial" w:cs="Arial" w:eastAsia="Arial" w:hAnsi="Arial"/>
          <w:sz w:val="22"/>
          <w:szCs w:val="22"/>
          <w:u w:val="single" w:color="auto"/>
          <w:color w:val="auto"/>
        </w:rPr>
        <w:t>Section 7.01(d)(iii)</w:t>
      </w:r>
      <w:r>
        <w:rPr>
          <w:rFonts w:ascii="Arial" w:cs="Arial" w:eastAsia="Arial" w:hAnsi="Arial"/>
          <w:sz w:val="22"/>
          <w:szCs w:val="22"/>
          <w:color w:val="auto"/>
        </w:rPr>
        <w:t xml:space="preserve"> (or is terminated by either party pursuant to </w:t>
      </w:r>
      <w:r>
        <w:rPr>
          <w:rFonts w:ascii="Arial" w:cs="Arial" w:eastAsia="Arial" w:hAnsi="Arial"/>
          <w:sz w:val="22"/>
          <w:szCs w:val="22"/>
          <w:u w:val="single" w:color="auto"/>
          <w:color w:val="auto"/>
        </w:rPr>
        <w:t>Section 7.01(b)(i)</w:t>
      </w:r>
      <w:r>
        <w:rPr>
          <w:rFonts w:ascii="Arial" w:cs="Arial" w:eastAsia="Arial" w:hAnsi="Arial"/>
          <w:sz w:val="22"/>
          <w:szCs w:val="22"/>
          <w:color w:val="auto"/>
        </w:rPr>
        <w:t xml:space="preserve"> at a time when this Agreement is terminable pursuant to </w:t>
      </w:r>
      <w:r>
        <w:rPr>
          <w:rFonts w:ascii="Arial" w:cs="Arial" w:eastAsia="Arial" w:hAnsi="Arial"/>
          <w:sz w:val="22"/>
          <w:szCs w:val="22"/>
          <w:u w:val="single" w:color="auto"/>
          <w:color w:val="auto"/>
        </w:rPr>
        <w:t>Section 7.01(d)(iii)</w:t>
      </w:r>
      <w:r>
        <w:rPr>
          <w:rFonts w:ascii="Arial" w:cs="Arial" w:eastAsia="Arial" w:hAnsi="Arial"/>
          <w:sz w:val="22"/>
          <w:szCs w:val="22"/>
          <w:color w:val="auto"/>
        </w:rPr>
        <w:t>), then Parent shall promptly, but in no event later than two business days after such termination, pay to the Company or its designee by wire transfer of same day funds the Parent Termination Fee. As used herein, “</w:t>
      </w:r>
      <w:r>
        <w:rPr>
          <w:rFonts w:ascii="Arial" w:cs="Arial" w:eastAsia="Arial" w:hAnsi="Arial"/>
          <w:sz w:val="22"/>
          <w:szCs w:val="22"/>
          <w:u w:val="single" w:color="auto"/>
          <w:color w:val="auto"/>
        </w:rPr>
        <w:t>Parent Termination Fee</w:t>
      </w:r>
      <w:r>
        <w:rPr>
          <w:rFonts w:ascii="Arial" w:cs="Arial" w:eastAsia="Arial" w:hAnsi="Arial"/>
          <w:sz w:val="22"/>
          <w:szCs w:val="22"/>
          <w:color w:val="auto"/>
        </w:rPr>
        <w:t>” shall mean a cash amount equal to $40,000,000.</w:t>
      </w:r>
    </w:p>
    <w:p>
      <w:pPr>
        <w:spacing w:after="0" w:line="213" w:lineRule="exact"/>
        <w:rPr>
          <w:rFonts w:ascii="Arial" w:cs="Arial" w:eastAsia="Arial" w:hAnsi="Arial"/>
          <w:sz w:val="22"/>
          <w:szCs w:val="22"/>
          <w:color w:val="auto"/>
        </w:rPr>
      </w:pPr>
    </w:p>
    <w:p>
      <w:pPr>
        <w:jc w:val="both"/>
        <w:ind w:firstLine="1304"/>
        <w:spacing w:after="0" w:line="270" w:lineRule="auto"/>
        <w:tabs>
          <w:tab w:leader="none" w:pos="1693"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Subject in all respects to Company’s injunction, specific performance and equitable relief rights and related rights set forth in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7.03(e)</w:t>
      </w:r>
      <w:r>
        <w:rPr>
          <w:rFonts w:ascii="Arial" w:cs="Arial" w:eastAsia="Arial" w:hAnsi="Arial"/>
          <w:sz w:val="19"/>
          <w:szCs w:val="19"/>
          <w:color w:val="auto"/>
        </w:rPr>
        <w:t xml:space="preserve">, solely in the event the Parent Termination Fee is paid to Parent or its designee in circumstances for which such fee is payable pursuant to </w:t>
      </w:r>
      <w:r>
        <w:rPr>
          <w:rFonts w:ascii="Arial" w:cs="Arial" w:eastAsia="Arial" w:hAnsi="Arial"/>
          <w:sz w:val="19"/>
          <w:szCs w:val="19"/>
          <w:u w:val="single" w:color="auto"/>
          <w:color w:val="auto"/>
        </w:rPr>
        <w:t>Section 7.03(c)</w:t>
      </w:r>
      <w:r>
        <w:rPr>
          <w:rFonts w:ascii="Arial" w:cs="Arial" w:eastAsia="Arial" w:hAnsi="Arial"/>
          <w:sz w:val="19"/>
          <w:szCs w:val="19"/>
          <w:color w:val="auto"/>
        </w:rPr>
        <w:t>, (i) payment of the Parent Termination Fee shall be the sole and exclusive monetary damages remedy of the Company and any of its former, current or future general or limited partners, shareholders, financing sources, managers, members, directors, officers or Affiliates or any of their respective successors or assigns or any of the former, current or future officers, directors, partners, shareholders, managers, members or Affiliates or successors or assigns of any of the foregoing (collectively, the “</w:t>
      </w:r>
      <w:r>
        <w:rPr>
          <w:rFonts w:ascii="Arial" w:cs="Arial" w:eastAsia="Arial" w:hAnsi="Arial"/>
          <w:sz w:val="19"/>
          <w:szCs w:val="19"/>
          <w:u w:val="single" w:color="auto"/>
          <w:color w:val="auto"/>
        </w:rPr>
        <w:t>Company Related Parties</w:t>
      </w:r>
      <w:r>
        <w:rPr>
          <w:rFonts w:ascii="Arial" w:cs="Arial" w:eastAsia="Arial" w:hAnsi="Arial"/>
          <w:sz w:val="19"/>
          <w:szCs w:val="19"/>
          <w:color w:val="auto"/>
        </w:rPr>
        <w:t>”) against Parent, Merger Sub and any of their respective former, current or future officers, directors, partners, shareholders, managers, members or Affiliates or any of their respective successors or assigns or any of the former, current or future officers, directors, partners, shareholders, managers, members or Affiliates or successors or assigns of any of the foregoing (collectively, “</w:t>
      </w:r>
      <w:r>
        <w:rPr>
          <w:rFonts w:ascii="Arial" w:cs="Arial" w:eastAsia="Arial" w:hAnsi="Arial"/>
          <w:sz w:val="19"/>
          <w:szCs w:val="19"/>
          <w:u w:val="single" w:color="auto"/>
          <w:color w:val="auto"/>
        </w:rPr>
        <w:t>Parent Related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for any loss suffered as a result of the failure of the Transactions to be consummated or for a breach or failure to perform hereunder or otherwise, (ii) none of the Parent Related Parties (other than Parent, Merger Sub or the Guarantor to the extent set forth in the Guarantee) shall have any liability or obligations relating to or arising out of this Agreement or the Transactions or in respect of any other document or theory of law or equity, in contract, in tort or otherwise, and (iii) upon payment of the Parent Termination Fee none of Parent, Merger Sub or the Guarantor shall have any further liability or obligation relating to or arising out of this Agreement or the Transactions. In connection with any loss suffered by any Company Related Party as a result of the failure of the Transactions to be consummated or for a breach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failure to perform hereunder or otherwise or in respect of any other document or theory of law or equity, in contract, in tort or otherwise, other than in the circumstances in which the Company is entitled to receive the Parent Termination Fee in accordance with </w:t>
      </w:r>
      <w:r>
        <w:rPr>
          <w:rFonts w:ascii="Arial" w:cs="Arial" w:eastAsia="Arial" w:hAnsi="Arial"/>
          <w:sz w:val="21"/>
          <w:szCs w:val="21"/>
          <w:u w:val="single" w:color="auto"/>
          <w:color w:val="auto"/>
        </w:rPr>
        <w:t>Section 7.03(c)</w:t>
      </w:r>
      <w:r>
        <w:rPr>
          <w:rFonts w:ascii="Arial" w:cs="Arial" w:eastAsia="Arial" w:hAnsi="Arial"/>
          <w:sz w:val="21"/>
          <w:szCs w:val="21"/>
          <w:color w:val="auto"/>
        </w:rPr>
        <w:t xml:space="preserve"> (in which case the preceding sentence shall apply), the Company agrees, on behalf of itself and the Company Related Parties, that none of the Parent Related Parties (other than Parent and Merger Sub) shall have any liability and the maximum aggregate monetary liability of Parent and Merger Sub, if any, shall be limited to the amount of the Parent Termination Fee (inclusive of the payment of the Parent Termination Fee plus any amount pursuant to </w:t>
      </w:r>
      <w:r>
        <w:rPr>
          <w:rFonts w:ascii="Arial" w:cs="Arial" w:eastAsia="Arial" w:hAnsi="Arial"/>
          <w:sz w:val="21"/>
          <w:szCs w:val="21"/>
          <w:u w:val="single" w:color="auto"/>
          <w:color w:val="auto"/>
        </w:rPr>
        <w:t>Section 7.03(e)</w:t>
      </w:r>
      <w:r>
        <w:rPr>
          <w:rFonts w:ascii="Arial" w:cs="Arial" w:eastAsia="Arial" w:hAnsi="Arial"/>
          <w:sz w:val="21"/>
          <w:szCs w:val="21"/>
          <w:color w:val="auto"/>
        </w:rPr>
        <w:t>), and in no event shall Company or any Company Related Party seek or be entitled to recover from the Parent Related Parties, and the Company on behalf of itself and the Company Related Parties hereby irrevocably waives and relinquishes any right to seek or recover, any monetary damages in excess of such amount.</w:t>
      </w:r>
    </w:p>
    <w:p>
      <w:pPr>
        <w:spacing w:after="0" w:line="211" w:lineRule="exact"/>
        <w:rPr>
          <w:sz w:val="20"/>
          <w:szCs w:val="20"/>
          <w:color w:val="auto"/>
        </w:rPr>
      </w:pPr>
    </w:p>
    <w:p>
      <w:pPr>
        <w:jc w:val="both"/>
        <w:ind w:firstLine="1304"/>
        <w:spacing w:after="0" w:line="279" w:lineRule="auto"/>
        <w:tabs>
          <w:tab w:leader="none" w:pos="1698"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If Parent fails to pay the Parent Termination Fee when due and, in order to obtain such payment, the Company commences an Action that results in a judgment against Parent for the Parent Termination Fee, then Parent shall pay to the Company the Parent Termination Fee,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on the Parent Termination Fee from the date of termination of this Agreement at a rate per annum equal to the prime rate as published in the Wall Street Journal, Eastern Edition, in effect on the date of termination of this Agreement,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amount of any reasonable fees, costs and expenses (including legal fees) incurred by the Company and its Affiliates in connection with any such Action, up to a maximum amount of $10,000,000.</w:t>
      </w:r>
    </w:p>
    <w:p>
      <w:pPr>
        <w:spacing w:after="0" w:line="177" w:lineRule="exact"/>
        <w:rPr>
          <w:rFonts w:ascii="Arial" w:cs="Arial" w:eastAsia="Arial" w:hAnsi="Arial"/>
          <w:sz w:val="19"/>
          <w:szCs w:val="19"/>
          <w:color w:val="auto"/>
        </w:rPr>
      </w:pPr>
    </w:p>
    <w:p>
      <w:pPr>
        <w:jc w:val="both"/>
        <w:ind w:firstLine="1304"/>
        <w:spacing w:after="0" w:line="249" w:lineRule="auto"/>
        <w:tabs>
          <w:tab w:leader="none" w:pos="1684"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Each party hereto acknowledges and agrees that the Parent Termination Fee if, as and when required pursuant to this </w:t>
      </w:r>
      <w:r>
        <w:rPr>
          <w:rFonts w:ascii="Arial" w:cs="Arial" w:eastAsia="Arial" w:hAnsi="Arial"/>
          <w:sz w:val="21"/>
          <w:szCs w:val="21"/>
          <w:u w:val="single" w:color="auto"/>
          <w:color w:val="auto"/>
        </w:rPr>
        <w:t>Section 7.03</w:t>
      </w:r>
      <w:r>
        <w:rPr>
          <w:rFonts w:ascii="Arial" w:cs="Arial" w:eastAsia="Arial" w:hAnsi="Arial"/>
          <w:sz w:val="21"/>
          <w:szCs w:val="21"/>
          <w:color w:val="auto"/>
        </w:rPr>
        <w:t>,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No Survival of Representations, Warranties and Covenants</w:t>
      </w:r>
      <w:r>
        <w:rPr>
          <w:rFonts w:ascii="Arial" w:cs="Arial" w:eastAsia="Arial" w:hAnsi="Arial"/>
          <w:sz w:val="21"/>
          <w:szCs w:val="21"/>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8.01</w:t>
      </w:r>
      <w:r>
        <w:rPr>
          <w:rFonts w:ascii="Arial" w:cs="Arial" w:eastAsia="Arial" w:hAnsi="Arial"/>
          <w:sz w:val="21"/>
          <w:szCs w:val="21"/>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20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Amendment or Supplement</w:t>
      </w:r>
      <w:r>
        <w:rPr>
          <w:rFonts w:ascii="Arial" w:cs="Arial" w:eastAsia="Arial" w:hAnsi="Arial"/>
          <w:sz w:val="21"/>
          <w:szCs w:val="21"/>
          <w:color w:val="auto"/>
        </w:rPr>
        <w:t xml:space="preserve">. Subject to compliance with applicable Law, at any time prior to the Effective Time, this Agreement may be amended, modified or supplemented in any and all respects, whether before or after receipt of the Required Shareholder Approvals, only by written agreement of the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following receipt of the Required Shareholder Approvals, there shall be no amendment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to the provisions hereof which by applicable Law would require further approval by the Company’s shareholders without such approval having first been obtained.</w:t>
      </w:r>
    </w:p>
    <w:p>
      <w:pPr>
        <w:spacing w:after="0" w:line="20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Extension of Time, Waiver, Etc</w:t>
      </w:r>
      <w:r>
        <w:rPr>
          <w:rFonts w:ascii="Arial" w:cs="Arial" w:eastAsia="Arial" w:hAnsi="Arial"/>
          <w:sz w:val="19"/>
          <w:szCs w:val="19"/>
          <w:color w:val="auto"/>
        </w:rPr>
        <w:t>. At any time prior to the Effective Time, Parent and the Company may, subject to applicable Law, (a) waive any inaccuracies in the representations and warranties of the other party,</w:t>
      </w:r>
    </w:p>
    <w:p>
      <w:pPr>
        <w:spacing w:after="0" w:line="1" w:lineRule="exact"/>
        <w:rPr>
          <w:sz w:val="20"/>
          <w:szCs w:val="20"/>
          <w:color w:val="auto"/>
        </w:rPr>
      </w:pPr>
    </w:p>
    <w:p>
      <w:pPr>
        <w:jc w:val="both"/>
        <w:ind w:firstLine="8"/>
        <w:spacing w:after="0" w:line="272" w:lineRule="auto"/>
        <w:tabs>
          <w:tab w:leader="none" w:pos="320"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following receipt of the Required Shareholder Approvals, there shall be no waiver or extension which by applicable Law would require further approval by the Company’s shareholders without such approval having first been obtained.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shall be null and void.</w:t>
      </w:r>
    </w:p>
    <w:p>
      <w:pPr>
        <w:spacing w:after="0" w:line="21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20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u w:val="single" w:color="auto"/>
          <w:color w:val="auto"/>
        </w:rPr>
        <w:t>Entire Agreement; No Third-Party Beneficiaries</w:t>
      </w:r>
      <w:r>
        <w:rPr>
          <w:rFonts w:ascii="Arial" w:cs="Arial" w:eastAsia="Arial" w:hAnsi="Arial"/>
          <w:sz w:val="21"/>
          <w:szCs w:val="21"/>
          <w:color w:val="auto"/>
        </w:rPr>
        <w:t xml:space="preserve">. This Agreement, together with the Exhibits attached hereto, the Company Disclosure Letter, the Parent Disclosure Letter, the Confidentiality Agreement, the Equity Commitment Letter, the Guarantee and the Rollover Agreement,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hereto any rights or remedies hereunder, except for (i) if the Effective Time occurs, the right of the holders of Common Shares to receive the Merger Consideration payable in accordance with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(ii) the rights of the Parent Related Parties set forth in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8.15</w:t>
      </w:r>
      <w:r>
        <w:rPr>
          <w:rFonts w:ascii="Arial" w:cs="Arial" w:eastAsia="Arial" w:hAnsi="Arial"/>
          <w:sz w:val="21"/>
          <w:szCs w:val="21"/>
          <w:color w:val="auto"/>
        </w:rPr>
        <w:t xml:space="preserve">, which are intended for the benefit of the Persons and shall be enforceable by the Persons referred to respectively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ind w:left="11100"/>
        <w:spacing w:after="0"/>
        <w:rPr>
          <w:sz w:val="20"/>
          <w:szCs w:val="20"/>
          <w:color w:val="auto"/>
        </w:rPr>
      </w:pPr>
      <w:r>
        <w:rPr>
          <w:rFonts w:ascii="Arial" w:cs="Arial" w:eastAsia="Arial" w:hAnsi="Arial"/>
          <w:sz w:val="12"/>
          <w:szCs w:val="12"/>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to the Merger. The parties hereto hereby irrevocably (i) submit to the jurisdiction and venue of the Bermuda courts in any Actions arising out of or relating to this Agreement or the Transactions,</w:t>
      </w:r>
    </w:p>
    <w:p>
      <w:pPr>
        <w:spacing w:after="0" w:line="4" w:lineRule="exact"/>
        <w:rPr>
          <w:sz w:val="20"/>
          <w:szCs w:val="20"/>
          <w:color w:val="auto"/>
        </w:rPr>
      </w:pPr>
    </w:p>
    <w:p>
      <w:pPr>
        <w:jc w:val="both"/>
        <w:ind w:firstLine="8"/>
        <w:spacing w:after="0" w:line="231" w:lineRule="auto"/>
        <w:tabs>
          <w:tab w:leader="none" w:pos="318"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22"/>
          <w:szCs w:val="22"/>
          <w:u w:val="single" w:color="auto"/>
          <w:color w:val="auto"/>
        </w:rPr>
        <w:t>Section 8.07</w:t>
      </w:r>
      <w:r>
        <w:rPr>
          <w:rFonts w:ascii="Arial" w:cs="Arial" w:eastAsia="Arial" w:hAnsi="Arial"/>
          <w:sz w:val="22"/>
          <w:szCs w:val="22"/>
          <w:color w:val="auto"/>
        </w:rPr>
        <w:t xml:space="preserve"> shall not constitute general consents to service of process in Bermuda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22"/>
          <w:szCs w:val="22"/>
          <w:u w:val="single" w:color="auto"/>
          <w:color w:val="auto"/>
        </w:rPr>
        <w:t>Section 8.10</w:t>
      </w:r>
      <w:r>
        <w:rPr>
          <w:rFonts w:ascii="Arial" w:cs="Arial" w:eastAsia="Arial" w:hAnsi="Arial"/>
          <w:sz w:val="22"/>
          <w:szCs w:val="22"/>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nothing contained in the foregoing shall restrict any party’s rights to seek any post-judgment relief regarding, or any appeal from, a final trial court judgment.</w:t>
      </w:r>
    </w:p>
    <w:p>
      <w:pPr>
        <w:spacing w:after="0" w:line="22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Specific Enforcement</w:t>
      </w:r>
      <w:r>
        <w:rPr>
          <w:rFonts w:ascii="Arial" w:cs="Arial" w:eastAsia="Arial" w:hAnsi="Arial"/>
          <w:sz w:val="19"/>
          <w:szCs w:val="19"/>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Merger to be consummated on the terms and subject to the conditions set forth in this Agreement) in the courts described in </w:t>
      </w:r>
      <w:r>
        <w:rPr>
          <w:rFonts w:ascii="Arial" w:cs="Arial" w:eastAsia="Arial" w:hAnsi="Arial"/>
          <w:sz w:val="19"/>
          <w:szCs w:val="19"/>
          <w:u w:val="single" w:color="auto"/>
          <w:color w:val="auto"/>
        </w:rPr>
        <w:t>Section 8.07</w:t>
      </w:r>
      <w:r>
        <w:rPr>
          <w:rFonts w:ascii="Arial" w:cs="Arial" w:eastAsia="Arial" w:hAnsi="Arial"/>
          <w:sz w:val="19"/>
          <w:szCs w:val="19"/>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Parent would have entered into this Agreement. The parties hereto agree that, prior to the valid termination of this Agreement in accordance with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it will not assert that a remedy of specific enforcement is unenforceable, invalid, contrary to Law or inequitable for any reason, and not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9"/>
          <w:szCs w:val="19"/>
          <w:u w:val="single" w:color="auto"/>
          <w:color w:val="auto"/>
        </w:rPr>
        <w:t>Section 8.08</w:t>
      </w:r>
      <w:r>
        <w:rPr>
          <w:rFonts w:ascii="Arial" w:cs="Arial" w:eastAsia="Arial" w:hAnsi="Arial"/>
          <w:sz w:val="19"/>
          <w:szCs w:val="19"/>
          <w:color w:val="auto"/>
        </w:rPr>
        <w:t xml:space="preserve"> shall not be required to provide any bond or other security in connection with any such order or injunction. For the avoidance of doubt, while the Company shall have the right to seek (i) an injunction, specific performance or other equitable remedies and (ii) payment of the Parent Termination Fee, if, as and when required pursuant to </w:t>
      </w:r>
      <w:r>
        <w:rPr>
          <w:rFonts w:ascii="Arial" w:cs="Arial" w:eastAsia="Arial" w:hAnsi="Arial"/>
          <w:sz w:val="19"/>
          <w:szCs w:val="19"/>
          <w:u w:val="single" w:color="auto"/>
          <w:color w:val="auto"/>
        </w:rPr>
        <w:t>Section 7.03(c)</w:t>
      </w:r>
      <w:r>
        <w:rPr>
          <w:rFonts w:ascii="Arial" w:cs="Arial" w:eastAsia="Arial" w:hAnsi="Arial"/>
          <w:sz w:val="19"/>
          <w:szCs w:val="19"/>
          <w:color w:val="auto"/>
        </w:rPr>
        <w:t xml:space="preserve"> and any amount pursuant to </w:t>
      </w:r>
      <w:r>
        <w:rPr>
          <w:rFonts w:ascii="Arial" w:cs="Arial" w:eastAsia="Arial" w:hAnsi="Arial"/>
          <w:sz w:val="19"/>
          <w:szCs w:val="19"/>
          <w:u w:val="single" w:color="auto"/>
          <w:color w:val="auto"/>
        </w:rPr>
        <w:t>Section 7.03(e)</w:t>
      </w:r>
      <w:r>
        <w:rPr>
          <w:rFonts w:ascii="Arial" w:cs="Arial" w:eastAsia="Arial" w:hAnsi="Arial"/>
          <w:sz w:val="19"/>
          <w:szCs w:val="19"/>
          <w:color w:val="auto"/>
        </w:rPr>
        <w:t>, under no circumstances shall the Company, directly or indirectly, be permitted or entitled to receive both (A) a grant of specific performance to cause the Equity Financing to be funded to fund the Merger (whether under this Agreement or the Equity Commitment Letter)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other equitable relief to cause the Merger Consideration to be paid and the Closing to occur, on the one hand, and payment of the Parent Termination Fee, on the other hand or (B) the payment of any monetary damages whatsoever, on the one hand, and the payment of the Parent Termination Fee, on the other hand.</w:t>
      </w:r>
    </w:p>
    <w:p>
      <w:pPr>
        <w:spacing w:after="0" w:line="21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w:t>
      </w:r>
    </w:p>
    <w:p>
      <w:pPr>
        <w:spacing w:after="0" w:line="3" w:lineRule="exact"/>
        <w:rPr>
          <w:sz w:val="20"/>
          <w:szCs w:val="20"/>
          <w:color w:val="auto"/>
        </w:rPr>
      </w:pPr>
    </w:p>
    <w:p>
      <w:pPr>
        <w:jc w:val="both"/>
        <w:ind w:firstLine="8"/>
        <w:spacing w:after="0" w:line="256" w:lineRule="auto"/>
        <w:tabs>
          <w:tab w:leader="none" w:pos="430"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IT MAKES SUCH WAIVER VOLUNTARILY AND (D) IT HAS BEEN INDUCED TO ENTER INTO THIS AGREEMENT BY, AMONG OTHER THINGS, THE MUTUAL WAIVER AND CERTIFICATIONS IN THIS </w:t>
      </w:r>
      <w:r>
        <w:rPr>
          <w:rFonts w:ascii="Arial" w:cs="Arial" w:eastAsia="Arial" w:hAnsi="Arial"/>
          <w:sz w:val="21"/>
          <w:szCs w:val="21"/>
          <w:u w:val="single" w:color="auto"/>
          <w:color w:val="auto"/>
        </w:rPr>
        <w:t>SECTION 8.09</w:t>
      </w:r>
      <w:r>
        <w:rPr>
          <w:rFonts w:ascii="Arial" w:cs="Arial" w:eastAsia="Arial" w:hAnsi="Arial"/>
          <w:sz w:val="21"/>
          <w:szCs w:val="21"/>
          <w:color w:val="auto"/>
        </w:rPr>
        <w:t>.</w:t>
      </w:r>
    </w:p>
    <w:p>
      <w:pPr>
        <w:spacing w:after="0" w:line="19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Parent or Merger Sub, to it at:</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Global Energy &amp; Power Infrastructure Funds</w:t>
      </w:r>
    </w:p>
    <w:p>
      <w:pPr>
        <w:ind w:left="1960"/>
        <w:spacing w:after="0" w:line="238" w:lineRule="auto"/>
        <w:rPr>
          <w:sz w:val="20"/>
          <w:szCs w:val="20"/>
          <w:color w:val="auto"/>
        </w:rPr>
      </w:pPr>
      <w:r>
        <w:rPr>
          <w:rFonts w:ascii="Arial" w:cs="Arial" w:eastAsia="Arial" w:hAnsi="Arial"/>
          <w:sz w:val="22"/>
          <w:szCs w:val="22"/>
          <w:color w:val="auto"/>
        </w:rPr>
        <w:t>One Lafayette Place</w:t>
      </w:r>
    </w:p>
    <w:p>
      <w:pPr>
        <w:ind w:left="1960"/>
        <w:spacing w:after="0" w:line="230" w:lineRule="auto"/>
        <w:rPr>
          <w:sz w:val="20"/>
          <w:szCs w:val="20"/>
          <w:color w:val="auto"/>
        </w:rPr>
      </w:pPr>
      <w:r>
        <w:rPr>
          <w:rFonts w:ascii="Arial" w:cs="Arial" w:eastAsia="Arial" w:hAnsi="Arial"/>
          <w:sz w:val="22"/>
          <w:szCs w:val="22"/>
          <w:color w:val="auto"/>
        </w:rPr>
        <w:t>Greenwich, CT 06830</w:t>
      </w:r>
    </w:p>
    <w:p>
      <w:pPr>
        <w:ind w:left="1960"/>
        <w:spacing w:after="0" w:line="231" w:lineRule="auto"/>
        <w:rPr>
          <w:sz w:val="20"/>
          <w:szCs w:val="20"/>
          <w:color w:val="auto"/>
        </w:rPr>
      </w:pPr>
      <w:r>
        <w:rPr>
          <w:rFonts w:ascii="Arial" w:cs="Arial" w:eastAsia="Arial" w:hAnsi="Arial"/>
          <w:sz w:val="22"/>
          <w:szCs w:val="22"/>
          <w:color w:val="auto"/>
        </w:rPr>
        <w:t>Attention: Matt Raben</w:t>
      </w: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matthew.raben@blackrock.com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BlackRock, Inc.</w:t>
      </w:r>
    </w:p>
    <w:p>
      <w:pPr>
        <w:ind w:left="1960"/>
        <w:spacing w:after="0" w:line="230" w:lineRule="auto"/>
        <w:rPr>
          <w:sz w:val="20"/>
          <w:szCs w:val="20"/>
          <w:color w:val="auto"/>
        </w:rPr>
      </w:pPr>
      <w:r>
        <w:rPr>
          <w:rFonts w:ascii="Arial" w:cs="Arial" w:eastAsia="Arial" w:hAnsi="Arial"/>
          <w:sz w:val="22"/>
          <w:szCs w:val="22"/>
          <w:color w:val="auto"/>
        </w:rPr>
        <w:t>Office of the General Counsel</w:t>
      </w:r>
    </w:p>
    <w:p>
      <w:pPr>
        <w:ind w:left="1960"/>
        <w:spacing w:after="0" w:line="181" w:lineRule="auto"/>
        <w:rPr>
          <w:sz w:val="20"/>
          <w:szCs w:val="20"/>
          <w:color w:val="auto"/>
        </w:rPr>
      </w:pPr>
      <w:r>
        <w:rPr>
          <w:rFonts w:ascii="Arial" w:cs="Arial" w:eastAsia="Arial" w:hAnsi="Arial"/>
          <w:sz w:val="19"/>
          <w:szCs w:val="19"/>
          <w:color w:val="auto"/>
        </w:rPr>
        <w:t>40 East 52</w:t>
      </w:r>
      <w:r>
        <w:rPr>
          <w:rFonts w:ascii="Arial" w:cs="Arial" w:eastAsia="Arial" w:hAnsi="Arial"/>
          <w:sz w:val="29"/>
          <w:szCs w:val="29"/>
          <w:color w:val="auto"/>
          <w:vertAlign w:val="superscript"/>
        </w:rPr>
        <w:t>nd</w:t>
      </w:r>
      <w:r>
        <w:rPr>
          <w:rFonts w:ascii="Arial" w:cs="Arial" w:eastAsia="Arial" w:hAnsi="Arial"/>
          <w:sz w:val="19"/>
          <w:szCs w:val="19"/>
          <w:color w:val="auto"/>
        </w:rPr>
        <w:t xml:space="preserve"> Street, 19</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ind w:left="1960"/>
        <w:spacing w:after="0" w:line="230" w:lineRule="auto"/>
        <w:rPr>
          <w:sz w:val="20"/>
          <w:szCs w:val="20"/>
          <w:color w:val="auto"/>
        </w:rPr>
      </w:pPr>
      <w:r>
        <w:rPr>
          <w:rFonts w:ascii="Arial" w:cs="Arial" w:eastAsia="Arial" w:hAnsi="Arial"/>
          <w:sz w:val="22"/>
          <w:szCs w:val="22"/>
          <w:color w:val="auto"/>
        </w:rPr>
        <w:t>New York, NY 10022</w:t>
      </w:r>
    </w:p>
    <w:p>
      <w:pPr>
        <w:ind w:left="1960"/>
        <w:spacing w:after="0" w:line="231" w:lineRule="auto"/>
        <w:rPr>
          <w:sz w:val="20"/>
          <w:szCs w:val="20"/>
          <w:color w:val="auto"/>
        </w:rPr>
      </w:pPr>
      <w:r>
        <w:rPr>
          <w:rFonts w:ascii="Arial" w:cs="Arial" w:eastAsia="Arial" w:hAnsi="Arial"/>
          <w:sz w:val="22"/>
          <w:szCs w:val="22"/>
          <w:color w:val="auto"/>
        </w:rPr>
        <w:t>Attention: Jelena Napolitano</w:t>
      </w: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legaltransactions@blackrock.com</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Simpson Thacher &amp; Bartlett LLP</w:t>
      </w:r>
    </w:p>
    <w:p>
      <w:pPr>
        <w:ind w:left="1960"/>
        <w:spacing w:after="0" w:line="238" w:lineRule="auto"/>
        <w:rPr>
          <w:sz w:val="20"/>
          <w:szCs w:val="20"/>
          <w:color w:val="auto"/>
        </w:rPr>
      </w:pPr>
      <w:r>
        <w:rPr>
          <w:rFonts w:ascii="Arial" w:cs="Arial" w:eastAsia="Arial" w:hAnsi="Arial"/>
          <w:sz w:val="22"/>
          <w:szCs w:val="22"/>
          <w:color w:val="auto"/>
        </w:rPr>
        <w:t>600 Travis Street, Suite 5400</w:t>
      </w:r>
    </w:p>
    <w:p>
      <w:pPr>
        <w:ind w:left="1960"/>
        <w:spacing w:after="0" w:line="230" w:lineRule="auto"/>
        <w:rPr>
          <w:sz w:val="20"/>
          <w:szCs w:val="20"/>
          <w:color w:val="auto"/>
        </w:rPr>
      </w:pPr>
      <w:r>
        <w:rPr>
          <w:rFonts w:ascii="Arial" w:cs="Arial" w:eastAsia="Arial" w:hAnsi="Arial"/>
          <w:sz w:val="22"/>
          <w:szCs w:val="22"/>
          <w:color w:val="auto"/>
        </w:rPr>
        <w:t>Houston, TX 77002</w:t>
      </w:r>
    </w:p>
    <w:p>
      <w:pPr>
        <w:ind w:left="1960"/>
        <w:spacing w:after="0" w:line="231" w:lineRule="auto"/>
        <w:rPr>
          <w:sz w:val="20"/>
          <w:szCs w:val="20"/>
          <w:color w:val="auto"/>
        </w:rPr>
      </w:pPr>
      <w:r>
        <w:rPr>
          <w:rFonts w:ascii="Arial" w:cs="Arial" w:eastAsia="Arial" w:hAnsi="Arial"/>
          <w:sz w:val="22"/>
          <w:szCs w:val="22"/>
          <w:color w:val="auto"/>
        </w:rPr>
        <w:t>Attention: Christopher R. May</w:t>
      </w:r>
    </w:p>
    <w:p>
      <w:pPr>
        <w:ind w:left="1960"/>
        <w:spacing w:after="0"/>
        <w:rPr>
          <w:sz w:val="20"/>
          <w:szCs w:val="20"/>
          <w:color w:val="auto"/>
        </w:rPr>
      </w:pPr>
      <w:r>
        <w:rPr>
          <w:rFonts w:ascii="Arial" w:cs="Arial" w:eastAsia="Arial" w:hAnsi="Arial"/>
          <w:sz w:val="22"/>
          <w:szCs w:val="22"/>
          <w:color w:val="auto"/>
        </w:rPr>
        <w:t>Email: cmay@stblaw.com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GasLog Ltd.</w:t>
      </w:r>
    </w:p>
    <w:p>
      <w:pPr>
        <w:ind w:left="1960"/>
        <w:spacing w:after="0" w:line="238" w:lineRule="auto"/>
        <w:rPr>
          <w:sz w:val="20"/>
          <w:szCs w:val="20"/>
          <w:color w:val="auto"/>
        </w:rPr>
      </w:pPr>
      <w:r>
        <w:rPr>
          <w:rFonts w:ascii="Arial" w:cs="Arial" w:eastAsia="Arial" w:hAnsi="Arial"/>
          <w:sz w:val="22"/>
          <w:szCs w:val="22"/>
          <w:color w:val="auto"/>
        </w:rPr>
        <w:t>c/o GasLog LNG Services Ltd.</w:t>
      </w:r>
    </w:p>
    <w:p>
      <w:pPr>
        <w:ind w:left="1960"/>
        <w:spacing w:after="0" w:line="230" w:lineRule="auto"/>
        <w:rPr>
          <w:sz w:val="20"/>
          <w:szCs w:val="20"/>
          <w:color w:val="auto"/>
        </w:rPr>
      </w:pPr>
      <w:r>
        <w:rPr>
          <w:rFonts w:ascii="Arial" w:cs="Arial" w:eastAsia="Arial" w:hAnsi="Arial"/>
          <w:sz w:val="22"/>
          <w:szCs w:val="22"/>
          <w:color w:val="auto"/>
        </w:rPr>
        <w:t>69 Akti Miaouli</w:t>
      </w:r>
    </w:p>
    <w:p>
      <w:pPr>
        <w:ind w:left="1960"/>
        <w:spacing w:after="0" w:line="231" w:lineRule="auto"/>
        <w:rPr>
          <w:sz w:val="20"/>
          <w:szCs w:val="20"/>
          <w:color w:val="auto"/>
        </w:rPr>
      </w:pPr>
      <w:r>
        <w:rPr>
          <w:rFonts w:ascii="Arial" w:cs="Arial" w:eastAsia="Arial" w:hAnsi="Arial"/>
          <w:sz w:val="22"/>
          <w:szCs w:val="22"/>
          <w:color w:val="auto"/>
        </w:rPr>
        <w:t>18537 Piraeus</w:t>
      </w:r>
    </w:p>
    <w:p>
      <w:pPr>
        <w:ind w:left="1960"/>
        <w:spacing w:after="0" w:line="230" w:lineRule="auto"/>
        <w:rPr>
          <w:sz w:val="20"/>
          <w:szCs w:val="20"/>
          <w:color w:val="auto"/>
        </w:rPr>
      </w:pPr>
      <w:r>
        <w:rPr>
          <w:rFonts w:ascii="Arial" w:cs="Arial" w:eastAsia="Arial" w:hAnsi="Arial"/>
          <w:sz w:val="22"/>
          <w:szCs w:val="22"/>
          <w:color w:val="auto"/>
        </w:rPr>
        <w:t>Greece</w:t>
      </w:r>
    </w:p>
    <w:p>
      <w:pPr>
        <w:ind w:left="1960"/>
        <w:spacing w:after="0" w:line="231" w:lineRule="auto"/>
        <w:rPr>
          <w:sz w:val="20"/>
          <w:szCs w:val="20"/>
          <w:color w:val="auto"/>
        </w:rPr>
      </w:pPr>
      <w:r>
        <w:rPr>
          <w:rFonts w:ascii="Arial" w:cs="Arial" w:eastAsia="Arial" w:hAnsi="Arial"/>
          <w:sz w:val="22"/>
          <w:szCs w:val="22"/>
          <w:color w:val="auto"/>
        </w:rPr>
        <w:t>Attention: Alexandros Laios, General Counsel</w:t>
      </w:r>
    </w:p>
    <w:p>
      <w:pPr>
        <w:ind w:left="1960"/>
        <w:spacing w:after="0"/>
        <w:rPr>
          <w:sz w:val="20"/>
          <w:szCs w:val="20"/>
          <w:color w:val="auto"/>
        </w:rPr>
      </w:pPr>
      <w:r>
        <w:rPr>
          <w:rFonts w:ascii="Arial" w:cs="Arial" w:eastAsia="Arial" w:hAnsi="Arial"/>
          <w:sz w:val="22"/>
          <w:szCs w:val="22"/>
          <w:color w:val="auto"/>
        </w:rPr>
        <w:t>Email: alaios@gaslogltd.com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Cravath, Swaine &amp; Moore LLP</w:t>
      </w:r>
    </w:p>
    <w:p>
      <w:pPr>
        <w:ind w:left="1960"/>
        <w:spacing w:after="0" w:line="238" w:lineRule="auto"/>
        <w:rPr>
          <w:sz w:val="20"/>
          <w:szCs w:val="20"/>
          <w:color w:val="auto"/>
        </w:rPr>
      </w:pPr>
      <w:r>
        <w:rPr>
          <w:rFonts w:ascii="Arial" w:cs="Arial" w:eastAsia="Arial" w:hAnsi="Arial"/>
          <w:sz w:val="22"/>
          <w:szCs w:val="22"/>
          <w:color w:val="auto"/>
        </w:rPr>
        <w:t>Worldwide Plaza</w:t>
      </w:r>
    </w:p>
    <w:p>
      <w:pPr>
        <w:ind w:left="1960"/>
        <w:spacing w:after="0" w:line="230" w:lineRule="auto"/>
        <w:rPr>
          <w:sz w:val="20"/>
          <w:szCs w:val="20"/>
          <w:color w:val="auto"/>
        </w:rPr>
      </w:pPr>
      <w:r>
        <w:rPr>
          <w:rFonts w:ascii="Arial" w:cs="Arial" w:eastAsia="Arial" w:hAnsi="Arial"/>
          <w:sz w:val="22"/>
          <w:szCs w:val="22"/>
          <w:color w:val="auto"/>
        </w:rPr>
        <w:t>825 Eighth Avenue</w:t>
      </w:r>
    </w:p>
    <w:p>
      <w:pPr>
        <w:ind w:left="1960"/>
        <w:spacing w:after="0" w:line="231" w:lineRule="auto"/>
        <w:rPr>
          <w:sz w:val="20"/>
          <w:szCs w:val="20"/>
          <w:color w:val="auto"/>
        </w:rPr>
      </w:pPr>
      <w:r>
        <w:rPr>
          <w:rFonts w:ascii="Arial" w:cs="Arial" w:eastAsia="Arial" w:hAnsi="Arial"/>
          <w:sz w:val="22"/>
          <w:szCs w:val="22"/>
          <w:color w:val="auto"/>
        </w:rPr>
        <w:t>New York, NY 10019</w:t>
      </w:r>
    </w:p>
    <w:p>
      <w:pPr>
        <w:ind w:left="1960"/>
        <w:spacing w:after="0"/>
        <w:rPr>
          <w:sz w:val="20"/>
          <w:szCs w:val="20"/>
          <w:color w:val="auto"/>
        </w:rPr>
      </w:pPr>
      <w:r>
        <w:rPr>
          <w:rFonts w:ascii="Arial" w:cs="Arial" w:eastAsia="Arial" w:hAnsi="Arial"/>
          <w:sz w:val="22"/>
          <w:szCs w:val="22"/>
          <w:color w:val="auto"/>
        </w:rPr>
        <w:t>U.S.A.</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Erik R. Tavzel</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etavzel@cravath.com</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D. Scott Bennett</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sbennett@cravath.com</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Andrew C. Elken</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aelken@cravath.com</w:t>
      </w:r>
    </w:p>
    <w:p>
      <w:pPr>
        <w:spacing w:after="0" w:line="200" w:lineRule="exact"/>
        <w:rPr>
          <w:sz w:val="20"/>
          <w:szCs w:val="20"/>
          <w:color w:val="auto"/>
        </w:rPr>
      </w:pPr>
    </w:p>
    <w:p>
      <w:pPr>
        <w:spacing w:after="0" w:line="2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ind w:left="11100"/>
        <w:spacing w:after="0"/>
        <w:rPr>
          <w:sz w:val="20"/>
          <w:szCs w:val="20"/>
          <w:color w:val="auto"/>
        </w:rPr>
      </w:pPr>
      <w:r>
        <w:rPr>
          <w:rFonts w:ascii="Arial" w:cs="Arial" w:eastAsia="Arial" w:hAnsi="Arial"/>
          <w:sz w:val="12"/>
          <w:szCs w:val="12"/>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to any party or such party waives its rights under this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with respect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parties intend that the remedies and limitations thereon set forth in </w:t>
      </w:r>
      <w:r>
        <w:rPr>
          <w:rFonts w:ascii="Arial" w:cs="Arial" w:eastAsia="Arial" w:hAnsi="Arial"/>
          <w:sz w:val="22"/>
          <w:szCs w:val="22"/>
          <w:u w:val="single" w:color="auto"/>
          <w:color w:val="auto"/>
        </w:rPr>
        <w:t>Section 7.03(d)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8.08</w:t>
      </w:r>
      <w:r>
        <w:rPr>
          <w:rFonts w:ascii="Arial" w:cs="Arial" w:eastAsia="Arial" w:hAnsi="Arial"/>
          <w:sz w:val="22"/>
          <w:szCs w:val="22"/>
          <w:color w:val="auto"/>
        </w:rPr>
        <w:t xml:space="preserve"> be construed as an integral provision of this Agreement and that such remedies and limitations shall not be severable in any manner that increases a Person’s liability or obligations.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218" w:lineRule="exact"/>
        <w:rPr>
          <w:sz w:val="20"/>
          <w:szCs w:val="20"/>
          <w:color w:val="auto"/>
        </w:rPr>
      </w:pPr>
    </w:p>
    <w:p>
      <w:pPr>
        <w:ind w:left="1300"/>
        <w:spacing w:after="0"/>
        <w:tabs>
          <w:tab w:leader="none" w:pos="3320" w:val="left"/>
        </w:tabs>
        <w:rPr>
          <w:sz w:val="20"/>
          <w:szCs w:val="20"/>
          <w:color w:val="auto"/>
        </w:rPr>
      </w:pPr>
      <w:r>
        <w:rPr>
          <w:rFonts w:ascii="Arial" w:cs="Arial" w:eastAsia="Arial" w:hAnsi="Arial"/>
          <w:sz w:val="22"/>
          <w:szCs w:val="22"/>
          <w:color w:val="auto"/>
        </w:rPr>
        <w:t>SECTION 8.12.</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have the meanings ascribed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thereto below:</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Confidentiality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5.02(f)</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legal or administrative proceeding, suit, investigation, arbitration or action.</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Rolling Shareholders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Adverse Recommendation Change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5.02(d)</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Anti-Bribery Laws</w:t>
      </w:r>
      <w:r>
        <w:rPr>
          <w:rFonts w:ascii="Arial" w:cs="Arial" w:eastAsia="Arial" w:hAnsi="Arial"/>
          <w:sz w:val="21"/>
          <w:szCs w:val="21"/>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9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Appraisal Withdrawal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Appraised Fair Value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and Equity Exception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Bermuda Companies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Book-Entry Share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2.01(d)</w:t>
      </w:r>
      <w:r>
        <w:rPr>
          <w:rFonts w:ascii="Arial" w:cs="Arial" w:eastAsia="Arial" w:hAnsi="Arial"/>
          <w:sz w:val="22"/>
          <w:szCs w:val="22"/>
          <w:color w:val="auto"/>
        </w:rPr>
        <w:t>.</w:t>
      </w:r>
    </w:p>
    <w:p>
      <w:pPr>
        <w:spacing w:after="0" w:line="233"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except a Saturday, a Sunday or other day on which banks in the City of New York or Bermuda are authorized or required by Law to be closed.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Merger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2.02(g)</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Share</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Acquisition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Award</w:t>
      </w:r>
      <w:r>
        <w:rPr>
          <w:rFonts w:ascii="Arial" w:cs="Arial" w:eastAsia="Arial" w:hAnsi="Arial"/>
          <w:sz w:val="19"/>
          <w:szCs w:val="19"/>
          <w:color w:val="auto"/>
        </w:rPr>
        <w:t>” means a Company Option, Company SAR, Company RSU Award or Company PSU Award,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applicable.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Board</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Board Recommendation</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Bye-Laws</w:t>
      </w:r>
      <w:r>
        <w:rPr>
          <w:rFonts w:ascii="Arial" w:cs="Arial" w:eastAsia="Arial" w:hAnsi="Arial"/>
          <w:sz w:val="22"/>
          <w:szCs w:val="22"/>
          <w:color w:val="auto"/>
        </w:rPr>
        <w:t>” means the Company’s Bye-Laws, as amended to the date of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Charter</w:t>
      </w:r>
      <w:r>
        <w:rPr>
          <w:rFonts w:ascii="Arial" w:cs="Arial" w:eastAsia="Arial" w:hAnsi="Arial"/>
          <w:sz w:val="21"/>
          <w:szCs w:val="21"/>
          <w:color w:val="auto"/>
        </w:rPr>
        <w:t>” means the Company’s Memorandum of Association, as amended to the date of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Disclosure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Option</w:t>
      </w:r>
      <w:r>
        <w:rPr>
          <w:rFonts w:ascii="Arial" w:cs="Arial" w:eastAsia="Arial" w:hAnsi="Arial"/>
          <w:sz w:val="22"/>
          <w:szCs w:val="22"/>
          <w:color w:val="auto"/>
        </w:rPr>
        <w:t>” means an option to acquire a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Organizational Documents</w:t>
      </w:r>
      <w:r>
        <w:rPr>
          <w:rFonts w:ascii="Arial" w:cs="Arial" w:eastAsia="Arial" w:hAnsi="Arial"/>
          <w:sz w:val="22"/>
          <w:szCs w:val="22"/>
          <w:color w:val="auto"/>
        </w:rPr>
        <w:t>” means the Company Charter and the Company Bye-Laws.</w:t>
      </w:r>
    </w:p>
    <w:p>
      <w:pPr>
        <w:spacing w:after="0" w:line="23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Pension Plan</w:t>
      </w:r>
      <w:r>
        <w:rPr>
          <w:rFonts w:ascii="Arial" w:cs="Arial" w:eastAsia="Arial" w:hAnsi="Arial"/>
          <w:sz w:val="19"/>
          <w:szCs w:val="19"/>
          <w:color w:val="auto"/>
        </w:rPr>
        <w:t>” means any employee pension benefit plan within the meaning of Section 3(2) of ERISA covering current or former directors, officers or employees of the Company or any of its Subsidiaries that is sponsored, maintained or contributed to by the Company or any of its Subsidiaries or to which the Company or any of its Subsidiaries contributes or is obligated to contribute to, other than any such employee pension benefit plan required by applicable Law.</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Plan</w:t>
      </w:r>
      <w:r>
        <w:rPr>
          <w:rFonts w:ascii="Arial" w:cs="Arial" w:eastAsia="Arial" w:hAnsi="Arial"/>
          <w:sz w:val="19"/>
          <w:szCs w:val="19"/>
          <w:color w:val="auto"/>
        </w:rPr>
        <w:t>” means each plan, program, policy, agreement or other arrangement covering current or former directors, officers or employees of the Company or any of its Subsidiaries, that is (a) an employee welfare plan within the meaning of Section 3(1) of ERISA, (b) an employee pension plan within the meaning of Section 3(2) of ERISA, (c) a share option, share purchase, share appreciation right or other share-based compensation agreement, program or plan, (d) an individual employment, consulting, severance, retention or other similar agreement between such Person and the Company or any of its Subsidiaries or (e) a bonus, incentive, deferred compensation, profit-sharing, retirement, post-retirement, paid time off, severance, retention, change in control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other than, in each case, any such plan, program, policy, agreement or other arrangement required by applicable Law, sponsored by a Governmental Authority, or that is a “multiemployer plan” (within the meaning of Section 3(37) of ERISA).</w:t>
      </w:r>
    </w:p>
    <w:p>
      <w:pPr>
        <w:spacing w:after="0" w:line="18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PSU Award</w:t>
      </w:r>
      <w:r>
        <w:rPr>
          <w:rFonts w:ascii="Arial" w:cs="Arial" w:eastAsia="Arial" w:hAnsi="Arial"/>
          <w:sz w:val="22"/>
          <w:szCs w:val="22"/>
          <w:color w:val="auto"/>
        </w:rPr>
        <w:t>” means a restricted stock unit award with respect to a Common Share that remains subject to performance-based vesting conditions.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Related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Rights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3.02(b)</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RSU Award</w:t>
      </w:r>
      <w:r>
        <w:rPr>
          <w:rFonts w:ascii="Arial" w:cs="Arial" w:eastAsia="Arial" w:hAnsi="Arial"/>
          <w:sz w:val="22"/>
          <w:szCs w:val="22"/>
          <w:color w:val="auto"/>
        </w:rPr>
        <w:t>” means a restricted stock unit award with respect to a Common Share that is not a Company PSU Award.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SAR</w:t>
      </w:r>
      <w:r>
        <w:rPr>
          <w:rFonts w:ascii="Arial" w:cs="Arial" w:eastAsia="Arial" w:hAnsi="Arial"/>
          <w:sz w:val="22"/>
          <w:szCs w:val="22"/>
          <w:color w:val="auto"/>
        </w:rPr>
        <w:t>” means a stock appreciation right with respect to a Common Share.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Share Plan</w:t>
      </w:r>
      <w:r>
        <w:rPr>
          <w:rFonts w:ascii="Arial" w:cs="Arial" w:eastAsia="Arial" w:hAnsi="Arial"/>
          <w:sz w:val="19"/>
          <w:szCs w:val="19"/>
          <w:color w:val="auto"/>
        </w:rPr>
        <w:t>” means the GasLog Ltd. 2013 Omnibus Incentive Plan as may be amended or restated from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 to time.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Shareholders Meeting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5.04</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Termination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7.03(a)</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5.08</w:t>
      </w:r>
      <w:r>
        <w:rPr>
          <w:rFonts w:ascii="Arial" w:cs="Arial" w:eastAsia="Arial" w:hAnsi="Arial"/>
          <w:sz w:val="22"/>
          <w:szCs w:val="22"/>
          <w:color w:val="auto"/>
        </w:rPr>
        <w:t>.</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means any consent, waiver, approval, clearance, order, license, Permit, order, non-objection, non-action, expiration of waiting periods or authorization.</w:t>
      </w:r>
    </w:p>
    <w:p>
      <w:pPr>
        <w:spacing w:after="0" w:line="202"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binding loan or credit agreement, debenture, note, bond, mortgage, indenture, deed of trust, lease, capital lease, sale-leaseback, sublease, license, contract or other agreement, instrument, obligation or arrangement.</w:t>
      </w:r>
    </w:p>
    <w:p>
      <w:pPr>
        <w:spacing w:after="0" w:line="13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or mutations thereof or related or associated epidemics, pandemics, public health emergencies or disease outbreaks.</w:t>
      </w:r>
    </w:p>
    <w:p>
      <w:pPr>
        <w:spacing w:after="0" w:line="20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COVID-19 Measure</w:t>
      </w:r>
      <w:r>
        <w:rPr>
          <w:rFonts w:ascii="Arial" w:cs="Arial" w:eastAsia="Arial" w:hAnsi="Arial"/>
          <w:sz w:val="21"/>
          <w:szCs w:val="21"/>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20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Dissenting Preference Shares</w:t>
      </w:r>
      <w:r>
        <w:rPr>
          <w:rFonts w:ascii="Arial" w:cs="Arial" w:eastAsia="Arial" w:hAnsi="Arial"/>
          <w:sz w:val="21"/>
          <w:szCs w:val="21"/>
          <w:color w:val="auto"/>
        </w:rPr>
        <w:t>” means Preference Shares held by a holder of Preference Shares who (a) did not vote in favor of the Merger, (b) complied with all of the provisions of the Bermuda Companies Act concerning the right of holders of the Preference Shares to require appraisal of their Preference Shares pursuant to the Bermuda Companies Act and (c) did not fail to perfect such right to appraisal or deliver an Appraisal Withdrawal.</w:t>
      </w:r>
    </w:p>
    <w:p>
      <w:pPr>
        <w:spacing w:after="0" w:line="20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Dissenting Shares</w:t>
      </w:r>
      <w:r>
        <w:rPr>
          <w:rFonts w:ascii="Arial" w:cs="Arial" w:eastAsia="Arial" w:hAnsi="Arial"/>
          <w:sz w:val="22"/>
          <w:szCs w:val="22"/>
          <w:color w:val="auto"/>
        </w:rPr>
        <w:t>” means Common Shares held by a holder of Common Shares who (a) did not vote in favor of the Merger, (b) complied with all of the provisions of the Bermuda Companies Act concerning the right of holders of Common Shares to require appraisal of their Common Shares pursuant to the Bermuda Companies Act and (c) did not fail to perfect such right to appraisal or deliver an Appraisal Withdrawal.</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Economic Sanctions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3.09(b)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Commitment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4.05(a)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4.05(a)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3.11(e)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11100"/>
        <w:spacing w:after="0"/>
        <w:rPr>
          <w:sz w:val="20"/>
          <w:szCs w:val="20"/>
          <w:color w:val="auto"/>
        </w:rPr>
      </w:pPr>
      <w:r>
        <w:rPr>
          <w:rFonts w:ascii="Arial" w:cs="Arial" w:eastAsia="Arial" w:hAnsi="Arial"/>
          <w:sz w:val="12"/>
          <w:szCs w:val="12"/>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Evercore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3.18</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3.04</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Fund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Filed Company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Filed Partnership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Filed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Plan</w:t>
      </w:r>
      <w:r>
        <w:rPr>
          <w:rFonts w:ascii="Arial" w:cs="Arial" w:eastAsia="Arial" w:hAnsi="Arial"/>
          <w:sz w:val="22"/>
          <w:szCs w:val="22"/>
          <w:color w:val="auto"/>
        </w:rPr>
        <w:t>” means any Company Plan that is maintained (a) pursuant to or is subject to the Laws of a country other than the United States or (b) primarily for the benefit of employees of the Company or any of its Subsidiaries working outside of the United States, excluding any benefit plan mandated or pursuant to which the Company or its Subsidiaries is required to contribute, in either case, under applicable Law.</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Official</w:t>
      </w:r>
      <w:r>
        <w:rPr>
          <w:rFonts w:ascii="Arial" w:cs="Arial" w:eastAsia="Arial" w:hAnsi="Arial"/>
          <w:sz w:val="22"/>
          <w:szCs w:val="22"/>
          <w:color w:val="auto"/>
        </w:rPr>
        <w:t>” means, without limitation, any officer or employee of a Governmental Authority, custom official, political party official, candidate for political office, official of any public international organization, employee or Affiliate of an enterprise that is owned, sponsored, or controlled by any Governmental Authority, and any other position as defined under Anti-Bribery Laws.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3.04</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national, provincial, state, local or multinational.</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any chemical, material, substance or waste that is defined, regulated or classified under or pursuant to, or for which liability or standards of conduct are imposed pursuant to, Environmental Laws, including petroleum, petroleum products and by-products, asbestos and asbestos-containing materials, urea formaldehyde, foam insulation, infectious wastes, polychlorinated biphenyls, radon gas, toxic mold, greenhouse gases regulated under Environmental Law, radioactive substances, per- and polyfluoroalkyl substances (including PFAs, PFOA, PFOS, Gen X and PFBs), and chlorofluorcarbons and all other ozone-depleting substances.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Hook Share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3.05(b)</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trademark registration, trademark application, service mark, trade name, business name and brand name, including any and all goodwill associated therewith; any copyright, copyright registration, copyright application and database rights; any internet domain name or social media handles; and any trade secret, know-how and other information of a proprietary nature.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Intervening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5.02(g)</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U.S. Internal Revenue Service.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3.23</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 Entity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3.07</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means, (a) with respect to the Company, the actual knowledge of the individuals listed on Section 8.12 of the Company Disclosure Letter, after due inquiry of their direct reports and (b) with respect to Parent or Merger Sub, the actual knowledge of the individuals listed on Section 8.12 of the Parent Disclosure Letter, after due inquiry of their direct reports.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3.08(a)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Vessels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3.20(a)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21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Maritime Guidelines</w:t>
      </w:r>
      <w:r>
        <w:rPr>
          <w:rFonts w:ascii="Arial" w:cs="Arial" w:eastAsia="Arial" w:hAnsi="Arial"/>
          <w:sz w:val="22"/>
          <w:szCs w:val="22"/>
          <w:color w:val="auto"/>
        </w:rPr>
        <w:t>” means any United States, international or non-United States (including the Marshall Islands, Liberia and Bermuda) rule, code of practice, convention, protocol, guideline or similar requirement or restriction concerning or relating to a Vessel, and to which a Vessel is subject and required to comply with, imposed, published or promulgated by any relevant Governmental Authority, the International Maritime Organization, such Vessel’s classification society or the insurer(s) of such Vessel.</w:t>
      </w:r>
    </w:p>
    <w:p>
      <w:pPr>
        <w:spacing w:after="0" w:line="21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xml:space="preserve">”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 accordance with the terms of this Agreement or (b) has had or would reasonably be expected to have a material adverse effect on the business, properties, assets, liabilities, financial condition or results of operations of the Company and its Subsidiaries, taken as a whole;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w:t>
      </w:r>
      <w:r>
        <w:rPr>
          <w:rFonts w:ascii="Arial" w:cs="Arial" w:eastAsia="Arial" w:hAnsi="Arial"/>
          <w:sz w:val="21"/>
          <w:szCs w:val="21"/>
          <w:u w:val="single" w:color="auto"/>
          <w:color w:val="auto"/>
        </w:rPr>
        <w:t>clause (b)</w:t>
      </w:r>
      <w:r>
        <w:rPr>
          <w:rFonts w:ascii="Arial" w:cs="Arial" w:eastAsia="Arial" w:hAnsi="Arial"/>
          <w:sz w:val="21"/>
          <w:szCs w:val="21"/>
          <w:color w:val="auto"/>
        </w:rPr>
        <w:t>, no fact, circumstance, effect, change, event or development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from or arising out of any of the following, individually or in the aggregate, shall constitute or be taken into account in determining whether a Material Adverse Effect has occurred, is continuing or would reasonably be expected to occur: (i) any change or condition affecting any industry in which the Company or any of its Subsidiaries operates, including the shipping, marine shipping, LNG, LNG shipping and oil and gas industries (including, in each case, any changes in the operations thereof);</w:t>
      </w:r>
    </w:p>
    <w:p>
      <w:pPr>
        <w:spacing w:after="0" w:line="3" w:lineRule="exact"/>
        <w:rPr>
          <w:sz w:val="20"/>
          <w:szCs w:val="20"/>
          <w:color w:val="auto"/>
        </w:rPr>
      </w:pPr>
    </w:p>
    <w:p>
      <w:pPr>
        <w:jc w:val="both"/>
        <w:ind w:firstLine="8"/>
        <w:spacing w:after="0" w:line="268" w:lineRule="auto"/>
        <w:tabs>
          <w:tab w:leader="none" w:pos="3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9"/>
          <w:szCs w:val="19"/>
          <w:u w:val="single" w:color="auto"/>
          <w:color w:val="auto"/>
        </w:rPr>
        <w:t>clauses (i)</w:t>
      </w:r>
      <w:r>
        <w:rPr>
          <w:rFonts w:ascii="Arial" w:cs="Arial" w:eastAsia="Arial" w:hAnsi="Arial"/>
          <w:sz w:val="19"/>
          <w:szCs w:val="19"/>
          <w:color w:val="auto"/>
        </w:rPr>
        <w:t>–</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of this definition); (iv) the announcement, execution or delivery of this Agreement or the pendency of the Merger (other than for purposes of the representations and warranties contained in </w:t>
      </w:r>
      <w:r>
        <w:rPr>
          <w:rFonts w:ascii="Arial" w:cs="Arial" w:eastAsia="Arial" w:hAnsi="Arial"/>
          <w:sz w:val="19"/>
          <w:szCs w:val="19"/>
          <w:u w:val="single" w:color="auto"/>
          <w:color w:val="auto"/>
        </w:rPr>
        <w:t>Section 3.03(d)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to the extent related to such representations and warranties), including (A) any action taken by the Company or any of its Subsidiaries that is consented to in writing by Parent or Merger Sub, (B) any shareholder litigation arising out of or related to this Agreement, (C) any adverse change in supplier, employee, financing source, shareholder, regulatory, partner or similar relationships resulting therefrom or (D) any change that arises out of or relates to the identity of Parent or any of its Affiliates as the acquirer of the Company; (v)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9"/>
          <w:szCs w:val="19"/>
          <w:u w:val="single" w:color="auto"/>
          <w:color w:val="auto"/>
        </w:rPr>
        <w:t>clauses (i)</w:t>
      </w:r>
      <w:r>
        <w:rPr>
          <w:rFonts w:ascii="Arial" w:cs="Arial" w:eastAsia="Arial" w:hAnsi="Arial"/>
          <w:sz w:val="19"/>
          <w:szCs w:val="19"/>
          <w:color w:val="auto"/>
        </w:rPr>
        <w:t>–</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of this definition);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 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fact, circumstance, effect, change, event or development set forth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above may be taken into account in determining whether a Material Adverse Effect has occurred to the extent such fact, circumstance, effect, change,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or development has a disproportionate adverse effect on the Company and its Subsidiaries, taken as a whole, as compared to other companies operating in the industries in which the Company and its Subsidiaries operate (in which case, only the incremental disproportionate impact may be taken into account in determining whether there has been, or would be, a Material Adverse Effect, to the extent such change is not otherwise excluded from being taken into account by </w:t>
      </w:r>
      <w:r>
        <w:rPr>
          <w:rFonts w:ascii="Arial" w:cs="Arial" w:eastAsia="Arial" w:hAnsi="Arial"/>
          <w:sz w:val="22"/>
          <w:szCs w:val="22"/>
          <w:u w:val="single" w:color="auto"/>
          <w:color w:val="auto"/>
        </w:rPr>
        <w:t>clauses (i)</w:t>
      </w:r>
      <w:r>
        <w:rPr>
          <w:rFonts w:ascii="Arial" w:cs="Arial" w:eastAsia="Arial" w:hAnsi="Arial"/>
          <w:sz w:val="22"/>
          <w:szCs w:val="22"/>
          <w:color w:val="auto"/>
        </w:rPr>
        <w:t>–</w:t>
      </w:r>
      <w:r>
        <w:rPr>
          <w:rFonts w:ascii="Arial" w:cs="Arial" w:eastAsia="Arial" w:hAnsi="Arial"/>
          <w:sz w:val="22"/>
          <w:szCs w:val="22"/>
          <w:u w:val="single" w:color="auto"/>
          <w:color w:val="auto"/>
        </w:rPr>
        <w:t>(ix)</w:t>
      </w:r>
      <w:r>
        <w:rPr>
          <w:rFonts w:ascii="Arial" w:cs="Arial" w:eastAsia="Arial" w:hAnsi="Arial"/>
          <w:sz w:val="22"/>
          <w:szCs w:val="22"/>
          <w:color w:val="auto"/>
        </w:rPr>
        <w:t xml:space="preserve"> of this definition).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3.16(a)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Application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Consideration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 Board</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 Share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 Shareholder Approval</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Money Laundering Laws</w:t>
      </w:r>
      <w:r>
        <w:rPr>
          <w:rFonts w:ascii="Arial" w:cs="Arial" w:eastAsia="Arial" w:hAnsi="Arial"/>
          <w:sz w:val="22"/>
          <w:szCs w:val="22"/>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Newbuildings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3.16(a)(vii)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7.01(b)(i)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Disclosure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GP</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Material Adverse Effect</w:t>
      </w:r>
      <w:r>
        <w:rPr>
          <w:rFonts w:ascii="Arial" w:cs="Arial" w:eastAsia="Arial" w:hAnsi="Arial"/>
          <w:sz w:val="21"/>
          <w:szCs w:val="21"/>
          <w:color w:val="auto"/>
        </w:rPr>
        <w:t>” means, with respect to Parent and Merger Sub, any fact, circumstance, effect, change, event or development that, individually or in the aggregate, with all other facts, circumstances, effects, changes, events or developments would prevent or materially delay, interfere with, hinder or impair the consummation by Parent or Merger Sub of any of the Transactions in accordance with the terms of this Agreement.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Related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Termination Fee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w:t>
      </w:r>
      <w:r>
        <w:rPr>
          <w:rFonts w:ascii="Arial" w:cs="Arial" w:eastAsia="Arial" w:hAnsi="Arial"/>
          <w:sz w:val="22"/>
          <w:szCs w:val="22"/>
          <w:color w:val="auto"/>
        </w:rPr>
        <w:t>” means GasLog Partners LP, a Marshall Islands Limited Partnership.</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Board</w:t>
      </w:r>
      <w:r>
        <w:rPr>
          <w:rFonts w:ascii="Arial" w:cs="Arial" w:eastAsia="Arial" w:hAnsi="Arial"/>
          <w:sz w:val="22"/>
          <w:szCs w:val="22"/>
          <w:color w:val="auto"/>
        </w:rPr>
        <w:t>” means the Board of Directors of the Partnership.</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3.22(c)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3.22(b)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Payments</w:t>
      </w:r>
      <w:r>
        <w:rPr>
          <w:rFonts w:ascii="Arial" w:cs="Arial" w:eastAsia="Arial" w:hAnsi="Arial"/>
          <w:sz w:val="19"/>
          <w:szCs w:val="19"/>
          <w:color w:val="auto"/>
        </w:rPr>
        <w:t>” means anything of value, including cash, gifts, travel expenses, entertainment, offers of employment, provision of free services and business meals, and also includes event sponsorships, consultant contracts, fellowship support, job offers, and charitable contributions made at the request of, or for the benefit of, an individual, his or her family, or other relations.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3.08(b)</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Company Financial Statements in accordance with IFRS, (b) mechanics’, materialmen’s, carriers’, workmen’s, warehouseman’s, repairmen’s, landlords’ and similar Liens granted or which arise in the ordinary course of business, (c) Liens securing payment, or any obligation, of the Company or its Subsidiaries with respect to outstanding indebtedness so long as there is no default under such indebtedness, (d) pledges or deposits by the Company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Company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200" w:lineRule="exact"/>
        <w:rPr>
          <w:sz w:val="20"/>
          <w:szCs w:val="20"/>
          <w:color w:val="auto"/>
        </w:rPr>
      </w:pPr>
    </w:p>
    <w:p>
      <w:pPr>
        <w:spacing w:after="0" w:line="24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limited or general partnership, joint venture, association, trust, unincorporated organization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entity, including a Governmental Authority or any group comprised of two or more of the foregoing.</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Preference Shares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Proxy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Shareholders</w:t>
      </w:r>
      <w:r>
        <w:rPr>
          <w:rFonts w:ascii="Arial" w:cs="Arial" w:eastAsia="Arial" w:hAnsi="Arial"/>
          <w:sz w:val="19"/>
          <w:szCs w:val="19"/>
          <w:color w:val="auto"/>
        </w:rPr>
        <w:t>” means all of the holders of the issued and outstanding Common Shares, excluding Parent, Merger Sub, the Rolling Shareholders, the Additional Rolling Shareholders and their respective Affiliates. For purposes of this definition only, “Rolling Shareholders” shall also include each immediate family member (as defined in Item 404 of Regulation S-K under the Securities Act)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releasing, spilling, leaking, pumping, pouring, emitting, emptying, discharging, injecting, escaping, leaching, dumping or disposing into the environment, whether intentional or unintentional.</w:t>
      </w:r>
    </w:p>
    <w:p>
      <w:pPr>
        <w:spacing w:after="0" w:line="202"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with respect to any Person, its officers, directors, equityholders, employees, agents, financial advisors, investment bankers, attorneys, accountants, consultants and other advisors and representatives.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Shareholder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Third-Party Consents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5.05(c)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Restraints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Rolling Shareholders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Rollover 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Rollover Share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Sarbanes-Oxley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3.05(d)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 13E-3</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3.04</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3.02(c)</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Shareholder Agreement</w:t>
      </w:r>
      <w:r>
        <w:rPr>
          <w:rFonts w:ascii="Arial" w:cs="Arial" w:eastAsia="Arial" w:hAnsi="Arial"/>
          <w:sz w:val="19"/>
          <w:szCs w:val="19"/>
          <w:color w:val="auto"/>
        </w:rPr>
        <w:t>” means the form of Shareholder Agreement, among the Company, Parent and the Rolling Shareholders, attached as Exhibit B to the Rollover Agreement and to be duly executed and delivered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Customer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3.24</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Committee</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Committee Recommendation</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Rollover Obligations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6.02(b)</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Merger Agreement</w:t>
      </w:r>
      <w:r>
        <w:rPr>
          <w:rFonts w:ascii="Arial" w:cs="Arial" w:eastAsia="Arial" w:hAnsi="Arial"/>
          <w:sz w:val="21"/>
          <w:szCs w:val="21"/>
          <w:color w:val="auto"/>
        </w:rPr>
        <w:t xml:space="preserve">” means the Statutory Merger Agreement in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be executed and delivered by the Company, Parent and Merger Sub as contemplated by the terms hereof.</w:t>
      </w:r>
    </w:p>
    <w:p>
      <w:pPr>
        <w:spacing w:after="0" w:line="17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For the avoidance of doubt, the Partnership and its Subsidiaries constitute Subsidiaries of the Company and its Subsidiaries, as applicable.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Superior Proposal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Company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Company Organizational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Company Preference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Company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Takeover Law</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3.15</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Takeover Proposal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5.02(h)</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xml:space="preserve">” means all U.S. and non-U.S. federal, national, provincial, state or local taxes, charges, fees, levies or other similar assessments or liabilities in the nature of taxes, including income, gross receipts, </w:t>
      </w:r>
      <w:r>
        <w:rPr>
          <w:rFonts w:ascii="Arial" w:cs="Arial" w:eastAsia="Arial" w:hAnsi="Arial"/>
          <w:sz w:val="19"/>
          <w:szCs w:val="19"/>
          <w:i w:val="1"/>
          <w:iCs w:val="1"/>
          <w:color w:val="auto"/>
        </w:rPr>
        <w:t>ad valorem</w:t>
      </w:r>
      <w:r>
        <w:rPr>
          <w:rFonts w:ascii="Arial" w:cs="Arial" w:eastAsia="Arial" w:hAnsi="Arial"/>
          <w:sz w:val="19"/>
          <w:szCs w:val="19"/>
          <w:color w:val="auto"/>
        </w:rPr>
        <w:t>, value-added, excise, real property, personal property, sales, use, transfer, withholding, employment, license, payroll, severance, stamp, occupation, premium, windfall profits, environmental, customs, duties, capital stock, profits, social security (or similar, including FICA),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213"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the transactions contemplated by this Agreement, the Statutory Merger Agreement and the Rollover Agreement, including the Merger and, in the case of Parent and Merger Sub, the Equity Financing.</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Triggering Takeover Proposal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7.03(a)(i)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Vessels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3.20(a)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Vessels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3.20(a)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Willful Breach</w:t>
      </w:r>
      <w:r>
        <w:rPr>
          <w:rFonts w:ascii="Arial" w:cs="Arial" w:eastAsia="Arial" w:hAnsi="Arial"/>
          <w:sz w:val="19"/>
          <w:szCs w:val="19"/>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Fees and Expenses</w:t>
      </w:r>
      <w:r>
        <w:rPr>
          <w:rFonts w:ascii="Arial" w:cs="Arial" w:eastAsia="Arial" w:hAnsi="Arial"/>
          <w:sz w:val="22"/>
          <w:szCs w:val="22"/>
          <w:color w:val="auto"/>
        </w:rPr>
        <w:t>. Whether or not the Transactions are consummated, all fees and expenses incurred in connection with the Merger, this Agreement and the Transactions shall be paid by the party incurring or required to incur such fees or expenses, except as otherwise set forth in this Agreement.</w:t>
      </w:r>
    </w:p>
    <w:p>
      <w:pPr>
        <w:spacing w:after="0" w:line="213" w:lineRule="exact"/>
        <w:rPr>
          <w:sz w:val="20"/>
          <w:szCs w:val="20"/>
          <w:color w:val="auto"/>
        </w:rPr>
      </w:pPr>
    </w:p>
    <w:p>
      <w:pPr>
        <w:ind w:left="1300"/>
        <w:spacing w:after="0"/>
        <w:tabs>
          <w:tab w:leader="none" w:pos="3120" w:val="left"/>
        </w:tabs>
        <w:rPr>
          <w:sz w:val="20"/>
          <w:szCs w:val="20"/>
          <w:color w:val="auto"/>
        </w:rPr>
      </w:pPr>
      <w:r>
        <w:rPr>
          <w:rFonts w:ascii="Arial" w:cs="Arial" w:eastAsia="Arial" w:hAnsi="Arial"/>
          <w:sz w:val="22"/>
          <w:szCs w:val="22"/>
          <w:color w:val="auto"/>
        </w:rPr>
        <w:t>SECTION 8.14.</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2" w:lineRule="auto"/>
        <w:tabs>
          <w:tab w:leader="none" w:pos="1663" w:val="left"/>
        </w:tabs>
        <w:numPr>
          <w:ilvl w:val="0"/>
          <w:numId w:val="98"/>
        </w:numPr>
        <w:rPr>
          <w:rFonts w:ascii="Arial" w:cs="Arial" w:eastAsia="Arial" w:hAnsi="Arial"/>
          <w:sz w:val="19"/>
          <w:szCs w:val="19"/>
          <w:color w:val="auto"/>
        </w:rPr>
      </w:pPr>
      <w:r>
        <w:rPr>
          <w:rFonts w:ascii="Arial" w:cs="Arial" w:eastAsia="Arial" w:hAnsi="Arial"/>
          <w:sz w:val="19"/>
          <w:szCs w:val="19"/>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(A) posted to the “Project Crown” data room hosted by Merrill Datasite by or on behalf of the Company on or prior to 6:00 pm prevailing Eastern Time on the day immediately prior to the date of this Agreement or (B) delivered in person or electronically to Parent, Merger Sub or their respective Representatives prior to the entry into this Agreement. All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shall refer to the lawful money of the United States. References to a Person are also to its permitted assigns and successors.</w:t>
      </w:r>
    </w:p>
    <w:p>
      <w:pPr>
        <w:spacing w:after="0" w:line="185" w:lineRule="exact"/>
        <w:rPr>
          <w:sz w:val="20"/>
          <w:szCs w:val="20"/>
          <w:color w:val="auto"/>
        </w:rPr>
      </w:pPr>
    </w:p>
    <w:p>
      <w:pPr>
        <w:jc w:val="both"/>
        <w:ind w:firstLine="1304"/>
        <w:spacing w:after="0" w:line="238" w:lineRule="auto"/>
        <w:tabs>
          <w:tab w:leader="none" w:pos="1666"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21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SECTION 8.15. </w:t>
      </w:r>
      <w:r>
        <w:rPr>
          <w:rFonts w:ascii="Arial" w:cs="Arial" w:eastAsia="Arial" w:hAnsi="Arial"/>
          <w:sz w:val="19"/>
          <w:szCs w:val="19"/>
          <w:u w:val="single" w:color="auto"/>
          <w:color w:val="auto"/>
        </w:rPr>
        <w:t>No Recourse</w:t>
      </w:r>
      <w:r>
        <w:rPr>
          <w:rFonts w:ascii="Arial" w:cs="Arial" w:eastAsia="Arial" w:hAnsi="Arial"/>
          <w:sz w:val="19"/>
          <w:szCs w:val="19"/>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named as parties hereto, except for claims that the Company may assert in accordance with the Guarantee or Equity Commitment Letter. No Parent Related Party shall have any liability for any obligations or liabilities of the parties to this Agreement or for any claim (whether at law, in equity, in contract, in tort or otherwise) based on, in respect of, or by reason of, the transactions contemplated hereby or in respect of any oral representations made or alleged to be made in connection herewith (other than the right of the Company to seek specific performance of the Equity Commitment Letter in accordance with the terms thereof and claims by the Company against the Guarantor under (and subject to the limitations of) the Guarantee). Without limiting the rights of the Company against Parent or Merger Sub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the right of the Company to seek to cause specific performance by Parent of the Equity Commitment Letter in accordance with the terms thereof and claims by the Company against the Guarantor under (and subject to the limitations of) the Guarantee).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right="240" w:firstLine="1296"/>
        <w:spacing w:after="0" w:line="250" w:lineRule="auto"/>
        <w:rPr>
          <w:sz w:val="20"/>
          <w:szCs w:val="20"/>
          <w:color w:val="auto"/>
        </w:rPr>
      </w:pPr>
      <w:r>
        <w:rPr>
          <w:rFonts w:ascii="Arial" w:cs="Arial" w:eastAsia="Arial" w:hAnsi="Arial"/>
          <w:sz w:val="22"/>
          <w:szCs w:val="22"/>
          <w:color w:val="auto"/>
        </w:rPr>
        <w:t>IN WITNESS WHEREOF, the parties hereto have caused this Agreement to be executed and delivered as of the date first above written.</w:t>
      </w:r>
    </w:p>
    <w:p>
      <w:pPr>
        <w:spacing w:after="0" w:line="20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Paul A. Wogan</w:t>
      </w:r>
    </w:p>
    <w:p>
      <w:pPr>
        <w:spacing w:after="0" w:line="9" w:lineRule="exact"/>
        <w:rPr>
          <w:sz w:val="20"/>
          <w:szCs w:val="20"/>
          <w:color w:val="auto"/>
        </w:rPr>
      </w:pPr>
    </w:p>
    <w:tbl>
      <w:tblPr>
        <w:tblLayout w:type="fixed"/>
        <w:tblInd w:w="7320" w:type="dxa"/>
        <w:tblCellMar>
          <w:top w:w="0" w:type="dxa"/>
          <w:left w:w="0" w:type="dxa"/>
          <w:bottom w:w="0" w:type="dxa"/>
          <w:right w:w="0" w:type="dxa"/>
        </w:tblCellMar>
      </w:tblPr>
      <w:tr>
        <w:trPr>
          <w:trHeight w:val="209"/>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Paul A. Wogan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tcPr>
          <w:p>
            <w:pPr>
              <w:ind w:left="180"/>
              <w:spacing w:after="0"/>
              <w:rPr>
                <w:sz w:val="20"/>
                <w:szCs w:val="20"/>
                <w:color w:val="auto"/>
              </w:rPr>
            </w:pPr>
            <w:r>
              <w:rPr>
                <w:rFonts w:ascii="Arial" w:cs="Arial" w:eastAsia="Arial" w:hAnsi="Arial"/>
                <w:sz w:val="18"/>
                <w:szCs w:val="18"/>
                <w:color w:val="auto"/>
              </w:rPr>
              <w:t>Director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James Berner</w:t>
      </w:r>
    </w:p>
    <w:p>
      <w:pPr>
        <w:spacing w:after="0" w:line="9" w:lineRule="exact"/>
        <w:rPr>
          <w:sz w:val="20"/>
          <w:szCs w:val="20"/>
          <w:color w:val="auto"/>
        </w:rPr>
      </w:pPr>
    </w:p>
    <w:tbl>
      <w:tblPr>
        <w:tblLayout w:type="fixed"/>
        <w:tblInd w:w="630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1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James Berner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18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James Berner</w:t>
      </w:r>
    </w:p>
    <w:p>
      <w:pPr>
        <w:spacing w:after="0" w:line="9" w:lineRule="exact"/>
        <w:rPr>
          <w:sz w:val="20"/>
          <w:szCs w:val="20"/>
          <w:color w:val="auto"/>
        </w:rPr>
      </w:pPr>
    </w:p>
    <w:tbl>
      <w:tblPr>
        <w:tblLayout w:type="fixed"/>
        <w:tblInd w:w="620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James Berner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1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435610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STATUTORY MERGER AGREEMENT </w:t>
      </w:r>
      <w:r>
        <w:rPr>
          <w:rFonts w:ascii="Arial" w:cs="Arial" w:eastAsia="Arial" w:hAnsi="Arial"/>
          <w:sz w:val="22"/>
          <w:szCs w:val="22"/>
          <w:color w:val="auto"/>
        </w:rPr>
        <w:t>is dated [●], 2021 (this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BETWEEN</w:t>
      </w:r>
      <w:r>
        <w:rPr>
          <w:rFonts w:ascii="Arial" w:cs="Arial" w:eastAsia="Arial" w:hAnsi="Arial"/>
          <w:sz w:val="22"/>
          <w:szCs w:val="22"/>
          <w:color w:val="auto"/>
        </w:rPr>
        <w:t>:</w:t>
      </w:r>
    </w:p>
    <w:p>
      <w:pPr>
        <w:spacing w:after="0" w:line="242" w:lineRule="exact"/>
        <w:rPr>
          <w:sz w:val="20"/>
          <w:szCs w:val="20"/>
          <w:color w:val="auto"/>
        </w:rPr>
      </w:pPr>
    </w:p>
    <w:p>
      <w:pPr>
        <w:ind w:left="920" w:hanging="453"/>
        <w:spacing w:after="0" w:line="282" w:lineRule="auto"/>
        <w:tabs>
          <w:tab w:leader="none" w:pos="92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GasLog Ltd.</w:t>
      </w:r>
      <w:r>
        <w:rPr>
          <w:rFonts w:ascii="Arial" w:cs="Arial" w:eastAsia="Arial" w:hAnsi="Arial"/>
          <w:sz w:val="18"/>
          <w:szCs w:val="18"/>
          <w:color w:val="auto"/>
        </w:rPr>
        <w:t>, an exempted company incorporated under the laws of Bermuda having its registered office at Clarendon House, 2 Church</w:t>
      </w:r>
      <w:r>
        <w:rPr>
          <w:rFonts w:ascii="Arial" w:cs="Arial" w:eastAsia="Arial" w:hAnsi="Arial"/>
          <w:sz w:val="18"/>
          <w:szCs w:val="18"/>
          <w:b w:val="1"/>
          <w:bCs w:val="1"/>
          <w:color w:val="auto"/>
        </w:rPr>
        <w:t xml:space="preserve"> </w:t>
      </w:r>
      <w:r>
        <w:rPr>
          <w:rFonts w:ascii="Arial" w:cs="Arial" w:eastAsia="Arial" w:hAnsi="Arial"/>
          <w:sz w:val="18"/>
          <w:szCs w:val="18"/>
          <w:color w:val="auto"/>
        </w:rPr>
        <w:t>Street, Hamilton HM11, Bermuda (hereinafter called the “Company”); and</w:t>
      </w:r>
    </w:p>
    <w:p>
      <w:pPr>
        <w:spacing w:after="0" w:line="188" w:lineRule="exact"/>
        <w:rPr>
          <w:rFonts w:ascii="Arial" w:cs="Arial" w:eastAsia="Arial" w:hAnsi="Arial"/>
          <w:sz w:val="18"/>
          <w:szCs w:val="18"/>
          <w:color w:val="auto"/>
        </w:rPr>
      </w:pPr>
    </w:p>
    <w:p>
      <w:pPr>
        <w:ind w:left="920" w:hanging="453"/>
        <w:spacing w:after="0" w:line="282" w:lineRule="auto"/>
        <w:tabs>
          <w:tab w:leader="none" w:pos="92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GEPIF III Crown MergerCo Limited</w:t>
      </w:r>
      <w:r>
        <w:rPr>
          <w:rFonts w:ascii="Arial" w:cs="Arial" w:eastAsia="Arial" w:hAnsi="Arial"/>
          <w:sz w:val="18"/>
          <w:szCs w:val="18"/>
          <w:color w:val="auto"/>
        </w:rPr>
        <w:t>, an exempted company incorporated under the laws of Bermuda having its registered office at Victoria</w:t>
      </w:r>
      <w:r>
        <w:rPr>
          <w:rFonts w:ascii="Arial" w:cs="Arial" w:eastAsia="Arial" w:hAnsi="Arial"/>
          <w:sz w:val="18"/>
          <w:szCs w:val="18"/>
          <w:b w:val="1"/>
          <w:bCs w:val="1"/>
          <w:color w:val="auto"/>
        </w:rPr>
        <w:t xml:space="preserve"> </w:t>
      </w:r>
      <w:r>
        <w:rPr>
          <w:rFonts w:ascii="Arial" w:cs="Arial" w:eastAsia="Arial" w:hAnsi="Arial"/>
          <w:sz w:val="18"/>
          <w:szCs w:val="18"/>
          <w:color w:val="auto"/>
        </w:rPr>
        <w:t>Place, 31 Victoria Street, Hamilton HM10, Bermuda (hereinafter called “Merger Sub”).</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p>
    <w:p>
      <w:pPr>
        <w:spacing w:after="0" w:line="246" w:lineRule="exact"/>
        <w:rPr>
          <w:sz w:val="20"/>
          <w:szCs w:val="20"/>
          <w:color w:val="auto"/>
        </w:rPr>
      </w:pPr>
    </w:p>
    <w:p>
      <w:pPr>
        <w:ind w:left="460" w:right="20" w:hanging="452"/>
        <w:spacing w:after="0" w:line="277" w:lineRule="auto"/>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 xml:space="preserve">This Agreement is the Statutory Merger Agreement referred to in the Agreement and Plan of Merger among, </w:t>
      </w:r>
      <w:r>
        <w:rPr>
          <w:rFonts w:ascii="Arial" w:cs="Arial" w:eastAsia="Arial" w:hAnsi="Arial"/>
          <w:sz w:val="18"/>
          <w:szCs w:val="18"/>
          <w:i w:val="1"/>
          <w:iCs w:val="1"/>
          <w:color w:val="auto"/>
        </w:rPr>
        <w:t>inter alios</w:t>
      </w:r>
      <w:r>
        <w:rPr>
          <w:rFonts w:ascii="Arial" w:cs="Arial" w:eastAsia="Arial" w:hAnsi="Arial"/>
          <w:sz w:val="18"/>
          <w:szCs w:val="18"/>
          <w:color w:val="auto"/>
        </w:rPr>
        <w:t>, Merger Sub and the Company, dated February 21, 2021 (the “Agreement and Plan of Merger”); and</w:t>
      </w:r>
    </w:p>
    <w:p>
      <w:pPr>
        <w:spacing w:after="0" w:line="197" w:lineRule="exact"/>
        <w:rPr>
          <w:rFonts w:ascii="Arial" w:cs="Arial" w:eastAsia="Arial" w:hAnsi="Arial"/>
          <w:sz w:val="18"/>
          <w:szCs w:val="18"/>
          <w:b w:val="1"/>
          <w:bCs w:val="1"/>
          <w:color w:val="auto"/>
        </w:rPr>
      </w:pPr>
    </w:p>
    <w:p>
      <w:pPr>
        <w:jc w:val="both"/>
        <w:ind w:left="460" w:hanging="452"/>
        <w:spacing w:after="0" w:line="286" w:lineRule="auto"/>
        <w:tabs>
          <w:tab w:leader="none" w:pos="460"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Merger Sub and the Company (together, the “Merging Companies”) have agreed that Merger Sub will, subject to the terms and conditions set forth herein and in the Agreement and Plan of Merger, merge with and into the Company in accordance with the provisions of the Companies Act 1981 of Bermuda, as amended (the “Companies Act”), with the Company continuing as the Surviving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 THE PARTIES HAVE AGREED AS FOLLOWS</w:t>
      </w:r>
      <w:r>
        <w:rPr>
          <w:rFonts w:ascii="Arial" w:cs="Arial" w:eastAsia="Arial" w:hAnsi="Arial"/>
          <w:sz w:val="22"/>
          <w:szCs w:val="22"/>
          <w:color w:val="auto"/>
        </w:rPr>
        <w:t>:</w:t>
      </w:r>
    </w:p>
    <w:p>
      <w:pPr>
        <w:spacing w:after="0" w:line="24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49" w:lineRule="exact"/>
        <w:rPr>
          <w:sz w:val="20"/>
          <w:szCs w:val="20"/>
          <w:color w:val="auto"/>
        </w:rPr>
      </w:pPr>
    </w:p>
    <w:p>
      <w:pPr>
        <w:ind w:left="340"/>
        <w:spacing w:after="0" w:line="250" w:lineRule="auto"/>
        <w:rPr>
          <w:sz w:val="20"/>
          <w:szCs w:val="20"/>
          <w:color w:val="auto"/>
        </w:rPr>
      </w:pPr>
      <w:r>
        <w:rPr>
          <w:rFonts w:ascii="Arial" w:cs="Arial" w:eastAsia="Arial" w:hAnsi="Arial"/>
          <w:sz w:val="22"/>
          <w:szCs w:val="22"/>
          <w:color w:val="auto"/>
        </w:rPr>
        <w:t>Unless otherwise defined herein, capitalized terms have the same meaning as used and defined in the Agreement and Plan of Merger.</w:t>
      </w:r>
    </w:p>
    <w:p>
      <w:pPr>
        <w:spacing w:after="0" w:line="205"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MERGER</w:t>
      </w:r>
    </w:p>
    <w:p>
      <w:pPr>
        <w:spacing w:after="0" w:line="256"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Merging Parties agree that, on the terms and subject to the conditions of this Agreement and the Agreement and Plan of Merger and in accordance with the Companies Act, at the Effective Time, Merger Sub shall be merged with and into the Company, the combined undertaking, properties and liabilities of both Merging Companies shall vest in the Company as the surviving company consequent upon the Merger (the surviving company to be referred to in this Agreement as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Surviving Company will continue to be a Bermuda exempted company under the conditions of this Agreement and the Agreement and Plan of Merger.</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Merger shall become effective at the time on the Closing Date shown on the Certificate of Merger issued by the Registrar of Companies in accordance with Section 109(2) of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NAME OF SURVIVING COMPANY</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name of the Surviving Company shall be GasLog Ltd.</w:t>
      </w:r>
    </w:p>
    <w:p>
      <w:pPr>
        <w:spacing w:after="0" w:line="236"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249"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At the Effective Time, pursuant to the Merger, the memorandum of association of the Surviving Company shall be the memorandum of association of the Company immediately prior to the Effective Time as set forth in Annexure A attached to this Agreement.</w:t>
      </w:r>
    </w:p>
    <w:p>
      <w:pPr>
        <w:spacing w:after="0" w:line="216"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BYE-LAWS</w:t>
      </w:r>
    </w:p>
    <w:p>
      <w:pPr>
        <w:spacing w:after="0" w:line="249" w:lineRule="exact"/>
        <w:rPr>
          <w:sz w:val="20"/>
          <w:szCs w:val="20"/>
          <w:color w:val="auto"/>
        </w:rPr>
      </w:pPr>
    </w:p>
    <w:p>
      <w:pPr>
        <w:ind w:left="340" w:right="20"/>
        <w:spacing w:after="0" w:line="328" w:lineRule="auto"/>
        <w:rPr>
          <w:sz w:val="20"/>
          <w:szCs w:val="20"/>
          <w:color w:val="auto"/>
        </w:rPr>
      </w:pPr>
      <w:r>
        <w:rPr>
          <w:rFonts w:ascii="Arial" w:cs="Arial" w:eastAsia="Arial" w:hAnsi="Arial"/>
          <w:sz w:val="19"/>
          <w:szCs w:val="19"/>
          <w:color w:val="auto"/>
        </w:rPr>
        <w:t>At the Effective Time, pursuant to the Merger, the bye-laws of the Company shall be amended to read in their entity as set forth in Annexure B attached to this Agreement, and, as so amended, shall be the bye-laws of the Surviving Company.</w:t>
      </w:r>
    </w:p>
    <w:p>
      <w:pPr>
        <w:spacing w:after="0" w:line="135"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00" w:lineRule="exact"/>
        <w:rPr>
          <w:sz w:val="20"/>
          <w:szCs w:val="20"/>
          <w:color w:val="auto"/>
        </w:rPr>
      </w:pPr>
    </w:p>
    <w:p>
      <w:pPr>
        <w:spacing w:after="0" w:line="265" w:lineRule="exact"/>
        <w:rPr>
          <w:sz w:val="20"/>
          <w:szCs w:val="20"/>
          <w:color w:val="auto"/>
        </w:rPr>
      </w:pPr>
    </w:p>
    <w:p>
      <w:pPr>
        <w:jc w:val="both"/>
        <w:ind w:left="340" w:right="20"/>
        <w:spacing w:after="0"/>
        <w:rPr>
          <w:sz w:val="20"/>
          <w:szCs w:val="20"/>
          <w:color w:val="auto"/>
        </w:rPr>
      </w:pPr>
      <w:r>
        <w:rPr>
          <w:rFonts w:ascii="Arial" w:cs="Arial" w:eastAsia="Arial" w:hAnsi="Arial"/>
          <w:sz w:val="22"/>
          <w:szCs w:val="22"/>
          <w:color w:val="auto"/>
        </w:rPr>
        <w:t>The directors of the Company in office immediately prior to the Effective Time whose names and addresses are set out below shall be the directors of the Surviving Company until the earlier of their resignation or removal or until their respective successors are elected and qualified, as the case may be:</w:t>
      </w:r>
    </w:p>
    <w:p>
      <w:pPr>
        <w:sectPr>
          <w:pgSz w:w="11900" w:h="16838" w:orient="portrait"/>
          <w:cols w:equalWidth="0" w:num="1">
            <w:col w:w="11240"/>
          </w:cols>
          <w:pgMar w:left="320" w:top="607" w:right="339" w:bottom="1440" w:gutter="0" w:footer="0" w:header="0"/>
        </w:sectPr>
      </w:pPr>
    </w:p>
    <w:p>
      <w:pPr>
        <w:spacing w:after="0" w:line="21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[Name]</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[Name]</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[Name]</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ectPr>
          <w:pgSz w:w="11900" w:h="16838" w:orient="portrait"/>
          <w:cols w:equalWidth="0" w:num="2">
            <w:col w:w="5240" w:space="720"/>
            <w:col w:w="5280"/>
          </w:cols>
          <w:pgMar w:left="320" w:top="607" w:right="339" w:bottom="1440" w:gutter="0" w:footer="0" w:header="0"/>
          <w:type w:val="continuous"/>
        </w:sectPr>
      </w:pPr>
    </w:p>
    <w:p>
      <w:pPr>
        <w:spacing w:after="0" w:line="31"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The officers of the Company in office immediately prior to the Effective Time shall be the officers of the Surviving Company until the earlier of their resignation or removal or until their respective successors are elected or appointed and qualified, as the case may be.</w:t>
      </w:r>
    </w:p>
    <w:p>
      <w:pPr>
        <w:spacing w:after="0" w:line="21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CONVERSION OF SECURITIES</w:t>
      </w:r>
    </w:p>
    <w:p>
      <w:pPr>
        <w:spacing w:after="0" w:line="22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At the Effective Time, by virtue of the Merger and without any action on the part of Merging Companies or the holder of any equity thereof:</w:t>
      </w:r>
    </w:p>
    <w:p>
      <w:pPr>
        <w:spacing w:after="0" w:line="209" w:lineRule="exact"/>
        <w:rPr>
          <w:sz w:val="20"/>
          <w:szCs w:val="20"/>
          <w:color w:val="auto"/>
        </w:rPr>
      </w:pPr>
    </w:p>
    <w:p>
      <w:pPr>
        <w:jc w:val="both"/>
        <w:ind w:left="660" w:hanging="328"/>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w:t>
      </w:r>
      <w:r>
        <w:rPr>
          <w:rFonts w:ascii="Arial" w:cs="Arial" w:eastAsia="Arial" w:hAnsi="Arial"/>
          <w:sz w:val="18"/>
          <w:szCs w:val="18"/>
          <w:u w:val="single" w:color="auto"/>
          <w:color w:val="auto"/>
        </w:rPr>
        <w:t>Merger Sub Share</w:t>
      </w:r>
      <w:r>
        <w:rPr>
          <w:rFonts w:ascii="Arial" w:cs="Arial" w:eastAsia="Arial" w:hAnsi="Arial"/>
          <w:sz w:val="18"/>
          <w:szCs w:val="18"/>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equal to (i) the number of Common Shares outstanding immediately prior to the Effective Time (other than Hook Shares and Rollover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1" w:name="page92"/>
    <w:bookmarkEnd w:id="91"/>
    <w:p>
      <w:pPr>
        <w:ind w:left="388"/>
        <w:spacing w:after="0"/>
        <w:rPr>
          <w:sz w:val="20"/>
          <w:szCs w:val="20"/>
          <w:color w:val="auto"/>
        </w:rPr>
      </w:pPr>
      <w:r>
        <w:rPr>
          <w:rFonts w:ascii="Arial" w:cs="Arial" w:eastAsia="Arial" w:hAnsi="Arial"/>
          <w:sz w:val="19"/>
          <w:szCs w:val="19"/>
          <w:color w:val="auto"/>
        </w:rPr>
        <w:t>divided by (ii) the number of Merger Sub Shares issued and outstanding as of immediately prior to the Effective Time;</w:t>
      </w:r>
    </w:p>
    <w:p>
      <w:pPr>
        <w:spacing w:after="0" w:line="275" w:lineRule="exact"/>
        <w:rPr>
          <w:sz w:val="20"/>
          <w:szCs w:val="20"/>
          <w:color w:val="auto"/>
        </w:rPr>
      </w:pPr>
    </w:p>
    <w:p>
      <w:pPr>
        <w:ind w:left="328" w:hanging="328"/>
        <w:spacing w:after="0" w:line="277"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Common Shares that are owned by the Company as treasury shares shall automatically be canceled and shall cease to exist and be outstanding and no consideration shall be delivered in exchange therefor;</w:t>
      </w:r>
    </w:p>
    <w:p>
      <w:pPr>
        <w:spacing w:after="0" w:line="197"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direct or indirect wholly owned Subsidiary of the Company (each, a “</w:t>
      </w:r>
      <w:r>
        <w:rPr>
          <w:rFonts w:ascii="Arial" w:cs="Arial" w:eastAsia="Arial" w:hAnsi="Arial"/>
          <w:sz w:val="18"/>
          <w:szCs w:val="18"/>
          <w:u w:val="single" w:color="auto"/>
          <w:color w:val="auto"/>
        </w:rPr>
        <w:t>Hook Share</w:t>
      </w:r>
      <w:r>
        <w:rPr>
          <w:rFonts w:ascii="Arial" w:cs="Arial" w:eastAsia="Arial" w:hAnsi="Arial"/>
          <w:sz w:val="18"/>
          <w:szCs w:val="18"/>
          <w:color w:val="auto"/>
        </w:rPr>
        <w:t>”) shall not represent the right to receive the Merger Consideration and shall instead remain outstanding as one authorized, validly issued, fully paid and nonassessable Surviving Company Share;</w:t>
      </w:r>
    </w:p>
    <w:p>
      <w:pPr>
        <w:spacing w:after="0" w:line="210"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Rolling Shareholder or the Additional Rolling Shareholders (each, a “</w:t>
      </w:r>
      <w:r>
        <w:rPr>
          <w:rFonts w:ascii="Arial" w:cs="Arial" w:eastAsia="Arial" w:hAnsi="Arial"/>
          <w:sz w:val="18"/>
          <w:szCs w:val="18"/>
          <w:u w:val="single" w:color="auto"/>
          <w:color w:val="auto"/>
        </w:rPr>
        <w:t>Rollover Share</w:t>
      </w:r>
      <w:r>
        <w:rPr>
          <w:rFonts w:ascii="Arial" w:cs="Arial" w:eastAsia="Arial" w:hAnsi="Arial"/>
          <w:sz w:val="18"/>
          <w:szCs w:val="18"/>
          <w:color w:val="auto"/>
        </w:rPr>
        <w:t>”) shall not represent the right to receive the Merger Consideration and shall remain outstanding as one authorized, validly issued, fully paid and nonassessable Surviving Company Share;</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subject to paragraphs (b), (c), (d) and (g), each Common Share that is issued and outstanding immediately prior to the Effective Time, other than</w:t>
      </w:r>
    </w:p>
    <w:p>
      <w:pPr>
        <w:spacing w:after="0" w:line="46" w:lineRule="exact"/>
        <w:rPr>
          <w:rFonts w:ascii="Arial" w:cs="Arial" w:eastAsia="Arial" w:hAnsi="Arial"/>
          <w:sz w:val="16"/>
          <w:szCs w:val="16"/>
          <w:color w:val="auto"/>
        </w:rPr>
      </w:pPr>
    </w:p>
    <w:p>
      <w:pPr>
        <w:jc w:val="both"/>
        <w:ind w:left="328"/>
        <w:spacing w:after="0" w:line="253" w:lineRule="auto"/>
        <w:rPr>
          <w:rFonts w:ascii="Arial" w:cs="Arial" w:eastAsia="Arial" w:hAnsi="Arial"/>
          <w:sz w:val="16"/>
          <w:szCs w:val="16"/>
          <w:color w:val="auto"/>
        </w:rPr>
      </w:pPr>
      <w:r>
        <w:rPr>
          <w:rFonts w:ascii="Arial" w:cs="Arial" w:eastAsia="Arial" w:hAnsi="Arial"/>
          <w:sz w:val="18"/>
          <w:szCs w:val="18"/>
          <w:color w:val="auto"/>
        </w:rPr>
        <w:t>(i) any Rollover Share, (ii) any Hook Share or (iii) any Common Share that is subject to any Company Award, shall automatically be canceled and converted into and shall thereafter represent the right to receive the Merger Consideration; all such Common Shares shall no longer be issued and outstanding and shall automatically be canceled and shall cease to exist, and each holder of a Certificate or a Book-Entry Share evidencing such Common Shares shall cease to have any rights with respect thereto, except the right to receive the Merger Consideration and any other payments as set out in the Agreement and Plan of Merger;</w:t>
      </w:r>
    </w:p>
    <w:p>
      <w:pPr>
        <w:spacing w:after="0" w:line="217" w:lineRule="exact"/>
        <w:rPr>
          <w:rFonts w:ascii="Arial" w:cs="Arial" w:eastAsia="Arial" w:hAnsi="Arial"/>
          <w:sz w:val="16"/>
          <w:szCs w:val="16"/>
          <w:color w:val="auto"/>
        </w:rPr>
      </w:pPr>
    </w:p>
    <w:p>
      <w:pPr>
        <w:jc w:val="both"/>
        <w:ind w:left="328" w:hanging="328"/>
        <w:spacing w:after="0" w:line="279"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share of the Company’s 8.75% Series A Cumulative Redeemable Perpetual Preference Shares, par value $0.01 per share, issued and outstanding immediately prior to the Effective Time (a “</w:t>
      </w:r>
      <w:r>
        <w:rPr>
          <w:rFonts w:ascii="Arial" w:cs="Arial" w:eastAsia="Arial" w:hAnsi="Arial"/>
          <w:sz w:val="17"/>
          <w:szCs w:val="17"/>
          <w:u w:val="single" w:color="auto"/>
          <w:color w:val="auto"/>
        </w:rPr>
        <w:t>Preference Share</w:t>
      </w:r>
      <w:r>
        <w:rPr>
          <w:rFonts w:ascii="Arial" w:cs="Arial" w:eastAsia="Arial" w:hAnsi="Arial"/>
          <w:sz w:val="17"/>
          <w:szCs w:val="17"/>
          <w:color w:val="auto"/>
        </w:rPr>
        <w:t>”) shall remain outstanding as a preference share of the Surviving Company (a “</w:t>
      </w:r>
      <w:r>
        <w:rPr>
          <w:rFonts w:ascii="Arial" w:cs="Arial" w:eastAsia="Arial" w:hAnsi="Arial"/>
          <w:sz w:val="17"/>
          <w:szCs w:val="17"/>
          <w:u w:val="single" w:color="auto"/>
          <w:color w:val="auto"/>
        </w:rPr>
        <w:t>Surviving Company Preference Share</w:t>
      </w:r>
      <w:r>
        <w:rPr>
          <w:rFonts w:ascii="Arial" w:cs="Arial" w:eastAsia="Arial" w:hAnsi="Arial"/>
          <w:sz w:val="17"/>
          <w:szCs w:val="17"/>
          <w:color w:val="auto"/>
        </w:rPr>
        <w:t>”) and shall be entitled to the same dividend and other relative rights, preferences, limitations and restrictions as are now provided by the certificate of designations of such existing preference shares;</w:t>
      </w:r>
    </w:p>
    <w:p>
      <w:pPr>
        <w:spacing w:after="0" w:line="198" w:lineRule="exact"/>
        <w:rPr>
          <w:rFonts w:ascii="Arial" w:cs="Arial" w:eastAsia="Arial" w:hAnsi="Arial"/>
          <w:sz w:val="17"/>
          <w:szCs w:val="17"/>
          <w:color w:val="auto"/>
        </w:rPr>
      </w:pPr>
    </w:p>
    <w:p>
      <w:pPr>
        <w:jc w:val="both"/>
        <w:ind w:left="328" w:hanging="328"/>
        <w:spacing w:after="0" w:line="275"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Dissenting Shares shall automatically be canceled (but shall not entitle their holders to receive the Merger Consideration) and, without any further action on the part of the Merging Companies) or the holder of such Dissenting Share, automatically converted into the right to receive the fair value of such Dissenting Shares as appraised by the Supreme Court of Bermuda under Section 106(6) of the Bermuda Companies Act (the “</w:t>
      </w:r>
      <w:r>
        <w:rPr>
          <w:rFonts w:ascii="Arial" w:cs="Arial" w:eastAsia="Arial" w:hAnsi="Arial"/>
          <w:sz w:val="17"/>
          <w:szCs w:val="17"/>
          <w:u w:val="single" w:color="auto"/>
          <w:color w:val="auto"/>
        </w:rPr>
        <w:t>Appraised Fair Value</w:t>
      </w:r>
      <w:r>
        <w:rPr>
          <w:rFonts w:ascii="Arial" w:cs="Arial" w:eastAsia="Arial" w:hAnsi="Arial"/>
          <w:sz w:val="17"/>
          <w:szCs w:val="17"/>
          <w:color w:val="auto"/>
        </w:rPr>
        <w:t>”) from the Surviving Company by payment made to the holder of the Dissenting Shares within one month after such Appraised Fair Value is finally determined pursuant to such statutory appraisal procedure; and</w:t>
      </w:r>
    </w:p>
    <w:p>
      <w:pPr>
        <w:spacing w:after="0" w:line="203" w:lineRule="exact"/>
        <w:rPr>
          <w:rFonts w:ascii="Arial" w:cs="Arial" w:eastAsia="Arial" w:hAnsi="Arial"/>
          <w:sz w:val="17"/>
          <w:szCs w:val="17"/>
          <w:color w:val="auto"/>
        </w:rPr>
      </w:pPr>
    </w:p>
    <w:p>
      <w:pPr>
        <w:ind w:left="328" w:right="20" w:hanging="328"/>
        <w:spacing w:after="0" w:line="277"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shall be entitled to retain such Dissenting Preference Shares as Surviving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245745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04" w:right="339" w:bottom="1440" w:gutter="0" w:footer="0" w:header="0"/>
        </w:sectPr>
      </w:pPr>
    </w:p>
    <w:bookmarkStart w:id="92" w:name="page93"/>
    <w:bookmarkEnd w:id="92"/>
    <w:p>
      <w:pPr>
        <w:jc w:val="both"/>
        <w:ind w:left="660"/>
        <w:spacing w:after="0" w:line="252" w:lineRule="auto"/>
        <w:rPr>
          <w:sz w:val="20"/>
          <w:szCs w:val="20"/>
          <w:color w:val="auto"/>
        </w:rPr>
      </w:pPr>
      <w:r>
        <w:rPr>
          <w:rFonts w:ascii="Arial" w:cs="Arial" w:eastAsia="Arial" w:hAnsi="Arial"/>
          <w:sz w:val="21"/>
          <w:szCs w:val="21"/>
          <w:color w:val="auto"/>
        </w:rPr>
        <w:t>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204"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IN COUNTERPARTS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Agreement may be executed in counterparts each of which when executed and delivered shall constitute an original but all such counterparts together shall constitute one and the same instrument.</w:t>
      </w:r>
    </w:p>
    <w:p>
      <w:pPr>
        <w:spacing w:after="0" w:line="205" w:lineRule="exact"/>
        <w:rPr>
          <w:sz w:val="20"/>
          <w:szCs w:val="20"/>
          <w:color w:val="auto"/>
        </w:rPr>
      </w:pPr>
    </w:p>
    <w:p>
      <w:pPr>
        <w:ind w:left="420" w:hanging="412"/>
        <w:spacing w:after="0"/>
        <w:tabs>
          <w:tab w:leader="none" w:pos="4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49"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IF TO MERGER SUB, TO:</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22"/>
          <w:szCs w:val="22"/>
          <w:color w:val="auto"/>
        </w:rPr>
        <w:t>c/o Global Energy &amp; Power Infrastructure Funds</w:t>
      </w:r>
    </w:p>
    <w:p>
      <w:pPr>
        <w:ind w:left="400"/>
        <w:spacing w:after="0" w:line="238" w:lineRule="auto"/>
        <w:rPr>
          <w:sz w:val="20"/>
          <w:szCs w:val="20"/>
          <w:color w:val="auto"/>
        </w:rPr>
      </w:pPr>
      <w:r>
        <w:rPr>
          <w:rFonts w:ascii="Arial" w:cs="Arial" w:eastAsia="Arial" w:hAnsi="Arial"/>
          <w:sz w:val="22"/>
          <w:szCs w:val="22"/>
          <w:color w:val="auto"/>
        </w:rPr>
        <w:t>One Lafayette Place</w:t>
      </w:r>
    </w:p>
    <w:p>
      <w:pPr>
        <w:ind w:left="400"/>
        <w:spacing w:after="0" w:line="230" w:lineRule="auto"/>
        <w:rPr>
          <w:sz w:val="20"/>
          <w:szCs w:val="20"/>
          <w:color w:val="auto"/>
        </w:rPr>
      </w:pPr>
      <w:r>
        <w:rPr>
          <w:rFonts w:ascii="Arial" w:cs="Arial" w:eastAsia="Arial" w:hAnsi="Arial"/>
          <w:sz w:val="22"/>
          <w:szCs w:val="22"/>
          <w:color w:val="auto"/>
        </w:rPr>
        <w:t>Greenwich, CT 06830</w:t>
      </w:r>
    </w:p>
    <w:p>
      <w:pPr>
        <w:ind w:left="400"/>
        <w:spacing w:after="0" w:line="231" w:lineRule="auto"/>
        <w:rPr>
          <w:sz w:val="20"/>
          <w:szCs w:val="20"/>
          <w:color w:val="auto"/>
        </w:rPr>
      </w:pPr>
      <w:r>
        <w:rPr>
          <w:rFonts w:ascii="Arial" w:cs="Arial" w:eastAsia="Arial" w:hAnsi="Arial"/>
          <w:sz w:val="22"/>
          <w:szCs w:val="22"/>
          <w:color w:val="auto"/>
        </w:rPr>
        <w:t>Attention: Matt Raben</w:t>
      </w:r>
    </w:p>
    <w:p>
      <w:pPr>
        <w:ind w:left="4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matthew.raben@blackrock.com</w:t>
      </w: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with copies to:</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2"/>
          <w:szCs w:val="22"/>
          <w:color w:val="auto"/>
        </w:rPr>
        <w:t>BlackRock, Inc.</w:t>
      </w:r>
    </w:p>
    <w:p>
      <w:pPr>
        <w:ind w:left="400"/>
        <w:spacing w:after="0" w:line="230" w:lineRule="auto"/>
        <w:rPr>
          <w:sz w:val="20"/>
          <w:szCs w:val="20"/>
          <w:color w:val="auto"/>
        </w:rPr>
      </w:pPr>
      <w:r>
        <w:rPr>
          <w:rFonts w:ascii="Arial" w:cs="Arial" w:eastAsia="Arial" w:hAnsi="Arial"/>
          <w:sz w:val="22"/>
          <w:szCs w:val="22"/>
          <w:color w:val="auto"/>
        </w:rPr>
        <w:t>Office of the General Counsel</w:t>
      </w:r>
    </w:p>
    <w:p>
      <w:pPr>
        <w:ind w:left="400"/>
        <w:spacing w:after="0" w:line="181" w:lineRule="auto"/>
        <w:rPr>
          <w:sz w:val="20"/>
          <w:szCs w:val="20"/>
          <w:color w:val="auto"/>
        </w:rPr>
      </w:pPr>
      <w:r>
        <w:rPr>
          <w:rFonts w:ascii="Arial" w:cs="Arial" w:eastAsia="Arial" w:hAnsi="Arial"/>
          <w:sz w:val="19"/>
          <w:szCs w:val="19"/>
          <w:color w:val="auto"/>
        </w:rPr>
        <w:t>40 East 52</w:t>
      </w:r>
      <w:r>
        <w:rPr>
          <w:rFonts w:ascii="Arial" w:cs="Arial" w:eastAsia="Arial" w:hAnsi="Arial"/>
          <w:sz w:val="29"/>
          <w:szCs w:val="29"/>
          <w:color w:val="auto"/>
          <w:vertAlign w:val="superscript"/>
        </w:rPr>
        <w:t>nd</w:t>
      </w:r>
      <w:r>
        <w:rPr>
          <w:rFonts w:ascii="Arial" w:cs="Arial" w:eastAsia="Arial" w:hAnsi="Arial"/>
          <w:sz w:val="19"/>
          <w:szCs w:val="19"/>
          <w:color w:val="auto"/>
        </w:rPr>
        <w:t xml:space="preserve"> Street, 19</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ind w:left="400"/>
        <w:spacing w:after="0" w:line="230" w:lineRule="auto"/>
        <w:rPr>
          <w:sz w:val="20"/>
          <w:szCs w:val="20"/>
          <w:color w:val="auto"/>
        </w:rPr>
      </w:pPr>
      <w:r>
        <w:rPr>
          <w:rFonts w:ascii="Arial" w:cs="Arial" w:eastAsia="Arial" w:hAnsi="Arial"/>
          <w:sz w:val="22"/>
          <w:szCs w:val="22"/>
          <w:color w:val="auto"/>
        </w:rPr>
        <w:t>New York, NY 10022</w:t>
      </w:r>
    </w:p>
    <w:p>
      <w:pPr>
        <w:ind w:left="400"/>
        <w:spacing w:after="0" w:line="231" w:lineRule="auto"/>
        <w:rPr>
          <w:sz w:val="20"/>
          <w:szCs w:val="20"/>
          <w:color w:val="auto"/>
        </w:rPr>
      </w:pPr>
      <w:r>
        <w:rPr>
          <w:rFonts w:ascii="Arial" w:cs="Arial" w:eastAsia="Arial" w:hAnsi="Arial"/>
          <w:sz w:val="22"/>
          <w:szCs w:val="22"/>
          <w:color w:val="auto"/>
        </w:rPr>
        <w:t>Attention: Jelena Napolitano</w:t>
      </w:r>
    </w:p>
    <w:p>
      <w:pPr>
        <w:ind w:left="4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legaltransactions@blackrock.com</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Wakefield Quin Limited</w:t>
      </w:r>
    </w:p>
    <w:p>
      <w:pPr>
        <w:ind w:left="400"/>
        <w:spacing w:after="0" w:line="238" w:lineRule="auto"/>
        <w:rPr>
          <w:sz w:val="20"/>
          <w:szCs w:val="20"/>
          <w:color w:val="auto"/>
        </w:rPr>
      </w:pPr>
      <w:r>
        <w:rPr>
          <w:rFonts w:ascii="Arial" w:cs="Arial" w:eastAsia="Arial" w:hAnsi="Arial"/>
          <w:sz w:val="22"/>
          <w:szCs w:val="22"/>
          <w:color w:val="auto"/>
        </w:rPr>
        <w:t>Victoria Place, 31 Victoria Street,</w:t>
      </w:r>
    </w:p>
    <w:p>
      <w:pPr>
        <w:ind w:left="400"/>
        <w:spacing w:after="0" w:line="230" w:lineRule="auto"/>
        <w:rPr>
          <w:sz w:val="20"/>
          <w:szCs w:val="20"/>
          <w:color w:val="auto"/>
        </w:rPr>
      </w:pPr>
      <w:r>
        <w:rPr>
          <w:rFonts w:ascii="Arial" w:cs="Arial" w:eastAsia="Arial" w:hAnsi="Arial"/>
          <w:sz w:val="22"/>
          <w:szCs w:val="22"/>
          <w:color w:val="auto"/>
        </w:rPr>
        <w:t>Hamilton, HM10</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3" w:name="page94"/>
    <w:bookmarkEnd w:id="93"/>
    <w:p>
      <w:pPr>
        <w:ind w:left="400"/>
        <w:spacing w:after="0"/>
        <w:tabs>
          <w:tab w:leader="none" w:pos="1580" w:val="left"/>
        </w:tabs>
        <w:rPr>
          <w:sz w:val="20"/>
          <w:szCs w:val="20"/>
          <w:color w:val="auto"/>
        </w:rPr>
      </w:pPr>
      <w:r>
        <w:rPr>
          <w:rFonts w:ascii="Arial" w:cs="Arial" w:eastAsia="Arial" w:hAnsi="Arial"/>
          <w:sz w:val="22"/>
          <w:szCs w:val="22"/>
          <w:color w:val="auto"/>
        </w:rPr>
        <w:t>Attention:</w:t>
        <w:tab/>
        <w:t>Ian Stone</w:t>
      </w:r>
    </w:p>
    <w:p>
      <w:pPr>
        <w:spacing w:after="0" w:line="8" w:lineRule="exact"/>
        <w:rPr>
          <w:sz w:val="20"/>
          <w:szCs w:val="20"/>
          <w:color w:val="auto"/>
        </w:rPr>
      </w:pPr>
    </w:p>
    <w:p>
      <w:pPr>
        <w:ind w:left="400"/>
        <w:spacing w:after="0"/>
        <w:tabs>
          <w:tab w:leader="none" w:pos="16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istone@wq.bm</w:t>
      </w: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IF TO COMPANY, TO:</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22"/>
          <w:szCs w:val="22"/>
          <w:color w:val="auto"/>
        </w:rPr>
        <w:t>GasLog Ltd.</w:t>
      </w:r>
    </w:p>
    <w:p>
      <w:pPr>
        <w:ind w:left="400"/>
        <w:spacing w:after="0" w:line="238" w:lineRule="auto"/>
        <w:rPr>
          <w:sz w:val="20"/>
          <w:szCs w:val="20"/>
          <w:color w:val="auto"/>
        </w:rPr>
      </w:pPr>
      <w:r>
        <w:rPr>
          <w:rFonts w:ascii="Arial" w:cs="Arial" w:eastAsia="Arial" w:hAnsi="Arial"/>
          <w:sz w:val="22"/>
          <w:szCs w:val="22"/>
          <w:color w:val="auto"/>
        </w:rPr>
        <w:t>c/o GasLog LNG Services Ltd.</w:t>
      </w:r>
    </w:p>
    <w:p>
      <w:pPr>
        <w:ind w:left="400"/>
        <w:spacing w:after="0" w:line="230" w:lineRule="auto"/>
        <w:rPr>
          <w:sz w:val="20"/>
          <w:szCs w:val="20"/>
          <w:color w:val="auto"/>
        </w:rPr>
      </w:pPr>
      <w:r>
        <w:rPr>
          <w:rFonts w:ascii="Arial" w:cs="Arial" w:eastAsia="Arial" w:hAnsi="Arial"/>
          <w:sz w:val="22"/>
          <w:szCs w:val="22"/>
          <w:color w:val="auto"/>
        </w:rPr>
        <w:t>69 Akti Miaouli</w:t>
      </w:r>
    </w:p>
    <w:p>
      <w:pPr>
        <w:ind w:left="400"/>
        <w:spacing w:after="0" w:line="231" w:lineRule="auto"/>
        <w:rPr>
          <w:sz w:val="20"/>
          <w:szCs w:val="20"/>
          <w:color w:val="auto"/>
        </w:rPr>
      </w:pPr>
      <w:r>
        <w:rPr>
          <w:rFonts w:ascii="Arial" w:cs="Arial" w:eastAsia="Arial" w:hAnsi="Arial"/>
          <w:sz w:val="22"/>
          <w:szCs w:val="22"/>
          <w:color w:val="auto"/>
        </w:rPr>
        <w:t>18537 Piraeus</w:t>
      </w:r>
    </w:p>
    <w:p>
      <w:pPr>
        <w:ind w:left="400"/>
        <w:spacing w:after="0"/>
        <w:rPr>
          <w:sz w:val="20"/>
          <w:szCs w:val="20"/>
          <w:color w:val="auto"/>
        </w:rPr>
      </w:pPr>
      <w:r>
        <w:rPr>
          <w:rFonts w:ascii="Arial" w:cs="Arial" w:eastAsia="Arial" w:hAnsi="Arial"/>
          <w:sz w:val="22"/>
          <w:szCs w:val="22"/>
          <w:color w:val="auto"/>
        </w:rPr>
        <w:t>Greece</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Attention: Alexandros Laios, General Counsel</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Email: alaios@gaslogltd.com</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with copies to:</w:t>
      </w:r>
    </w:p>
    <w:p>
      <w:pPr>
        <w:spacing w:after="0" w:line="200" w:lineRule="exact"/>
        <w:rPr>
          <w:sz w:val="20"/>
          <w:szCs w:val="20"/>
          <w:color w:val="auto"/>
        </w:rPr>
      </w:pPr>
    </w:p>
    <w:p>
      <w:pPr>
        <w:spacing w:after="0" w:line="276" w:lineRule="exact"/>
        <w:rPr>
          <w:sz w:val="20"/>
          <w:szCs w:val="20"/>
          <w:color w:val="auto"/>
        </w:rPr>
      </w:pPr>
    </w:p>
    <w:p>
      <w:pPr>
        <w:ind w:left="400"/>
        <w:spacing w:after="0"/>
        <w:rPr>
          <w:sz w:val="20"/>
          <w:szCs w:val="20"/>
          <w:color w:val="auto"/>
        </w:rPr>
      </w:pPr>
      <w:r>
        <w:rPr>
          <w:rFonts w:ascii="Arial" w:cs="Arial" w:eastAsia="Arial" w:hAnsi="Arial"/>
          <w:sz w:val="22"/>
          <w:szCs w:val="22"/>
          <w:color w:val="auto"/>
        </w:rPr>
        <w:t>Cravath, Swaine &amp; Moore LLP</w:t>
      </w:r>
    </w:p>
    <w:p>
      <w:pPr>
        <w:ind w:left="400"/>
        <w:spacing w:after="0" w:line="238" w:lineRule="auto"/>
        <w:rPr>
          <w:sz w:val="20"/>
          <w:szCs w:val="20"/>
          <w:color w:val="auto"/>
        </w:rPr>
      </w:pPr>
      <w:r>
        <w:rPr>
          <w:rFonts w:ascii="Arial" w:cs="Arial" w:eastAsia="Arial" w:hAnsi="Arial"/>
          <w:sz w:val="22"/>
          <w:szCs w:val="22"/>
          <w:color w:val="auto"/>
        </w:rPr>
        <w:t>Worldwide Plaza</w:t>
      </w:r>
    </w:p>
    <w:p>
      <w:pPr>
        <w:ind w:left="400"/>
        <w:spacing w:after="0" w:line="230" w:lineRule="auto"/>
        <w:rPr>
          <w:sz w:val="20"/>
          <w:szCs w:val="20"/>
          <w:color w:val="auto"/>
        </w:rPr>
      </w:pPr>
      <w:r>
        <w:rPr>
          <w:rFonts w:ascii="Arial" w:cs="Arial" w:eastAsia="Arial" w:hAnsi="Arial"/>
          <w:sz w:val="22"/>
          <w:szCs w:val="22"/>
          <w:color w:val="auto"/>
        </w:rPr>
        <w:t>825 Eighth Avenue</w:t>
      </w:r>
    </w:p>
    <w:p>
      <w:pPr>
        <w:ind w:left="400"/>
        <w:spacing w:after="0" w:line="231" w:lineRule="auto"/>
        <w:rPr>
          <w:sz w:val="20"/>
          <w:szCs w:val="20"/>
          <w:color w:val="auto"/>
        </w:rPr>
      </w:pPr>
      <w:r>
        <w:rPr>
          <w:rFonts w:ascii="Arial" w:cs="Arial" w:eastAsia="Arial" w:hAnsi="Arial"/>
          <w:sz w:val="22"/>
          <w:szCs w:val="22"/>
          <w:color w:val="auto"/>
        </w:rPr>
        <w:t>New York, NY 10019</w:t>
      </w:r>
    </w:p>
    <w:p>
      <w:pPr>
        <w:ind w:left="400"/>
        <w:spacing w:after="0"/>
        <w:rPr>
          <w:sz w:val="20"/>
          <w:szCs w:val="20"/>
          <w:color w:val="auto"/>
        </w:rPr>
      </w:pPr>
      <w:r>
        <w:rPr>
          <w:rFonts w:ascii="Arial" w:cs="Arial" w:eastAsia="Arial" w:hAnsi="Arial"/>
          <w:sz w:val="22"/>
          <w:szCs w:val="22"/>
          <w:color w:val="auto"/>
        </w:rPr>
        <w:t>U.S.A.</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Attention: Erik R. Tavzel</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Email: etavzel@cravath.com</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Attention: D. Scott Bennett</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Email: sbennett@cravath.com</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Attention: Andrew C. Elken</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Email: aelken@cravath.com</w:t>
      </w:r>
    </w:p>
    <w:p>
      <w:pPr>
        <w:spacing w:after="0" w:line="200" w:lineRule="exact"/>
        <w:rPr>
          <w:sz w:val="20"/>
          <w:szCs w:val="20"/>
          <w:color w:val="auto"/>
        </w:rPr>
      </w:pPr>
    </w:p>
    <w:p>
      <w:pPr>
        <w:spacing w:after="0" w:line="258" w:lineRule="exact"/>
        <w:rPr>
          <w:sz w:val="20"/>
          <w:szCs w:val="20"/>
          <w:color w:val="auto"/>
        </w:rPr>
      </w:pPr>
    </w:p>
    <w:p>
      <w:pPr>
        <w:jc w:val="both"/>
        <w:ind w:left="400"/>
        <w:spacing w:after="0" w:line="236" w:lineRule="auto"/>
        <w:rPr>
          <w:sz w:val="20"/>
          <w:szCs w:val="20"/>
          <w:color w:val="auto"/>
        </w:rPr>
      </w:pPr>
      <w:r>
        <w:rPr>
          <w:rFonts w:ascii="Arial" w:cs="Arial" w:eastAsia="Arial" w:hAnsi="Arial"/>
          <w:sz w:val="22"/>
          <w:szCs w:val="22"/>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This Agreement shall be governed by and construed in accordance with the laws of Bermuda and the parties hereto submit to the exclusive jurisdiction of the courts of Bermuda.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4" w:name="page95"/>
    <w:bookmarkEnd w:id="94"/>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hereto have executed this Agreement the day and year first written above.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SIGNED for and on behalf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GEPIF III CROWN MERGERCO LIMITED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SIGNED for and on behalf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GASLOG LTD.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14605</wp:posOffset>
            </wp:positionV>
            <wp:extent cx="231457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4575"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2"/>
          <w:szCs w:val="22"/>
          <w:b w:val="1"/>
          <w:bCs w:val="1"/>
          <w:color w:val="auto"/>
        </w:rPr>
        <w:t>ANNEXURE 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SURVIVING COMPANY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b w:val="1"/>
          <w:bCs w:val="1"/>
          <w:color w:val="auto"/>
        </w:rPr>
        <w:t>ANNEXURE B</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SURVIVING COMPANY BYE-LAWS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BYE-LAWS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pursuant to a merger effective the Merger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Bermuda office</w:t>
      </w:r>
    </w:p>
    <w:p>
      <w:pPr>
        <w:spacing w:after="0" w:line="230" w:lineRule="auto"/>
        <w:rPr>
          <w:sz w:val="20"/>
          <w:szCs w:val="20"/>
          <w:color w:val="auto"/>
        </w:rPr>
      </w:pPr>
      <w:r>
        <w:rPr>
          <w:rFonts w:ascii="Arial" w:cs="Arial" w:eastAsia="Arial" w:hAnsi="Arial"/>
          <w:sz w:val="22"/>
          <w:szCs w:val="22"/>
          <w:color w:val="auto"/>
        </w:rPr>
        <w:t>Canon's Court</w:t>
      </w:r>
    </w:p>
    <w:p>
      <w:pPr>
        <w:spacing w:after="0" w:line="231" w:lineRule="auto"/>
        <w:rPr>
          <w:sz w:val="20"/>
          <w:szCs w:val="20"/>
          <w:color w:val="auto"/>
        </w:rPr>
      </w:pPr>
      <w:r>
        <w:rPr>
          <w:rFonts w:ascii="Arial" w:cs="Arial" w:eastAsia="Arial" w:hAnsi="Arial"/>
          <w:sz w:val="22"/>
          <w:szCs w:val="22"/>
          <w:color w:val="auto"/>
        </w:rPr>
        <w:t>22 Victoria Street</w:t>
      </w:r>
    </w:p>
    <w:p>
      <w:pPr>
        <w:spacing w:after="0" w:line="230" w:lineRule="auto"/>
        <w:rPr>
          <w:sz w:val="20"/>
          <w:szCs w:val="20"/>
          <w:color w:val="auto"/>
        </w:rPr>
      </w:pPr>
      <w:r>
        <w:rPr>
          <w:rFonts w:ascii="Arial" w:cs="Arial" w:eastAsia="Arial" w:hAnsi="Arial"/>
          <w:sz w:val="22"/>
          <w:szCs w:val="22"/>
          <w:color w:val="auto"/>
        </w:rPr>
        <w:t>PO Box HM 1179</w:t>
      </w:r>
    </w:p>
    <w:p>
      <w:pPr>
        <w:spacing w:after="0" w:line="231" w:lineRule="auto"/>
        <w:rPr>
          <w:sz w:val="20"/>
          <w:szCs w:val="20"/>
          <w:color w:val="auto"/>
        </w:rPr>
      </w:pPr>
      <w:r>
        <w:rPr>
          <w:rFonts w:ascii="Arial" w:cs="Arial" w:eastAsia="Arial" w:hAnsi="Arial"/>
          <w:sz w:val="22"/>
          <w:szCs w:val="22"/>
          <w:color w:val="auto"/>
        </w:rPr>
        <w:t>Hamilton HM EX</w:t>
      </w:r>
    </w:p>
    <w:p>
      <w:pPr>
        <w:spacing w:after="0"/>
        <w:rPr>
          <w:sz w:val="20"/>
          <w:szCs w:val="20"/>
          <w:color w:val="auto"/>
        </w:rPr>
      </w:pPr>
      <w:r>
        <w:rPr>
          <w:rFonts w:ascii="Arial" w:cs="Arial" w:eastAsia="Arial" w:hAnsi="Arial"/>
          <w:sz w:val="22"/>
          <w:szCs w:val="22"/>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4060" w:type="dxa"/>
            <w:vAlign w:val="bottom"/>
          </w:tcPr>
          <w:p>
            <w:pPr>
              <w:spacing w:after="0"/>
              <w:rPr>
                <w:sz w:val="20"/>
                <w:szCs w:val="20"/>
                <w:color w:val="auto"/>
              </w:rPr>
            </w:pPr>
          </w:p>
        </w:tc>
      </w:tr>
      <w:tr>
        <w:trPr>
          <w:trHeight w:val="405"/>
        </w:trPr>
        <w:tc>
          <w:tcPr>
            <w:tcW w:w="7180" w:type="dxa"/>
            <w:vAlign w:val="bottom"/>
          </w:tcPr>
          <w:p>
            <w:pPr>
              <w:spacing w:after="0"/>
              <w:rPr>
                <w:sz w:val="20"/>
                <w:szCs w:val="20"/>
                <w:color w:val="auto"/>
              </w:rPr>
            </w:pPr>
            <w:r>
              <w:rPr>
                <w:rFonts w:ascii="Arial" w:cs="Arial" w:eastAsia="Arial" w:hAnsi="Arial"/>
                <w:sz w:val="18"/>
                <w:szCs w:val="18"/>
                <w:b w:val="1"/>
                <w:bCs w:val="1"/>
                <w:color w:val="auto"/>
              </w:rPr>
              <w:t>Bye-Law</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Interpretation</w:t>
            </w:r>
          </w:p>
        </w:tc>
        <w:tc>
          <w:tcPr>
            <w:tcW w:w="4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General Meetings</w:t>
            </w:r>
          </w:p>
        </w:tc>
        <w:tc>
          <w:tcPr>
            <w:tcW w:w="4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Proceedings at General Meetings</w:t>
            </w:r>
          </w:p>
        </w:tc>
        <w:tc>
          <w:tcPr>
            <w:tcW w:w="4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Voting</w:t>
            </w:r>
          </w:p>
        </w:tc>
        <w:tc>
          <w:tcPr>
            <w:tcW w:w="4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Proxies and Corporate Representatives</w:t>
            </w:r>
          </w:p>
        </w:tc>
        <w:tc>
          <w:tcPr>
            <w:tcW w:w="4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Written Resolutions of Shareholders</w:t>
            </w:r>
          </w:p>
        </w:tc>
        <w:tc>
          <w:tcPr>
            <w:tcW w:w="4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Appointment and Removal of Directors</w:t>
            </w:r>
          </w:p>
        </w:tc>
        <w:tc>
          <w:tcPr>
            <w:tcW w:w="4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Register of Directors and Officers</w:t>
            </w:r>
          </w:p>
        </w:tc>
        <w:tc>
          <w:tcPr>
            <w:tcW w:w="4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Resignation and Disqualification of Directors</w:t>
            </w:r>
          </w:p>
        </w:tc>
        <w:tc>
          <w:tcPr>
            <w:tcW w:w="4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Alternate Directors</w:t>
            </w:r>
          </w:p>
        </w:tc>
        <w:tc>
          <w:tcPr>
            <w:tcW w:w="4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4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Directors’ Interests</w:t>
            </w:r>
          </w:p>
        </w:tc>
        <w:tc>
          <w:tcPr>
            <w:tcW w:w="4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Powers and Duties of the Board</w:t>
            </w:r>
          </w:p>
        </w:tc>
        <w:tc>
          <w:tcPr>
            <w:tcW w:w="4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Delegation of the Board’s Powers</w:t>
            </w:r>
          </w:p>
        </w:tc>
        <w:tc>
          <w:tcPr>
            <w:tcW w:w="4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Proceedings of the Board</w:t>
            </w:r>
          </w:p>
        </w:tc>
        <w:tc>
          <w:tcPr>
            <w:tcW w:w="4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Officers</w:t>
            </w:r>
          </w:p>
        </w:tc>
        <w:tc>
          <w:tcPr>
            <w:tcW w:w="4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Secretary and Resident Representative</w:t>
            </w:r>
          </w:p>
        </w:tc>
        <w:tc>
          <w:tcPr>
            <w:tcW w:w="4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Shares and Share Rights</w:t>
            </w:r>
          </w:p>
        </w:tc>
        <w:tc>
          <w:tcPr>
            <w:tcW w:w="4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Issue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Purchase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Variation of Share Rights</w:t>
            </w:r>
          </w:p>
        </w:tc>
        <w:tc>
          <w:tcPr>
            <w:tcW w:w="4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Share Certificates</w:t>
            </w:r>
          </w:p>
        </w:tc>
        <w:tc>
          <w:tcPr>
            <w:tcW w:w="4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Non-Recognition of Trusts</w:t>
            </w:r>
          </w:p>
        </w:tc>
        <w:tc>
          <w:tcPr>
            <w:tcW w:w="4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Lien</w:t>
            </w:r>
          </w:p>
        </w:tc>
        <w:tc>
          <w:tcPr>
            <w:tcW w:w="4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Calls on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Forfeiture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Register of Shareholders</w:t>
            </w:r>
          </w:p>
        </w:tc>
        <w:tc>
          <w:tcPr>
            <w:tcW w:w="4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Transfer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Transmission of Shares</w:t>
            </w:r>
          </w:p>
        </w:tc>
        <w:tc>
          <w:tcPr>
            <w:tcW w:w="4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Increase of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Alteration of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Reduction of Capital</w:t>
            </w:r>
          </w:p>
        </w:tc>
        <w:tc>
          <w:tcPr>
            <w:tcW w:w="4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Dividends and Other Payments</w:t>
            </w:r>
          </w:p>
        </w:tc>
        <w:tc>
          <w:tcPr>
            <w:tcW w:w="4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05"/>
        </w:trPr>
        <w:tc>
          <w:tcPr>
            <w:tcW w:w="7180" w:type="dxa"/>
            <w:vAlign w:val="bottom"/>
          </w:tcPr>
          <w:p>
            <w:pPr>
              <w:spacing w:after="0"/>
              <w:rPr>
                <w:sz w:val="20"/>
                <w:szCs w:val="20"/>
                <w:color w:val="auto"/>
              </w:rPr>
            </w:pPr>
            <w:r>
              <w:rPr>
                <w:rFonts w:ascii="Arial" w:cs="Arial" w:eastAsia="Arial" w:hAnsi="Arial"/>
                <w:sz w:val="18"/>
                <w:szCs w:val="18"/>
                <w:color w:val="auto"/>
              </w:rPr>
              <w:t>Reserves</w:t>
            </w:r>
          </w:p>
        </w:tc>
        <w:tc>
          <w:tcPr>
            <w:tcW w:w="4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69"/>
        </w:trPr>
        <w:tc>
          <w:tcPr>
            <w:tcW w:w="7180" w:type="dxa"/>
            <w:vAlign w:val="bottom"/>
            <w:tcBorders>
              <w:bottom w:val="single" w:sz="8" w:color="BFBFBF"/>
            </w:tcBorders>
          </w:tcPr>
          <w:p>
            <w:pPr>
              <w:spacing w:after="0"/>
              <w:rPr>
                <w:sz w:val="14"/>
                <w:szCs w:val="14"/>
                <w:color w:val="auto"/>
              </w:rPr>
            </w:pPr>
          </w:p>
        </w:tc>
        <w:tc>
          <w:tcPr>
            <w:tcW w:w="4060" w:type="dxa"/>
            <w:vAlign w:val="bottom"/>
            <w:tcBorders>
              <w:bottom w:val="single" w:sz="8" w:color="BFBFBF"/>
            </w:tcBorders>
          </w:tcPr>
          <w:p>
            <w:pPr>
              <w:spacing w:after="0"/>
              <w:rPr>
                <w:sz w:val="14"/>
                <w:szCs w:val="14"/>
                <w:color w:val="auto"/>
              </w:rPr>
            </w:pPr>
          </w:p>
        </w:tc>
      </w:tr>
    </w:tbl>
    <w:p>
      <w:pPr>
        <w:sectPr>
          <w:pgSz w:w="11900" w:h="16838" w:orient="portrait"/>
          <w:cols w:equalWidth="0" w:num="1">
            <w:col w:w="11240"/>
          </w:cols>
          <w:pgMar w:left="320" w:top="118" w:right="339" w:bottom="1149"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Capitalisation of Profits</w:t>
            </w:r>
          </w:p>
        </w:tc>
        <w:tc>
          <w:tcPr>
            <w:tcW w:w="4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Record Date</w:t>
            </w:r>
          </w:p>
        </w:tc>
        <w:tc>
          <w:tcPr>
            <w:tcW w:w="4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Accounting Records and Tax Matters</w:t>
            </w:r>
          </w:p>
        </w:tc>
        <w:tc>
          <w:tcPr>
            <w:tcW w:w="4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Service of Notices and Documents</w:t>
            </w:r>
          </w:p>
        </w:tc>
        <w:tc>
          <w:tcPr>
            <w:tcW w:w="4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Indemnity, Insurance, and Liability</w:t>
            </w:r>
          </w:p>
        </w:tc>
        <w:tc>
          <w:tcPr>
            <w:tcW w:w="4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Continuation</w:t>
            </w:r>
          </w:p>
        </w:tc>
        <w:tc>
          <w:tcPr>
            <w:tcW w:w="4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Precedence</w:t>
            </w:r>
          </w:p>
        </w:tc>
        <w:tc>
          <w:tcPr>
            <w:tcW w:w="4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Alteration of Bye-Laws</w:t>
            </w:r>
          </w:p>
        </w:tc>
        <w:tc>
          <w:tcPr>
            <w:tcW w:w="4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SCHEDULE 1</w:t>
            </w:r>
          </w:p>
        </w:tc>
        <w:tc>
          <w:tcPr>
            <w:tcW w:w="4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Existing Shareholders</w:t>
            </w:r>
          </w:p>
        </w:tc>
        <w:tc>
          <w:tcPr>
            <w:tcW w:w="4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05"/>
        </w:trPr>
        <w:tc>
          <w:tcPr>
            <w:tcW w:w="7000" w:type="dxa"/>
            <w:vAlign w:val="bottom"/>
          </w:tcPr>
          <w:p>
            <w:pPr>
              <w:spacing w:after="0"/>
              <w:rPr>
                <w:sz w:val="20"/>
                <w:szCs w:val="20"/>
                <w:color w:val="auto"/>
              </w:rPr>
            </w:pPr>
            <w:r>
              <w:rPr>
                <w:rFonts w:ascii="Arial" w:cs="Arial" w:eastAsia="Arial" w:hAnsi="Arial"/>
                <w:sz w:val="18"/>
                <w:szCs w:val="18"/>
                <w:color w:val="auto"/>
              </w:rPr>
              <w:t>SCHEDULE 2</w:t>
            </w:r>
          </w:p>
        </w:tc>
        <w:tc>
          <w:tcPr>
            <w:tcW w:w="4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655"/>
        </w:trPr>
        <w:tc>
          <w:tcPr>
            <w:tcW w:w="7000" w:type="dxa"/>
            <w:vAlign w:val="bottom"/>
            <w:tcBorders>
              <w:bottom w:val="single" w:sz="8" w:color="BFBFBF"/>
            </w:tcBorders>
          </w:tcPr>
          <w:p>
            <w:pPr>
              <w:spacing w:after="0"/>
              <w:rPr>
                <w:sz w:val="24"/>
                <w:szCs w:val="24"/>
                <w:color w:val="auto"/>
              </w:rPr>
            </w:pPr>
          </w:p>
        </w:tc>
        <w:tc>
          <w:tcPr>
            <w:tcW w:w="424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82"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BYE-LAWS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pursuant to a merger effective the Merger Effective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INTERPRETATION</w:t>
      </w:r>
    </w:p>
    <w:p>
      <w:pPr>
        <w:spacing w:after="0" w:line="265"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these Bye-Laws, the following terms shall have the following meanings unless the context otherwise requires: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Action</w:t>
      </w:r>
      <w:r>
        <w:rPr>
          <w:rFonts w:ascii="Arial" w:cs="Arial" w:eastAsia="Arial" w:hAnsi="Arial"/>
          <w:sz w:val="22"/>
          <w:szCs w:val="22"/>
          <w:color w:val="auto"/>
        </w:rPr>
        <w:t>: any legal or administrative proceeding, suit, investigation, arbitration or action;</w:t>
      </w:r>
    </w:p>
    <w:p>
      <w:pPr>
        <w:spacing w:after="0" w:line="23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b w:val="1"/>
          <w:bCs w:val="1"/>
          <w:color w:val="auto"/>
        </w:rPr>
        <w:t>Affiliate</w:t>
      </w:r>
      <w:r>
        <w:rPr>
          <w:rFonts w:ascii="Arial" w:cs="Arial" w:eastAsia="Arial" w:hAnsi="Arial"/>
          <w:sz w:val="22"/>
          <w:szCs w:val="22"/>
          <w:color w:val="auto"/>
        </w:rPr>
        <w:t>: as to any person, any other person that, directly or indirectly, controls, or is controlled by, or is under</w:t>
      </w:r>
      <w:r>
        <w:rPr>
          <w:rFonts w:ascii="Arial" w:cs="Arial" w:eastAsia="Arial" w:hAnsi="Arial"/>
          <w:sz w:val="22"/>
          <w:szCs w:val="22"/>
          <w:b w:val="1"/>
          <w:bCs w:val="1"/>
          <w:color w:val="auto"/>
        </w:rPr>
        <w:t xml:space="preserve"> </w:t>
      </w:r>
      <w:r>
        <w:rPr>
          <w:rFonts w:ascii="Arial" w:cs="Arial" w:eastAsia="Arial" w:hAnsi="Arial"/>
          <w:sz w:val="22"/>
          <w:szCs w:val="22"/>
          <w:color w:val="auto"/>
        </w:rPr>
        <w:t>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04"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b w:val="1"/>
          <w:bCs w:val="1"/>
          <w:color w:val="auto"/>
        </w:rPr>
        <w:t xml:space="preserve">Affiliated Fund: </w:t>
      </w:r>
      <w:r>
        <w:rPr>
          <w:rFonts w:ascii="Arial" w:cs="Arial" w:eastAsia="Arial" w:hAnsi="Arial"/>
          <w:sz w:val="22"/>
          <w:szCs w:val="22"/>
          <w:color w:val="auto"/>
        </w:rPr>
        <w:t>with respect to any specified person, any Fund or co-investment vehicle that is an Affiliate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person or that is advised by the same investment advisor as such person or by an Affiliate of such investment advisor or such person;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Auditor</w:t>
      </w:r>
      <w:r>
        <w:rPr>
          <w:rFonts w:ascii="Arial" w:cs="Arial" w:eastAsia="Arial" w:hAnsi="Arial"/>
          <w:sz w:val="22"/>
          <w:szCs w:val="22"/>
          <w:color w:val="auto"/>
        </w:rPr>
        <w:t>: the auditors for the time being of the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BHL</w:t>
      </w:r>
      <w:r>
        <w:rPr>
          <w:rFonts w:ascii="Arial" w:cs="Arial" w:eastAsia="Arial" w:hAnsi="Arial"/>
          <w:sz w:val="22"/>
          <w:szCs w:val="22"/>
          <w:color w:val="auto"/>
        </w:rPr>
        <w:t>: Blenheim Holdings Ltd.</w:t>
      </w:r>
    </w:p>
    <w:p>
      <w:pPr>
        <w:spacing w:after="0" w:line="233"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b w:val="1"/>
          <w:bCs w:val="1"/>
          <w:color w:val="auto"/>
        </w:rPr>
        <w:t>Board</w:t>
      </w:r>
      <w:r>
        <w:rPr>
          <w:rFonts w:ascii="Arial" w:cs="Arial" w:eastAsia="Arial" w:hAnsi="Arial"/>
          <w:sz w:val="22"/>
          <w:szCs w:val="22"/>
          <w:color w:val="auto"/>
        </w:rPr>
        <w:t>: the Directors of the Company appointed or elected pursuant to the Shareholders’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acting by resolution as provided for in the Companies Acts and in accordance with the Shareholders’ Agreement or the Directors present at a meeting of Directors at which there is a quorum;</w:t>
      </w:r>
    </w:p>
    <w:p>
      <w:pPr>
        <w:spacing w:after="0" w:line="197"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22"/>
          <w:szCs w:val="22"/>
          <w:b w:val="1"/>
          <w:bCs w:val="1"/>
          <w:color w:val="auto"/>
        </w:rPr>
        <w:t>business day</w:t>
      </w:r>
      <w:r>
        <w:rPr>
          <w:rFonts w:ascii="Arial" w:cs="Arial" w:eastAsia="Arial" w:hAnsi="Arial"/>
          <w:sz w:val="22"/>
          <w:szCs w:val="22"/>
          <w:color w:val="auto"/>
        </w:rPr>
        <w:t>: a day except a Saturday, a Sunday or other day on which banks in the City of New York or</w:t>
      </w:r>
      <w:r>
        <w:rPr>
          <w:rFonts w:ascii="Arial" w:cs="Arial" w:eastAsia="Arial" w:hAnsi="Arial"/>
          <w:sz w:val="22"/>
          <w:szCs w:val="22"/>
          <w:b w:val="1"/>
          <w:bCs w:val="1"/>
          <w:color w:val="auto"/>
        </w:rPr>
        <w:t xml:space="preserve"> </w:t>
      </w:r>
      <w:r>
        <w:rPr>
          <w:rFonts w:ascii="Arial" w:cs="Arial" w:eastAsia="Arial" w:hAnsi="Arial"/>
          <w:sz w:val="22"/>
          <w:szCs w:val="22"/>
          <w:color w:val="auto"/>
        </w:rPr>
        <w:t>Bermuda are authorized or required by law to be closed;</w:t>
      </w:r>
    </w:p>
    <w:p>
      <w:pPr>
        <w:spacing w:after="0" w:line="179"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b w:val="1"/>
          <w:bCs w:val="1"/>
          <w:color w:val="auto"/>
        </w:rPr>
        <w:t xml:space="preserve">Certificate of Designation of Series A Preference Shares: </w:t>
      </w:r>
      <w:r>
        <w:rPr>
          <w:rFonts w:ascii="Arial" w:cs="Arial" w:eastAsia="Arial" w:hAnsi="Arial"/>
          <w:sz w:val="22"/>
          <w:szCs w:val="22"/>
          <w:color w:val="auto"/>
        </w:rPr>
        <w:t>the certificate attached as Schedule 2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Bye-laws;</w:t>
      </w:r>
    </w:p>
    <w:p>
      <w:pPr>
        <w:spacing w:after="0" w:line="179"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b w:val="1"/>
          <w:bCs w:val="1"/>
          <w:color w:val="auto"/>
        </w:rPr>
        <w:t>Common Shares</w:t>
      </w:r>
      <w:r>
        <w:rPr>
          <w:rFonts w:ascii="Arial" w:cs="Arial" w:eastAsia="Arial" w:hAnsi="Arial"/>
          <w:sz w:val="22"/>
          <w:szCs w:val="22"/>
          <w:color w:val="auto"/>
        </w:rPr>
        <w:t>: the class of Shares par value US$0.01 each designated as “Common Shares” in the share</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of the Company;</w:t>
      </w:r>
    </w:p>
    <w:p>
      <w:pPr>
        <w:spacing w:after="0" w:line="179" w:lineRule="exact"/>
        <w:rPr>
          <w:sz w:val="20"/>
          <w:szCs w:val="20"/>
          <w:color w:val="auto"/>
        </w:rPr>
      </w:pPr>
    </w:p>
    <w:p>
      <w:pPr>
        <w:jc w:val="both"/>
        <w:ind w:left="660"/>
        <w:spacing w:after="0" w:line="261" w:lineRule="auto"/>
        <w:rPr>
          <w:sz w:val="20"/>
          <w:szCs w:val="20"/>
          <w:color w:val="auto"/>
        </w:rPr>
      </w:pPr>
      <w:r>
        <w:rPr>
          <w:rFonts w:ascii="Arial" w:cs="Arial" w:eastAsia="Arial" w:hAnsi="Arial"/>
          <w:sz w:val="22"/>
          <w:szCs w:val="22"/>
          <w:b w:val="1"/>
          <w:bCs w:val="1"/>
          <w:color w:val="auto"/>
        </w:rPr>
        <w:t>Companies Acts</w:t>
      </w:r>
      <w:r>
        <w:rPr>
          <w:rFonts w:ascii="Arial" w:cs="Arial" w:eastAsia="Arial" w:hAnsi="Arial"/>
          <w:sz w:val="22"/>
          <w:szCs w:val="22"/>
          <w:color w:val="auto"/>
        </w:rPr>
        <w:t>: every Bermuda statute from time to time in force insofar as the same applies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1" w:name="page102"/>
    <w:bookmarkEnd w:id="101"/>
    <w:p>
      <w:pPr>
        <w:jc w:val="both"/>
        <w:spacing w:after="0" w:line="261" w:lineRule="auto"/>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 the above named company, being the surviving company consequent upon the merger of GasLog</w:t>
      </w:r>
      <w:r>
        <w:rPr>
          <w:rFonts w:ascii="Arial" w:cs="Arial" w:eastAsia="Arial" w:hAnsi="Arial"/>
          <w:sz w:val="22"/>
          <w:szCs w:val="22"/>
          <w:b w:val="1"/>
          <w:bCs w:val="1"/>
          <w:color w:val="auto"/>
        </w:rPr>
        <w:t xml:space="preserve"> </w:t>
      </w:r>
      <w:r>
        <w:rPr>
          <w:rFonts w:ascii="Arial" w:cs="Arial" w:eastAsia="Arial" w:hAnsi="Arial"/>
          <w:sz w:val="22"/>
          <w:szCs w:val="22"/>
          <w:color w:val="auto"/>
        </w:rPr>
        <w:t>Ltd. and GEPIF III Crown MergerCo Limited on the Merger Effective Date;</w:t>
      </w:r>
    </w:p>
    <w:p>
      <w:pPr>
        <w:spacing w:after="0" w:line="179"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Directors</w:t>
      </w:r>
      <w:r>
        <w:rPr>
          <w:rFonts w:ascii="Arial" w:cs="Arial" w:eastAsia="Arial" w:hAnsi="Arial"/>
          <w:sz w:val="22"/>
          <w:szCs w:val="22"/>
          <w:color w:val="auto"/>
        </w:rPr>
        <w:t>: any person duly elected or appointed as a director of the Company, or alternate director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person occupying the position of director of the Company by whatever name called;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Record</w:t>
      </w:r>
      <w:r>
        <w:rPr>
          <w:rFonts w:ascii="Arial" w:cs="Arial" w:eastAsia="Arial" w:hAnsi="Arial"/>
          <w:sz w:val="22"/>
          <w:szCs w:val="22"/>
          <w:color w:val="auto"/>
        </w:rPr>
        <w:t>: has the same meaning as in the Electronic Transactions Act 1999;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Existing Shareholders</w:t>
      </w:r>
      <w:r>
        <w:rPr>
          <w:rFonts w:ascii="Arial" w:cs="Arial" w:eastAsia="Arial" w:hAnsi="Arial"/>
          <w:sz w:val="22"/>
          <w:szCs w:val="22"/>
          <w:color w:val="auto"/>
        </w:rPr>
        <w:t>: each of the existing Shareholders of the Company listed on Schedule 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w:t>
      </w:r>
      <w:r>
        <w:rPr>
          <w:rFonts w:ascii="Arial" w:cs="Arial" w:eastAsia="Arial" w:hAnsi="Arial"/>
          <w:sz w:val="22"/>
          <w:szCs w:val="22"/>
          <w:color w:val="auto"/>
        </w:rPr>
        <w:t>: a private equity, infrastructure or other investment fund (including a co-invest vehicle);</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Governmental Authority</w:t>
      </w:r>
      <w:r>
        <w:rPr>
          <w:rFonts w:ascii="Arial" w:cs="Arial" w:eastAsia="Arial" w:hAnsi="Arial"/>
          <w:sz w:val="22"/>
          <w:szCs w:val="22"/>
          <w:color w:val="auto"/>
        </w:rPr>
        <w:t>: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Indemnified person</w:t>
      </w:r>
      <w:r>
        <w:rPr>
          <w:rFonts w:ascii="Arial" w:cs="Arial" w:eastAsia="Arial" w:hAnsi="Arial"/>
          <w:sz w:val="22"/>
          <w:szCs w:val="22"/>
          <w:color w:val="auto"/>
        </w:rPr>
        <w:t>: any Director, Officer, Resident Representative, member of a committee duly constituted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these Bye-Laws and any liquidator, manager or trustee for the time being acting in relation to the affairs of the Company (including anyone previously acting in such capacity), and his heirs, executors and administrators, personal representatives or successors or assigns;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Initial Public Offering</w:t>
      </w:r>
      <w:r>
        <w:rPr>
          <w:rFonts w:ascii="Arial" w:cs="Arial" w:eastAsia="Arial" w:hAnsi="Arial"/>
          <w:sz w:val="22"/>
          <w:szCs w:val="22"/>
          <w:color w:val="auto"/>
        </w:rPr>
        <w:t>: any offering of Shares pursuant to a registration statement filed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Act after the Merger Effective Date;</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Merger Effective Date</w:t>
      </w:r>
      <w:r>
        <w:rPr>
          <w:rFonts w:ascii="Arial" w:cs="Arial" w:eastAsia="Arial" w:hAnsi="Arial"/>
          <w:sz w:val="22"/>
          <w:szCs w:val="22"/>
          <w:color w:val="auto"/>
        </w:rPr>
        <w:t>: the effective date listed in the Certificate of Merger issued by the Bermuda Registrar</w:t>
      </w:r>
      <w:r>
        <w:rPr>
          <w:rFonts w:ascii="Arial" w:cs="Arial" w:eastAsia="Arial" w:hAnsi="Arial"/>
          <w:sz w:val="22"/>
          <w:szCs w:val="22"/>
          <w:b w:val="1"/>
          <w:bCs w:val="1"/>
          <w:color w:val="auto"/>
        </w:rPr>
        <w:t xml:space="preserve"> </w:t>
      </w:r>
      <w:r>
        <w:rPr>
          <w:rFonts w:ascii="Arial" w:cs="Arial" w:eastAsia="Arial" w:hAnsi="Arial"/>
          <w:sz w:val="22"/>
          <w:szCs w:val="22"/>
          <w:color w:val="auto"/>
        </w:rPr>
        <w:t>of Companies in respect of the merger of Gaslog Ltd. and GEPIF III Crown MergerCo Limited;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Investor</w:t>
      </w:r>
      <w:r>
        <w:rPr>
          <w:rFonts w:ascii="Arial" w:cs="Arial" w:eastAsia="Arial" w:hAnsi="Arial"/>
          <w:sz w:val="22"/>
          <w:szCs w:val="22"/>
          <w:color w:val="auto"/>
        </w:rPr>
        <w:t>: GEPIF III Crown Bidco L.P.;</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Officer</w:t>
      </w:r>
      <w:r>
        <w:rPr>
          <w:rFonts w:ascii="Arial" w:cs="Arial" w:eastAsia="Arial" w:hAnsi="Arial"/>
          <w:sz w:val="22"/>
          <w:szCs w:val="22"/>
          <w:color w:val="auto"/>
        </w:rPr>
        <w:t>: a person appointed by the Board pursuant to these Bye-Laws and the Shareholders’ Agreement but</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include the Auditor;</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Register</w:t>
      </w:r>
      <w:r>
        <w:rPr>
          <w:rFonts w:ascii="Arial" w:cs="Arial" w:eastAsia="Arial" w:hAnsi="Arial"/>
          <w:sz w:val="22"/>
          <w:szCs w:val="22"/>
          <w:color w:val="auto"/>
        </w:rPr>
        <w:t>: the register of Shareholders to be kept in accordance with the Companies Acts maintained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 Bermuda;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Registered Office</w:t>
      </w:r>
      <w:r>
        <w:rPr>
          <w:rFonts w:ascii="Arial" w:cs="Arial" w:eastAsia="Arial" w:hAnsi="Arial"/>
          <w:sz w:val="22"/>
          <w:szCs w:val="22"/>
          <w:color w:val="auto"/>
        </w:rPr>
        <w:t>: the registered office for the time being of the Company in Bermuda;</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Reserved Matters: </w:t>
      </w:r>
      <w:r>
        <w:rPr>
          <w:rFonts w:ascii="Arial" w:cs="Arial" w:eastAsia="Arial" w:hAnsi="Arial"/>
          <w:sz w:val="22"/>
          <w:szCs w:val="22"/>
          <w:color w:val="auto"/>
        </w:rPr>
        <w:t>the actions of the Company requiring the consent of the New Investor and BHL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Annex A to the Shareholders’ Agreement;</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93" w:right="339" w:bottom="1440" w:gutter="0" w:footer="0" w:header="0"/>
        </w:sectPr>
      </w:pPr>
    </w:p>
    <w:bookmarkStart w:id="102" w:name="page103"/>
    <w:bookmarkEnd w:id="102"/>
    <w:p>
      <w:pPr>
        <w:jc w:val="both"/>
        <w:spacing w:after="0" w:line="245" w:lineRule="auto"/>
        <w:rPr>
          <w:sz w:val="20"/>
          <w:szCs w:val="20"/>
          <w:color w:val="auto"/>
        </w:rPr>
      </w:pPr>
      <w:r>
        <w:rPr>
          <w:rFonts w:ascii="Arial" w:cs="Arial" w:eastAsia="Arial" w:hAnsi="Arial"/>
          <w:sz w:val="22"/>
          <w:szCs w:val="22"/>
          <w:b w:val="1"/>
          <w:bCs w:val="1"/>
          <w:color w:val="auto"/>
        </w:rPr>
        <w:t>Resident Representative</w:t>
      </w:r>
      <w:r>
        <w:rPr>
          <w:rFonts w:ascii="Arial" w:cs="Arial" w:eastAsia="Arial" w:hAnsi="Arial"/>
          <w:sz w:val="22"/>
          <w:szCs w:val="22"/>
          <w:color w:val="auto"/>
        </w:rPr>
        <w:t>: (if any) the individual or the company appointed to perform the duties of resident</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set out in the Companies Acts and includes any assistant or deputy Resident Representative appointed by the Board to perform any of the duties of the Resident Representative;</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Resolution</w:t>
      </w:r>
      <w:r>
        <w:rPr>
          <w:rFonts w:ascii="Arial" w:cs="Arial" w:eastAsia="Arial" w:hAnsi="Arial"/>
          <w:sz w:val="22"/>
          <w:szCs w:val="22"/>
          <w:color w:val="auto"/>
        </w:rPr>
        <w:t>: a resolution of a general meeting passed by a majority of the Shareholders entitled to vote</w:t>
      </w:r>
      <w:r>
        <w:rPr>
          <w:rFonts w:ascii="Arial" w:cs="Arial" w:eastAsia="Arial" w:hAnsi="Arial"/>
          <w:sz w:val="22"/>
          <w:szCs w:val="22"/>
          <w:b w:val="1"/>
          <w:bCs w:val="1"/>
          <w:color w:val="auto"/>
        </w:rPr>
        <w:t xml:space="preserve"> </w:t>
      </w:r>
      <w:r>
        <w:rPr>
          <w:rFonts w:ascii="Arial" w:cs="Arial" w:eastAsia="Arial" w:hAnsi="Arial"/>
          <w:sz w:val="22"/>
          <w:szCs w:val="22"/>
          <w:color w:val="auto"/>
        </w:rPr>
        <w:t>present in person or by proxy at the meeting, or a written resolution adopted by all the Shareholders in accordance with the Companies Acts and these Bye-laws;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Seal</w:t>
      </w:r>
      <w:r>
        <w:rPr>
          <w:rFonts w:ascii="Arial" w:cs="Arial" w:eastAsia="Arial" w:hAnsi="Arial"/>
          <w:sz w:val="22"/>
          <w:szCs w:val="22"/>
          <w:color w:val="auto"/>
        </w:rPr>
        <w:t>: the common seal of the Company (if any) and includes every authorised duplicate seal;</w:t>
      </w:r>
    </w:p>
    <w:p>
      <w:pPr>
        <w:spacing w:after="0" w:line="23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Secretary</w:t>
      </w:r>
      <w:r>
        <w:rPr>
          <w:rFonts w:ascii="Arial" w:cs="Arial" w:eastAsia="Arial" w:hAnsi="Arial"/>
          <w:sz w:val="22"/>
          <w:szCs w:val="22"/>
          <w:color w:val="auto"/>
        </w:rPr>
        <w:t>: the secretary for the time being of the Company and any person appointed to perform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duties of the secretary;</w:t>
      </w:r>
    </w:p>
    <w:p>
      <w:pPr>
        <w:spacing w:after="0" w:line="179"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Securities Act</w:t>
      </w:r>
      <w:r>
        <w:rPr>
          <w:rFonts w:ascii="Arial" w:cs="Arial" w:eastAsia="Arial" w:hAnsi="Arial"/>
          <w:sz w:val="22"/>
          <w:szCs w:val="22"/>
          <w:color w:val="auto"/>
        </w:rPr>
        <w:t>: the Securities Act of 1933 of the United States and the rules and regulations promulgated</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Series A Preference Shares: </w:t>
      </w:r>
      <w:r>
        <w:rPr>
          <w:rFonts w:ascii="Arial" w:cs="Arial" w:eastAsia="Arial" w:hAnsi="Arial"/>
          <w:sz w:val="22"/>
          <w:szCs w:val="22"/>
          <w:color w:val="auto"/>
        </w:rPr>
        <w:t>the series of 8.75% Series A Preference Shares or par value US$0.01 each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 capital of the Company, having attached to it the rights, qualifications, limitations and restrictions as set out in the Certificate of Designation of Series A Preference Shares;</w:t>
      </w:r>
    </w:p>
    <w:p>
      <w:pPr>
        <w:spacing w:after="0" w:line="197"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Share</w:t>
      </w:r>
      <w:r>
        <w:rPr>
          <w:rFonts w:ascii="Arial" w:cs="Arial" w:eastAsia="Arial" w:hAnsi="Arial"/>
          <w:sz w:val="22"/>
          <w:szCs w:val="22"/>
          <w:color w:val="auto"/>
        </w:rPr>
        <w:t>: a share in the capital of the Company and includes stock, treasury shares and a fraction of a</w:t>
      </w:r>
      <w:r>
        <w:rPr>
          <w:rFonts w:ascii="Arial" w:cs="Arial" w:eastAsia="Arial" w:hAnsi="Arial"/>
          <w:sz w:val="22"/>
          <w:szCs w:val="22"/>
          <w:b w:val="1"/>
          <w:bCs w:val="1"/>
          <w:color w:val="auto"/>
        </w:rPr>
        <w:t xml:space="preserve"> </w:t>
      </w:r>
      <w:r>
        <w:rPr>
          <w:rFonts w:ascii="Arial" w:cs="Arial" w:eastAsia="Arial" w:hAnsi="Arial"/>
          <w:sz w:val="22"/>
          <w:szCs w:val="22"/>
          <w:color w:val="auto"/>
        </w:rPr>
        <w:t>share/stock;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w:t>
      </w:r>
      <w:r>
        <w:rPr>
          <w:rFonts w:ascii="Arial" w:cs="Arial" w:eastAsia="Arial" w:hAnsi="Arial"/>
          <w:sz w:val="22"/>
          <w:szCs w:val="22"/>
          <w:color w:val="auto"/>
        </w:rPr>
        <w:t>: has the same meaning as “member” in the Companies Acts;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Shareholders’ Agreement</w:t>
      </w:r>
      <w:r>
        <w:rPr>
          <w:rFonts w:ascii="Arial" w:cs="Arial" w:eastAsia="Arial" w:hAnsi="Arial"/>
          <w:sz w:val="22"/>
          <w:szCs w:val="22"/>
          <w:color w:val="auto"/>
        </w:rPr>
        <w:t>: the shareholders’ agreement dated the Merger Effective Date by and among the</w:t>
      </w:r>
      <w:r>
        <w:rPr>
          <w:rFonts w:ascii="Arial" w:cs="Arial" w:eastAsia="Arial" w:hAnsi="Arial"/>
          <w:sz w:val="22"/>
          <w:szCs w:val="22"/>
          <w:b w:val="1"/>
          <w:bCs w:val="1"/>
          <w:color w:val="auto"/>
        </w:rPr>
        <w:t xml:space="preserve"> </w:t>
      </w:r>
      <w:r>
        <w:rPr>
          <w:rFonts w:ascii="Arial" w:cs="Arial" w:eastAsia="Arial" w:hAnsi="Arial"/>
          <w:sz w:val="22"/>
          <w:szCs w:val="22"/>
          <w:color w:val="auto"/>
        </w:rPr>
        <w:t>New Investor, the Existing Shareholders, and the Company, as may be amended, restated, amended and restated, supplemented or otherwise modified in any way from time to time, and all annexures, schedules or addendums thereto;</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 Shareholder</w:t>
      </w:r>
      <w:r>
        <w:rPr>
          <w:rFonts w:ascii="Arial" w:cs="Arial" w:eastAsia="Arial" w:hAnsi="Arial"/>
          <w:sz w:val="22"/>
          <w:szCs w:val="22"/>
          <w:color w:val="auto"/>
        </w:rPr>
        <w:t>: a Shareholder party to the Shareholders’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these Bye-Laws</w:t>
      </w:r>
      <w:r>
        <w:rPr>
          <w:rFonts w:ascii="Arial" w:cs="Arial" w:eastAsia="Arial" w:hAnsi="Arial"/>
          <w:sz w:val="22"/>
          <w:szCs w:val="22"/>
          <w:color w:val="auto"/>
        </w:rPr>
        <w:t>: the bye-laws of the Company in their present form; and</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Transfer </w:t>
      </w:r>
      <w:r>
        <w:rPr>
          <w:rFonts w:ascii="Arial" w:cs="Arial" w:eastAsia="Arial" w:hAnsi="Arial"/>
          <w:sz w:val="22"/>
          <w:szCs w:val="22"/>
          <w:color w:val="auto"/>
        </w:rPr>
        <w:t>or</w:t>
      </w:r>
      <w:r>
        <w:rPr>
          <w:rFonts w:ascii="Arial" w:cs="Arial" w:eastAsia="Arial" w:hAnsi="Arial"/>
          <w:sz w:val="22"/>
          <w:szCs w:val="22"/>
          <w:b w:val="1"/>
          <w:bCs w:val="1"/>
          <w:color w:val="auto"/>
        </w:rPr>
        <w:t xml:space="preserve"> Transferred</w:t>
      </w:r>
      <w:r>
        <w:rPr>
          <w:rFonts w:ascii="Arial" w:cs="Arial" w:eastAsia="Arial" w:hAnsi="Arial"/>
          <w:sz w:val="22"/>
          <w:szCs w:val="22"/>
          <w:color w:val="auto"/>
        </w:rPr>
        <w:t>: (a) any direct or indirect transfer, sale, gift, assignment, exchange,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(whether voluntary or involuntary or by operation of law) of any Common Shares (or any interest (pecuniary or otherwise) therein or rights thereto) beneficially owned by any Shareholder, including pursuant to the creation of a derivative security or (b) in respect of any such Common Shares or interest therein, to enter into any swap or any other agreement, transaction or series of transactions that hedges or transfers, in whole or in part, directly or indirectly, the economic consequence of ownership of such Common Shares or interest, whether any such swap, agreement, transaction or series of transactions is to be settled by delivery of securities, in cash or otherwise. For the avoidance of doubt, a grant of or existence of a security interest or Lien over any Common Shares which is required by any bank or financial institution, and any enforcement of remedies in respect thereof, shall not be deemed to be a “Transfer” hereunder.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93" w:right="339" w:bottom="1440" w:gutter="0" w:footer="0" w:header="0"/>
        </w:sectPr>
      </w:pPr>
    </w:p>
    <w:bookmarkStart w:id="103" w:name="page104"/>
    <w:bookmarkEnd w:id="103"/>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 the purposes of these Bye-Laws, a corporation which is a Shareholder shall be deemed to be present in person at a general meeting if, in accordance with the Companies Acts, its authorised representative(s) is/are present.</w:t>
      </w:r>
    </w:p>
    <w:p>
      <w:pPr>
        <w:spacing w:after="0" w:line="224"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purposes of these Bye-Laws, a corporation which is a Director shall be deemed to be present in person at a meeting of the Board if a person authorised to attend on its behalf is present, and shall be deemed to discharge its duties and carry out any actions required under these Bye-Laws and the Companies Acts, including the signing and execution of documents, deeds and other instruments, if a person authorised to act on its behalf so acts.</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Words importing the singular number include the plural number and vice versa.</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Words importing the masculine gender include the feminine gender.</w:t>
      </w:r>
    </w:p>
    <w:p>
      <w:pPr>
        <w:spacing w:after="0" w:line="23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Words importing persons include any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230"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Any reference to writing includes all modes of representing or reproducing words in a visible form, including in the form of an Electronic Record.</w:t>
      </w:r>
    </w:p>
    <w:p>
      <w:pPr>
        <w:spacing w:after="0" w:line="224"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Unless the context otherwise requires, words and expressions defined in the Companies Acts bear the same meanings in these Bye-Laws.</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Headings are used for convenience only and shall not affect the construction of these Bye-Laws.</w:t>
      </w:r>
    </w:p>
    <w:p>
      <w:pPr>
        <w:spacing w:after="0" w:line="23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For the purposes of these Bye-Laws, the wording “subject to the Shareholders’ Agreement” (or similar phrases) shall mean “subject to, and accordance with the terms of, the Shareholders’ Agreement and subject to any Reserved Matters”.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MEETINGS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Save and to the extent that the Company elects to dispense with the holding of one or more of its annual general meetings in the manner permitted by the Companies Acts, the Board shall convene and the Company shall hold general meetings as annual general meetings in accordance with the requirements of the Companies Acts at such times and places as the Board shall appoint;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shall hold a meeting at least once per calendar quarter. The Board may, whenever it thinks fit, and shall, when required by the Companies Acts, convene general meetings other than annual general meetings which shall be called special general meetings.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NOTICE OF GENERAL MEETINGS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bye-laws 138 to 141 inclusive, at least ten (10) clear days’ notice in writing (exclusive of the day on which the notice is served or deemed to be served, and of the day for which the notice is given) shall be given of any annual general meeting and a special general meeting shall be called by not less than five (5)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231"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w:t>
      </w:r>
    </w:p>
    <w:p>
      <w:pPr>
        <w:spacing w:after="0" w:line="223"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a general meeting called as an annual general meeting, by all the Shareholders entitled to attend and vote thereat;</w:t>
      </w:r>
    </w:p>
    <w:p>
      <w:pPr>
        <w:spacing w:after="0" w:line="223" w:lineRule="exact"/>
        <w:rPr>
          <w:rFonts w:ascii="Arial" w:cs="Arial" w:eastAsia="Arial" w:hAnsi="Arial"/>
          <w:sz w:val="18"/>
          <w:szCs w:val="18"/>
          <w:color w:val="auto"/>
        </w:rPr>
      </w:pPr>
    </w:p>
    <w:p>
      <w:pPr>
        <w:jc w:val="both"/>
        <w:ind w:left="1300" w:hanging="644"/>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any other general meeting, by a majority in number of the Shareholders having the right to attend and vote at the meeting, being a majority together holding not less than ninety-five percent (95%) in nominal value of the Shares giving that right.</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where a general meeting has been requisitioned by a Shareholder in accordance with the Act or pursuant to these Bye-laws, the Board may cancel or postpone a meeting of the Shareholders after it has been convened and notice of such cancellation or postponement shall be served in accordance with these Bye-Laws upon all Shareholders entitled to notice of the meeting so cancelled or postponed setting out, where the meeting is postponed to a specific date, notice of the new meeting in accordance with this Bye-Law.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PROCEEDINGS AT GENERAL MEETINGS</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Shareholders is present at the time that the meeting proceeds to business, but the absence of a quorum shall not preclude the appointment, choice or election of a chairman, which shall not be treated as part of the business of the meeting. Save as herein otherwise provided, at least two Shareholders present in person or by proxy and entitled to vote, one of which shall be the New Investor, and one of which shall be BHL, shall be a quorum.</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5" w:name="page106"/>
    <w:bookmarkEnd w:id="105"/>
    <w:p>
      <w:pPr>
        <w:jc w:val="both"/>
        <w:ind w:left="660" w:hanging="652"/>
        <w:spacing w:after="0" w:line="23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within (5) five minutes (or such longer time as the chairman of the meeting may determine to wait) after the time appointed for the meeting, a quorum is not present, the meeting shall be adjourned to such other day and such other time and place as the chairman of the meeting may determine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meeting was convened upon requisition by Shareholders, such adjourned date shall not be more than ten (10) days after the date originally appointed for the meeting) and at such adjourned meeting one Shareholder present in person or by proxy and entitled to vote shall be a quorum. The Company shall give not less than five (5) days’ notice in writing of any meeting adjourned through want of a quorum and such notice shall state that the one Shareholder present in person or by proxy (whatever the number of Shares held by them) and entitled to vote shall be a quorum.</w:t>
      </w:r>
    </w:p>
    <w:p>
      <w:pPr>
        <w:spacing w:after="0" w:line="22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it, the Resident Representative shall be entitled to attend and speak at any general meeting of the Company.</w:t>
      </w:r>
    </w:p>
    <w:p>
      <w:pPr>
        <w:spacing w:after="0" w:line="22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Chairperson shall preside as chairman at every general meeting of the Company. If there is no such Chairperson, or if at any meeting he is not present within five (5) minutes after the time appointed for holding the meeting or is unwilling to act as chairman, the Directors present shall choose one of their number to act or, if only one Director is present, he shall preside as chairman if willing to act. If no Director is present, or if each of the Directors present declines to take the chair, the persons present and entitled to vote shall elect one of their number to be chairman.</w:t>
      </w:r>
    </w:p>
    <w:p>
      <w:pPr>
        <w:spacing w:after="0" w:line="22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chairman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w:t>
      </w:r>
    </w:p>
    <w:p>
      <w:pPr>
        <w:spacing w:after="0" w:line="265" w:lineRule="exact"/>
        <w:rPr>
          <w:sz w:val="20"/>
          <w:szCs w:val="20"/>
          <w:color w:val="auto"/>
        </w:rPr>
      </w:pPr>
    </w:p>
    <w:p>
      <w:pPr>
        <w:jc w:val="both"/>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Save where a greater majority is required by the Companies Acts, the terms of the Shareholders’ Agreement or these Bye-Laws, any question proposed for consideration at any general meeting shall be decided on by a simple majority of votes cast by the holders of Common Shares.</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23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chairman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06" w:name="page107"/>
    <w:bookmarkEnd w:id="106"/>
    <w:p>
      <w:pPr>
        <w:ind w:left="660" w:hanging="652"/>
        <w:spacing w:after="0" w:line="24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223" w:lineRule="exact"/>
        <w:rPr>
          <w:rFonts w:ascii="Arial" w:cs="Arial" w:eastAsia="Arial" w:hAnsi="Arial"/>
          <w:sz w:val="18"/>
          <w:szCs w:val="18"/>
          <w:color w:val="auto"/>
        </w:rPr>
      </w:pPr>
    </w:p>
    <w:p>
      <w:pPr>
        <w:jc w:val="both"/>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chairman of the meeting at which the show of hands or count of votes received as Electronic Records takes place or at which the poll is demanded, shall not be entitled to a second or casting vote and the resolution shall fail.</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poll demanded on the election of a chairman, or on a question of adjournment, shall be taken forthwith. A poll demanded on any other question shall be taken in such manner and either forthwith or at such time (being not later than three (3) months after the date of the demand) and place as the chairman shall direct. It shall not be necessary (unless the chairman otherwise directs) for notice to be given of a poll.</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38" w:lineRule="exact"/>
        <w:rPr>
          <w:rFonts w:ascii="Arial" w:cs="Arial" w:eastAsia="Arial" w:hAnsi="Arial"/>
          <w:sz w:val="18"/>
          <w:szCs w:val="18"/>
          <w:color w:val="auto"/>
        </w:rPr>
      </w:pPr>
    </w:p>
    <w:p>
      <w:pPr>
        <w:jc w:val="both"/>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 Shareholder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Shareholder for the purpose of the general meetings.</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Shareholder, unless the Board otherwise determines, shall be entitled to vote at any general meeting unless all calls or other sums presently payable by him in respect of Shares in the Company have been paid.</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7" w:name="page108"/>
    <w:bookmarkEnd w:id="107"/>
    <w:p>
      <w:pPr>
        <w:jc w:val="both"/>
        <w:ind w:left="660" w:hanging="652"/>
        <w:spacing w:after="0" w:line="23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chairman and shall only vitiate the decision of the meeting on any resolution if the chairman decides that the same may have affected the decision of the meeting. The decision of the chairman on such matters shall be final and conclusive.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PROXIES AND CORPORATE REPRESENTATIVES</w:t>
      </w:r>
    </w:p>
    <w:p>
      <w:pPr>
        <w:spacing w:after="0" w:line="265" w:lineRule="exact"/>
        <w:rPr>
          <w:sz w:val="20"/>
          <w:szCs w:val="20"/>
          <w:color w:val="auto"/>
        </w:rPr>
      </w:pPr>
    </w:p>
    <w:p>
      <w:pPr>
        <w:jc w:val="both"/>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shall be in writing under the hand of the Shareholder or his duly authorised attorney or if the Shareholder is a corporation, under the hand of its duly authorised representative. A proxy or corporate representative need not be a Shareholder.</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Shareholder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23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Shareholder may appoint a proxy which shall be irrevocable in accordance with its terms and the holder thereof shall be the only person entitled to vote the relevant Shares at any meeting of the Shareholders at which such holder is present. The Company shall give to the proxy holder notice of all meetings of Shareholders of the Company and shall be obliged to recognise the holder of such proxy until such time as the holder notifies the Company in writing that the proxy is no longer in force.</w:t>
      </w:r>
    </w:p>
    <w:p>
      <w:pPr>
        <w:spacing w:after="0" w:line="231"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and the power of attorney (if any) under which it is signed, together with such other evidence as to its due execution as the Board may 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8" w:name="page109"/>
    <w:bookmarkEnd w:id="108"/>
    <w:p>
      <w:pPr>
        <w:jc w:val="both"/>
        <w:ind w:left="660" w:hanging="652"/>
        <w:spacing w:after="0" w:line="238"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chairman of any general meeting as to the validity of any appointments of a proxy shall be final.</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231"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Companies Acts and the Shareholders’ Agreement, the Board may at its discretion waive any of the provisions of these Bye-Laws relating to proxies or authorisations and, in particular, may accept such verbal or other assurances as it thinks fit as to the right of any person to attend, speak and vote on behalf of any Shareholder at general meetings or to sign written resolutions.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WRITTEN RESOLUTIONS OF SHAREHOLDERS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in the case of the removal of Auditors or Directors, anything which, subject to the Shareholders’ Agreement, may be done by resolution of the Shareholders in general meeting or by resolution of any class of Shareholders in a separate general meeting may be done by written resolution, signed by the Shareholders (or the holders of such class of Shares) who at the date of the notice of the written resolution represent the majority of votes that would be required if the resolution had been voted on at a general meeting of the Shareholders. Such written resolution may be signed by the Shareholder or its proxy, or in the case of a Shareholder that is a corporation (whether or not a company within the meaning of the Companies Acts) by its representative on behalf of such Shareholder, in as many counterparts as may be necessary.</w:t>
      </w:r>
    </w:p>
    <w:p>
      <w:pPr>
        <w:spacing w:after="0" w:line="144" w:lineRule="exact"/>
        <w:rPr>
          <w:sz w:val="20"/>
          <w:szCs w:val="20"/>
          <w:color w:val="auto"/>
        </w:rPr>
      </w:pPr>
    </w:p>
    <w:p>
      <w:pPr>
        <w:ind w:left="10840"/>
        <w:spacing w:after="0"/>
        <w:rPr>
          <w:sz w:val="20"/>
          <w:szCs w:val="20"/>
          <w:color w:val="auto"/>
        </w:rPr>
      </w:pPr>
      <w:r>
        <w:rPr>
          <w:rFonts w:ascii="Arial" w:cs="Arial" w:eastAsia="Arial" w:hAnsi="Arial"/>
          <w:sz w:val="13"/>
          <w:szCs w:val="13"/>
          <w:color w:val="auto"/>
        </w:rPr>
        <w:t>9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9" w:name="page110"/>
    <w:bookmarkEnd w:id="109"/>
    <w:p>
      <w:pPr>
        <w:jc w:val="both"/>
        <w:ind w:left="660" w:hanging="652"/>
        <w:spacing w:after="0" w:line="238"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this Bye-Law shall be given to all the Shareholders who would be entitled to attend a meeting and vote on the resolution. The requirement to give notice of any written resolution to be made under this Bye-Law to such Shareholders shall be satisfied by giving to those Shareholders a copy of that written resolution in the same manner as that required for a notice of a general meeting of the Company at which the resolution could have been considered, except that the length of the period of notice shall be five (5) clear days. The date of the notice shall be set out in the copy of the written resolution.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AND REMOVAL OF DIRECTORS</w:t>
      </w:r>
    </w:p>
    <w:p>
      <w:pPr>
        <w:spacing w:after="0" w:line="265" w:lineRule="exact"/>
        <w:rPr>
          <w:sz w:val="20"/>
          <w:szCs w:val="20"/>
          <w:color w:val="auto"/>
        </w:rPr>
      </w:pPr>
    </w:p>
    <w:p>
      <w:pPr>
        <w:jc w:val="both"/>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accordance with the Shareholders’ Agreement, the Existing Shareholders shall be entitled to designate one of the Directors to serve as the Chairperson of the Board (</w:t>
      </w:r>
      <w:r>
        <w:rPr>
          <w:rFonts w:ascii="Arial" w:cs="Arial" w:eastAsia="Arial" w:hAnsi="Arial"/>
          <w:sz w:val="18"/>
          <w:szCs w:val="18"/>
          <w:b w:val="1"/>
          <w:bCs w:val="1"/>
          <w:color w:val="auto"/>
        </w:rPr>
        <w:t>Chairperson</w:t>
      </w:r>
      <w:r>
        <w:rPr>
          <w:rFonts w:ascii="Arial" w:cs="Arial" w:eastAsia="Arial" w:hAnsi="Arial"/>
          <w:sz w:val="18"/>
          <w:szCs w:val="18"/>
          <w:color w:val="auto"/>
        </w:rPr>
        <w:t>). Any such designation shall be made in writing to the Company and to the other Shareholders in accordance with the Shareholders’ Agreement.</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compliance with the Companies Acts, and these Bye-Laws the number of Directors shall be determined, and Directors shall be elected, appointed and removed in accordance with, the Shareholders’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 OF DIRECTORS AND OFFICERS</w:t>
      </w:r>
    </w:p>
    <w:p>
      <w:pPr>
        <w:spacing w:after="0" w:line="265" w:lineRule="exact"/>
        <w:rPr>
          <w:sz w:val="20"/>
          <w:szCs w:val="20"/>
          <w:color w:val="auto"/>
        </w:rPr>
      </w:pPr>
    </w:p>
    <w:p>
      <w:pPr>
        <w:jc w:val="both"/>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RESIGNATION AND DISQUALIFICATION OF DIRECTORS</w:t>
      </w:r>
    </w:p>
    <w:p>
      <w:pPr>
        <w:spacing w:after="0" w:line="265"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the Shareholders’ Agreement, the office of Director shall ipso facto be vacated if the Director: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Registered Office or tendered at a meeting of the Board; or</w:t>
      </w:r>
    </w:p>
    <w:p>
      <w:pPr>
        <w:spacing w:after="0" w:line="23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becomes of unsound mind or a patient for any purpose of any statute or applicable law relating to mental health and the Directors resolve that his office is vacated; or</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becomes bankrupt under the laws of any country or makes any arrangement or composition with his creditors generally; or</w:t>
      </w:r>
    </w:p>
    <w:p>
      <w:pPr>
        <w:spacing w:after="0" w:line="23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he is prohibited by law from being a Director or, in the case of a corporate Director, is otherwise unable to carry on or transact business; or</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0" w:name="page111"/>
    <w:bookmarkEnd w:id="110"/>
    <w:p>
      <w:pPr>
        <w:ind w:left="1300" w:hanging="644"/>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he ceases to be a Director by virtue of the Companies Acts or is removed from office pursuant to the Shareholders’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ALTERNATE DIRECTORS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Shareholders’ Agreement, any Director may by writing appoint and remove any other Director, or other person willing to act, to be his alternate and remove his alternate so appointed by him.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and the alternate shall be notified of such appointment or revocation. Subject to the removal by the appointing Director, the alternate shall continue in office until the date on which his appointer ceases to be a Director. An alternate may also be a Director in his own right and may act as alternate to more than one Director.</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appointor as a Director in his absence.</w:t>
      </w:r>
    </w:p>
    <w:p>
      <w:pPr>
        <w:spacing w:after="0" w:line="229"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(except as regards powers to appoint an alternate and remuneration) apply equally to the alternate as though he were the Director in his own right. An alternate Director shall be deemed for all purposes to be a Director and shall alone be responsible for his own acts and defaults and shall not be deemed to be the agent of the Director appointing him.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to any written resolution of the Director or a committee there shall, unless the terms of the appointment provides to the contrary, be as effective as the signature of the Director or Directors to whom he is alternate.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FEES AND EXPENSES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Shareholders’ Agreement, the remuneration to be paid to the Directors, if any, shall be determined by the Company by Resolution or, in the absence of such a determination, by the Directors. The Company shall reimburse the Directors for all reasonable and documented out-of-pocket expenses incurred by each of them in attending meetings of the Board (or any committee thereof) and as necessary to oversee the Company’s business consistent with this Agreement and the Board’s direction. The Directors may by Resolution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DIRECTORS’ INTERESTS</w:t>
      </w:r>
    </w:p>
    <w:p>
      <w:pPr>
        <w:spacing w:after="0" w:line="265" w:lineRule="exact"/>
        <w:rPr>
          <w:sz w:val="20"/>
          <w:szCs w:val="20"/>
          <w:color w:val="auto"/>
        </w:rPr>
      </w:pPr>
    </w:p>
    <w:p>
      <w:pPr>
        <w:jc w:val="both"/>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the Shareholders’ Agreement, a Director may hold any other office or place of profit with the Company (except that of Auditor) in conjunction with his office of Director for such period and upon such terms as to remuneration and otherwise as the Directors may determine.</w:t>
      </w:r>
    </w:p>
    <w:p>
      <w:pPr>
        <w:spacing w:after="0" w:line="22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Director or officer may act by himself or his firm in a professional capacity for the Company (otherwise than as Auditor), and he or his firm shall be entitled to remuneration for professional services as if he were not a Director or officer.</w:t>
      </w:r>
    </w:p>
    <w:p>
      <w:pPr>
        <w:spacing w:after="0" w:line="223"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the provisions of the Companies Acts and the Shareholders’ Agreement, a Director may notwithstanding his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Subject to the Shareholders’ Agreement,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234"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so long as, where it is necessary, he declares the nature of his interest at the first opportunity at a meeting of the Board or by writing to the Directors as required by the Companies Acts, a Director shall not by reason of his office be accountable to the Company for any benefit which he derives from any office or employment to which these Bye-Laws allow him to be appointed or from any transaction or arrangement in which these Bye-Laws allow him to be interested, and no such transaction or arrangement shall be liable to be avoided on the ground of any interest or benefit.</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a Director who to his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the Companies Acts and any further disclosure required thereby and subject to the Shareholders’ Agreement, a general notice to the Directors by a Director or Officer declaring that 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POWERS AND DUTIES OF THE BOARD</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the provisions of the Companies Acts, these Bye-Laws and the Shareholders’ Agreement, the Board shall manage the business of the Company and may pay all expenses incurred in promoting and incorporating the Company and may exercise all the powers of the Company. No alteration of these Bye-Laws and no such direction shall invalidate any prior act of the Board which would have been valid if that alteration had not been made or that direction had not been given.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exercise all the powers of the Company except those powers that are required by the Companies Acts or these Bye-Laws to be exercised by the Shareholders.</w:t>
      </w:r>
    </w:p>
    <w:p>
      <w:pPr>
        <w:spacing w:after="0" w:line="223"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the Shareholders’ Agreement, the Board on behalf of the Company may provide benefits, whether by the payment of gratuities or pensions or otherwise, for any person including any Director or former Director who has held any executive office or employment with the Company or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gratuity, pension or other benefit, or for the insurance of any such person.</w:t>
      </w:r>
    </w:p>
    <w:p>
      <w:pPr>
        <w:spacing w:after="0" w:line="231"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 appoint one or more of its Directors to be a managing director, joint managing director or an assistant managing director or to hold any other employment or executive office with the Company for such period and upon such terms as the Board may determine and may revoke or terminate any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 Any person so appointed shall receive such remuneration (if any) (whether by way of salary, commission, participation in profits or otherwise) as the Board may determine, and either in addition to or in lieu of his remuneration as a Director.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DELEGATION OF THE BOARD’S POWERS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Subject to the Shareholders’ Agreement, Directors may from time to time and at any time by power of attorney or otherwise appoint any company, firm or person or fluctuating body of persons, whether nominated directly or indirectly by the Board, to be the attorney or attorneys of the Company for such purposes and with such powers, authorities and discretions (not exceeding those vested in or exercisable by the Directors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144" w:lineRule="exact"/>
        <w:rPr>
          <w:sz w:val="20"/>
          <w:szCs w:val="20"/>
          <w:color w:val="auto"/>
        </w:rPr>
      </w:pPr>
    </w:p>
    <w:p>
      <w:pPr>
        <w:ind w:left="10760"/>
        <w:spacing w:after="0"/>
        <w:rPr>
          <w:sz w:val="20"/>
          <w:szCs w:val="20"/>
          <w:color w:val="auto"/>
        </w:rPr>
      </w:pPr>
      <w:r>
        <w:rPr>
          <w:rFonts w:ascii="Arial" w:cs="Arial" w:eastAsia="Arial" w:hAnsi="Arial"/>
          <w:sz w:val="13"/>
          <w:szCs w:val="13"/>
          <w:color w:val="auto"/>
        </w:rPr>
        <w:t>13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3" w:name="page114"/>
    <w:bookmarkEnd w:id="113"/>
    <w:p>
      <w:pPr>
        <w:jc w:val="both"/>
        <w:ind w:left="660" w:hanging="652"/>
        <w:spacing w:after="0" w:line="238"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Shareholders’ Agreement, the Directors may delegate any of the powers exercisable by them to any person or persons acting individually or jointly, as a committee or otherwise, as they may from time to time by resolution appoint upon such terms and conditions and with such restrictions as they may think fit, and may from time to time by resolution revoke, withdraw, alter or vary all or any such powers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PROCEEDINGS OF THE BOARD</w:t>
      </w:r>
    </w:p>
    <w:p>
      <w:pPr>
        <w:spacing w:after="0" w:line="265" w:lineRule="exact"/>
        <w:rPr>
          <w:sz w:val="20"/>
          <w:szCs w:val="20"/>
          <w:color w:val="auto"/>
        </w:rPr>
      </w:pPr>
    </w:p>
    <w:p>
      <w:pPr>
        <w:jc w:val="both"/>
        <w:ind w:left="660" w:hanging="652"/>
        <w:spacing w:after="0" w:line="23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the Board shall hold meetings at such times and at such places as shall from time to time be determined by the Chairperson, and shall be called on at least five (5) business days’ notice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Board shall hold a meeting at least once per calendar quarter and (b) a meeting of the Board shall be called by the Chairperson at the request of any Director. Notice of any meeting of the Board may be delivered to each Director personally in writing, by mail, by email or by any other means of written communication reasonably calculated to give notice. Notice of a meeting of the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34" w:lineRule="exact"/>
        <w:rPr>
          <w:rFonts w:ascii="Arial" w:cs="Arial" w:eastAsia="Arial" w:hAnsi="Arial"/>
          <w:sz w:val="18"/>
          <w:szCs w:val="18"/>
          <w:color w:val="auto"/>
        </w:rPr>
      </w:pPr>
    </w:p>
    <w:p>
      <w:pPr>
        <w:jc w:val="both"/>
        <w:ind w:left="660" w:hanging="652"/>
        <w:spacing w:after="0" w:line="204" w:lineRule="exact"/>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at all duly called meetings of the Board (or a committee thereof), a majority of all of the Directors shall, subject to the Shareholders’ Agreement, constitute a quorum for the transaction of business. Directors may participate in any meeting of the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agreed by the Directors and subject to applicable law, at least one meeting of the Board per year will be held in</w:t>
      </w:r>
      <w:r>
        <w:rPr>
          <w:rFonts w:ascii="MS PGothic" w:cs="MS PGothic" w:eastAsia="MS PGothic" w:hAnsi="MS PGothic"/>
          <w:sz w:val="18"/>
          <w:szCs w:val="18"/>
          <w:color w:val="auto"/>
        </w:rPr>
        <w:t>‑</w:t>
      </w:r>
      <w:r>
        <w:rPr>
          <w:rFonts w:ascii="Arial" w:cs="Arial" w:eastAsia="Arial" w:hAnsi="Arial"/>
          <w:sz w:val="18"/>
          <w:szCs w:val="18"/>
          <w:color w:val="auto"/>
        </w:rPr>
        <w:t>person at the Company’s principal executive office. Each Director is expected to use reasonable best efforts to attend each meeting of the Board. As used in these Bye-Laws, the phrase “all of the Directors” means, with respect to the Board, the entire Board then in office (and does not include any vacancies on the Board) and, with respect to any committee of the Company, all of the Directors then comprising the members of such committee in accordance with bye-law 63.</w:t>
      </w:r>
    </w:p>
    <w:p>
      <w:pPr>
        <w:spacing w:after="0" w:line="232" w:lineRule="exact"/>
        <w:rPr>
          <w:rFonts w:ascii="Arial" w:cs="Arial" w:eastAsia="Arial" w:hAnsi="Arial"/>
          <w:sz w:val="18"/>
          <w:szCs w:val="18"/>
          <w:color w:val="auto"/>
        </w:rPr>
      </w:pPr>
    </w:p>
    <w:p>
      <w:pPr>
        <w:jc w:val="both"/>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(or a committee thereof) of the Board,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 shall be required to be given as to any reconvened meeting in accordance with bye-law 57.</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provided otherwise in the Shareholders’ Agreement: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Director shall be entitled to one vote;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4" w:name="page115"/>
    <w:bookmarkEnd w:id="114"/>
    <w:p>
      <w:pPr>
        <w:ind w:left="1300" w:hanging="644"/>
        <w:spacing w:after="0" w:line="246" w:lineRule="auto"/>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 action shall be taken by the Board (or a committee thereof) without the affirmative vote of a majority of the Directors present in person or by proxy at any meeting of the Board at which a quorum is present.</w:t>
      </w:r>
    </w:p>
    <w:p>
      <w:pPr>
        <w:spacing w:after="0" w:line="22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223" w:lineRule="exact"/>
        <w:rPr>
          <w:rFonts w:ascii="Arial" w:cs="Arial" w:eastAsia="Arial" w:hAnsi="Arial"/>
          <w:sz w:val="18"/>
          <w:szCs w:val="18"/>
          <w:color w:val="auto"/>
        </w:rPr>
      </w:pPr>
    </w:p>
    <w:p>
      <w:pPr>
        <w:jc w:val="both"/>
        <w:ind w:left="660" w:right="2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establish one or more committees of the Board, with such powers and rights, and such composition, as may be determined by the Board from time to time, in each case acting pursuant to and in compliance with bye-laws 57 to 59 and 64.</w:t>
      </w:r>
    </w:p>
    <w:p>
      <w:pPr>
        <w:spacing w:after="0" w:line="22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meetings and proceedings of any committee consisting of two (2) or more members shall be governed by the provisions contained in these Bye-Laws for regulating the meetings and proceedings of the Board so far as the same are applicable and are not superseded by any regulations imposed by the Board or the terms of the Shareholders’ Agreement. Each Director shall be entitled to attend each meeting of any committee of the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action required or permitted to be taken at a meeting of the Board (or a committee thereof) may be taken without a meeting and without a vote, if a consent or consents in writing (including by e-mail) setting forth the action so taken shall be given by all Directors. A copy of any action taken by written consent shall be furnished to each Director.</w:t>
      </w:r>
    </w:p>
    <w:p>
      <w:pPr>
        <w:spacing w:after="0" w:line="22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extent permitted by law, a meeting of the Board or a committee appointed by the Board may be held by means of such telephone, electronic or other communication facilities (including, without limiting the generality of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chairman of the meeting then is.</w:t>
      </w:r>
    </w:p>
    <w:p>
      <w:pPr>
        <w:spacing w:after="0" w:line="23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OFFICERS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appoint Officers as they may from time to time consider necessary upon such terms as to duration of office, remuneration and otherwise as they may think fit. Officers need not be Directors and may be ascribed such titles as the Directors may decide and the Directors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and the Company which may be involved in such revocation or termination. Save as provided in the Companies Acts or these Bye-Laws, the powers and duties of the Officers of the Company shall be such (if any) as are determined from time to time by the Directors.</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SECRETARY AND RESIDENT REPRESENTATIVE</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provision of the Companies Acts, the Shareholders’ Agreement or these Bye-Laws requiring or authorising a thing to be done by or to a Director and the Secretary shall not be satisfied by its being done by or to the same person acting both as Director and as, or in the place of, the Secretary.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AND SHARE RIGHTS</w:t>
      </w:r>
    </w:p>
    <w:p>
      <w:pPr>
        <w:spacing w:after="0" w:line="265" w:lineRule="exact"/>
        <w:rPr>
          <w:sz w:val="20"/>
          <w:szCs w:val="20"/>
          <w:color w:val="auto"/>
        </w:rPr>
      </w:pPr>
    </w:p>
    <w:p>
      <w:pPr>
        <w:ind w:left="660" w:hanging="652"/>
        <w:spacing w:after="0" w:line="24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at the Merger Effective Date, the Company has an authorised share capital of US$5,000,000 divided into [495,400,000] Common Shares and [4,600,000] Series A Preference Shares.</w:t>
      </w:r>
    </w:p>
    <w:p>
      <w:pPr>
        <w:spacing w:after="0" w:line="22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to the Shareholders’ Agreement, the holders of Common Shares shall have the privileges, voting rights, participating, optional and other rights, qualifications, limitations and restrictions as specified in these Bye-Laws.</w:t>
      </w:r>
    </w:p>
    <w:p>
      <w:pPr>
        <w:spacing w:after="0" w:line="22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holders of Series A Preference Shares shall have the privileges, voting rights, participating, optional and other rights, qualifications, limitations and restrictions as specified in the Certificate of Designation of Series A Preference Shares.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ISSUE OF SHARES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Board may (subject to the provisions of the Shareholders’ Agreement, these Bye-Laws, the memorandum of association and the Companies Acts), subject to and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Share shall be issued at a discount (except in accordance with the provisions of the Companies Acts).</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Subject to the Shareholders’ Agreement and the Companies Acts, any preference Shares may, with the sanction of a resolution of the Board, be issued on terms:</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238" w:lineRule="exact"/>
        <w:rPr>
          <w:rFonts w:ascii="Arial" w:cs="Arial" w:eastAsia="Arial" w:hAnsi="Arial"/>
          <w:sz w:val="18"/>
          <w:szCs w:val="18"/>
          <w:color w:val="auto"/>
        </w:rPr>
      </w:pPr>
    </w:p>
    <w:p>
      <w:pPr>
        <w:ind w:left="1300" w:right="20" w:hanging="644"/>
        <w:spacing w:after="0" w:line="246" w:lineRule="auto"/>
        <w:tabs>
          <w:tab w:leader="none" w:pos="13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if authorised by the memorandum of association of the Company, that they are liable to be redeemed at the option of the holder.</w:t>
      </w:r>
    </w:p>
    <w:p>
      <w:pPr>
        <w:spacing w:after="0" w:line="218" w:lineRule="exact"/>
        <w:rPr>
          <w:sz w:val="20"/>
          <w:szCs w:val="20"/>
          <w:color w:val="auto"/>
        </w:rPr>
      </w:pPr>
    </w:p>
    <w:p>
      <w:pPr>
        <w:ind w:left="660"/>
        <w:spacing w:after="0" w:line="238" w:lineRule="auto"/>
        <w:rPr>
          <w:sz w:val="20"/>
          <w:szCs w:val="20"/>
          <w:color w:val="auto"/>
        </w:rPr>
      </w:pPr>
      <w:r>
        <w:rPr>
          <w:rFonts w:ascii="Arial" w:cs="Arial" w:eastAsia="Arial" w:hAnsi="Arial"/>
          <w:sz w:val="22"/>
          <w:szCs w:val="22"/>
          <w:color w:val="auto"/>
        </w:rPr>
        <w:t>The terms and manner of redemption shall be provided for in such resolution of the Board and shall be attached to but shall not form part of these Bye-Laws.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OF SHARES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Acts. The Company shall be entered in the Register as a Shareholder in respect of the Shares held by the Company as treasury Shares and shall be a Shareholder of the Company but subject always to the provisions of the Companies Acts and for the avoidance of doubt the Company shall not exercise any rights and shall not enjoy or participate in any of the rights attaching to those Shares save as expressly provided for in the Companies Act.</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VARIATION OF SHARE RIGHTS</w:t>
      </w:r>
    </w:p>
    <w:p>
      <w:pPr>
        <w:spacing w:after="0" w:line="265" w:lineRule="exact"/>
        <w:rPr>
          <w:sz w:val="20"/>
          <w:szCs w:val="20"/>
          <w:color w:val="auto"/>
        </w:rPr>
      </w:pPr>
    </w:p>
    <w:p>
      <w:pPr>
        <w:jc w:val="both"/>
        <w:ind w:left="660" w:hanging="652"/>
        <w:spacing w:after="0" w:line="236"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at any time the Share capital is divided into different classes of Shares, subject to the Shareholders’ Agreement and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holders of not less than seventy-five percent of the issued Shares of that class or with the sanction of a resolution passed by the holders of not less than seventy-five percent of the issued Shares of that class as may be present in person or by proxy at a separate general meeting of the holders of the Shares of that class. To any such separate general meeting, all the provisions of these Bye-Laws as to general meetings of the Company shall mutatis mutandis apply, but so that the necessary quorum shall be one or more persons holding or representing by proxy any of the Shares of the relevant class, and that any holder of Shares of the relevant class present in person or by proxy may demand a poll.</w:t>
      </w:r>
    </w:p>
    <w:p>
      <w:pPr>
        <w:spacing w:after="0" w:line="233"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 CERTIFICATES</w:t>
      </w:r>
    </w:p>
    <w:p>
      <w:pPr>
        <w:spacing w:after="0" w:line="265" w:lineRule="exact"/>
        <w:rPr>
          <w:sz w:val="20"/>
          <w:szCs w:val="20"/>
          <w:color w:val="auto"/>
        </w:rPr>
      </w:pPr>
    </w:p>
    <w:p>
      <w:pPr>
        <w:jc w:val="both"/>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22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NON-RECOGNITION OF TRUSTS</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as required by the Companies Acts, the Shareholders’ Agreement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LIEN</w:t>
      </w:r>
    </w:p>
    <w:p>
      <w:pPr>
        <w:spacing w:after="0" w:line="265" w:lineRule="exact"/>
        <w:rPr>
          <w:sz w:val="20"/>
          <w:szCs w:val="20"/>
          <w:color w:val="auto"/>
        </w:rPr>
      </w:pPr>
    </w:p>
    <w:p>
      <w:pPr>
        <w:jc w:val="both"/>
        <w:ind w:left="660" w:hanging="652"/>
        <w:spacing w:after="0" w:line="236"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a Shareholder, whether singly or jointly with any other person for all debts and liabilities of a Shareholder or his estate to the Company, whether the same shall have been incurred before or after notice to the Company of any interest of any person other than such Shareholder, and whether the time for the payment or discharge of the same shall have actually arrived or not, and notwithstanding that the same are joint debts or liabilities of such Shareholder or his estate and any other person, whether a Shareholder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232"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For giving effect to any such sale, the Board may authorise any person to transfer the Share sold to the purchaser thereof. The purchaser shall be registered as the holder of the Share comprised in any such transfer and he shall not be bound to see to the application of the purchase money, nor shall his title to the Share be affected by any irregularity or invalidity in the proceedings relating to the sale.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CALLS ON SHARES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Board may from time to time make calls upon the Shareholders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each Shareholder shall (subject to the Company serving upon him at least fourteen days’ notice specifying the time or times and place of payment) pay to the Company at the time or times and place so specified the amount called on his Shares. A call may be revoked or postponed by the Board as the Board may determine. A call shall be deemed to have been made at the time when the resolution of the Board authorising the call was passed.</w:t>
      </w:r>
    </w:p>
    <w:p>
      <w:pPr>
        <w:spacing w:after="0" w:line="144" w:lineRule="exact"/>
        <w:rPr>
          <w:sz w:val="20"/>
          <w:szCs w:val="20"/>
          <w:color w:val="auto"/>
        </w:rPr>
      </w:pPr>
    </w:p>
    <w:p>
      <w:pPr>
        <w:ind w:left="10760"/>
        <w:spacing w:after="0"/>
        <w:rPr>
          <w:sz w:val="20"/>
          <w:szCs w:val="20"/>
          <w:color w:val="auto"/>
        </w:rPr>
      </w:pPr>
      <w:r>
        <w:rPr>
          <w:rFonts w:ascii="Arial" w:cs="Arial" w:eastAsia="Arial" w:hAnsi="Arial"/>
          <w:sz w:val="13"/>
          <w:szCs w:val="13"/>
          <w:color w:val="auto"/>
        </w:rPr>
        <w:t>19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9" w:name="page120"/>
    <w:bookmarkEnd w:id="119"/>
    <w:p>
      <w:pPr>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38" w:lineRule="exact"/>
        <w:rPr>
          <w:rFonts w:ascii="Arial" w:cs="Arial" w:eastAsia="Arial" w:hAnsi="Arial"/>
          <w:sz w:val="18"/>
          <w:szCs w:val="18"/>
          <w:color w:val="auto"/>
        </w:rPr>
      </w:pPr>
    </w:p>
    <w:p>
      <w:pPr>
        <w:jc w:val="both"/>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22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issue Shares with different terms as to the amount and times of payment of calls.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FORFEITURE OF SHARES</w:t>
      </w:r>
    </w:p>
    <w:p>
      <w:pPr>
        <w:spacing w:after="0" w:line="265" w:lineRule="exact"/>
        <w:rPr>
          <w:sz w:val="20"/>
          <w:szCs w:val="20"/>
          <w:color w:val="auto"/>
        </w:rPr>
      </w:pPr>
    </w:p>
    <w:p>
      <w:pPr>
        <w:jc w:val="both"/>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by the date it becomes due and payable, the Board may, at any time thereafter while such call or instalment remains unpaid, give notice to the Shareholder requiring payment of the unpaid portion of the call or instalment, together with any accrued interest and expenses incurred by the Company by reason of such non-payment.</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231"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0" w:name="page121"/>
    <w:bookmarkEnd w:id="120"/>
    <w:p>
      <w:pPr>
        <w:jc w:val="both"/>
        <w:ind w:left="660" w:hanging="652"/>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subject to the Shareholders’ Agreement, and at any time before a sale, re-allotment or disposition, the forfeiture may be cancelled on such terms as the Board thinks fit.</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remain liable to pay to the Company all monies which at the date of forfeiture were presently payable by him in respect of the Shares together with interest at such rate as the Board may determine from the date of forfeiture until payment, but his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229"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re-allotment or disposition of the Share.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 OF SHAREHOLDERS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Acts. Unless the Board otherwise determines, the Register shall be open to inspection in the manner prescribed by the Companies Acts between 10:00 a.m. and 12:00 noon on every working day. Unless the Board so determines, no Shareholder or intending Shareholder shall be entitled to have entered in the Register any indication of any trust or any equitable, contingent, future or partial interest in any Share and if any such entry exists or is permitted by the Board it shall not be deemed to abrogate any other provisions of these Bye-Laws.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OF SHARES</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 Common Shares may be Transferred unless such Transfer is made in accordance with the requirements of the Shareholders’ Agreement and these Bye-Laws, as may be applicable, and any purported Transfer in violation of the Shareholders’ Agreement or these Bye-Laws shall be null and void ab initio. The Company shall not record upon its books and shall decline any purported Transfer made in violation of these Bye-Laws or the Shareholders’ Agreement.</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1" w:name="page122"/>
    <w:bookmarkEnd w:id="121"/>
    <w:p>
      <w:pPr>
        <w:jc w:val="both"/>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the Shareholders’ Agreement and these Bye-Laws, Shares shall be transferred in any usual or common form approved by the Board. No such instrument shall be required on the redemption of a Share or on the purchase by the Company of a Share.</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238" w:lineRule="exact"/>
        <w:rPr>
          <w:rFonts w:ascii="Arial" w:cs="Arial" w:eastAsia="Arial" w:hAnsi="Arial"/>
          <w:sz w:val="18"/>
          <w:szCs w:val="18"/>
          <w:color w:val="auto"/>
        </w:rPr>
      </w:pPr>
    </w:p>
    <w:p>
      <w:pPr>
        <w:jc w:val="both"/>
        <w:ind w:left="1300" w:hanging="644"/>
        <w:spacing w:after="0"/>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238"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223"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one (1) month after the date on which the transfer was lodged with the Company.</w:t>
      </w:r>
    </w:p>
    <w:p>
      <w:pPr>
        <w:spacing w:after="0" w:line="223" w:lineRule="exact"/>
        <w:rPr>
          <w:rFonts w:ascii="Arial" w:cs="Arial" w:eastAsia="Arial" w:hAnsi="Arial"/>
          <w:sz w:val="18"/>
          <w:szCs w:val="18"/>
          <w:color w:val="auto"/>
        </w:rPr>
      </w:pPr>
    </w:p>
    <w:p>
      <w:pPr>
        <w:jc w:val="both"/>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requirements of such exchange.</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2" w:name="page123"/>
    <w:bookmarkEnd w:id="122"/>
    <w:p>
      <w:pPr>
        <w:jc w:val="both"/>
        <w:ind w:left="660" w:hanging="652"/>
        <w:spacing w:after="0" w:line="236"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the event an SHA Shareholder desires to Transfer all or any portion of its Common Shares in accordance with these Bye-Laws and the Shareholders’ Agreement, the Company shall, and shall cause its Subsidiaries to, and each SHA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TRANSMISSION OF SHARES</w:t>
      </w:r>
    </w:p>
    <w:p>
      <w:pPr>
        <w:spacing w:after="0" w:line="265" w:lineRule="exact"/>
        <w:rPr>
          <w:sz w:val="20"/>
          <w:szCs w:val="20"/>
          <w:color w:val="auto"/>
        </w:rPr>
      </w:pPr>
    </w:p>
    <w:p>
      <w:pPr>
        <w:jc w:val="both"/>
        <w:ind w:left="660" w:hanging="652"/>
        <w:spacing w:after="0" w:line="23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 Shareholder dies, the survivor or survivors (where he was a joint holder), and the legal personal representative (where he was sole holder), shall be the only person recognised by the Company as having any title to the Share. The estate of a deceased Shareholder is not thereby released from any liability in respect of any Share held by him, whether solely or jointly. For the purpose of this Bye-Law, estate representative means the person to whom probate or letters of administration has or have been granted in Bermuda or, if there is no such person, such other person as the Board may in its absolute discretion determine to be the person recognised by the Company for the purpose of this Bye-Law.</w:t>
      </w:r>
    </w:p>
    <w:p>
      <w:pPr>
        <w:spacing w:after="0" w:line="231"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person becoming entitled to a Share in consequence of the death or bankruptcy of a Shareholder or otherwise by operation of applicable law may elect, upon such evidence being produced as may be required by the Board as to his entitlement, either be registered himself as a Shareholder in respect of the Share or, instead of being registered himself, to make such transfer of the Share as the deceased or bankrupt Shareholder could have made. If the person so becoming entitled elects to be registered himself, he shall deliver or send to the Company a notice in writing signed by him stating that he so elects. If he shall elect to transfer the Shares, he shall signify his election by signing an instrument of transfer of such Shares in favour of his transferee. All the limitations, restrictions and provisions of these Bye-Laws relating to the right to transfer and the registration of transfers of Shares shall be applicable to any such notice or instrument of transfer as aforesaid as if the death of the Shareholder or other event giving rise to the transmission had not occurred and the notice or instrument of transfer was an instrument of transfer signed by such Shareholder.</w:t>
      </w:r>
    </w:p>
    <w:p>
      <w:pPr>
        <w:spacing w:after="0" w:line="148" w:lineRule="exact"/>
        <w:rPr>
          <w:sz w:val="20"/>
          <w:szCs w:val="20"/>
          <w:color w:val="auto"/>
        </w:rPr>
      </w:pPr>
    </w:p>
    <w:p>
      <w:pPr>
        <w:ind w:left="10760"/>
        <w:spacing w:after="0"/>
        <w:rPr>
          <w:sz w:val="20"/>
          <w:szCs w:val="20"/>
          <w:color w:val="auto"/>
        </w:rPr>
      </w:pPr>
      <w:r>
        <w:rPr>
          <w:rFonts w:ascii="Arial" w:cs="Arial" w:eastAsia="Arial" w:hAnsi="Arial"/>
          <w:sz w:val="13"/>
          <w:szCs w:val="13"/>
          <w:color w:val="auto"/>
        </w:rPr>
        <w:t>23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3" w:name="page124"/>
    <w:bookmarkEnd w:id="123"/>
    <w:p>
      <w:pPr>
        <w:jc w:val="both"/>
        <w:ind w:left="660" w:hanging="652"/>
        <w:spacing w:after="0" w:line="236"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person becoming entitled to a Share in consequence of the death or bankruptcy of the Shareholder (or otherwise by operation of applicable law), upon such evidence being produced as may be required by the Board as to his entitlement, shall be entitled to the same dividends and other monies payable in respect of the Share as he would be entitled if he were the holder of such Share. However, he shall not be entitled, until he becomes registered as the holder of such Share, to receive notices of or to attend or vote at general meetings of the Company or (except as aforesaid) to exercise any other rights or privileges of a Shareholder. The Board may at any time give notice requiring such person to elect either to be registered himself or to transfer the Share and, if the notice is not complied with within sixty days, the Board may thereafter withhold payment of all dividends and other monies payable in respect of the Shares until the requirements of the notice have been complied with.</w:t>
      </w:r>
    </w:p>
    <w:p>
      <w:pPr>
        <w:spacing w:after="0" w:line="234"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these Bye-Laws.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INCREASE OF CAPITAL</w:t>
      </w:r>
    </w:p>
    <w:p>
      <w:pPr>
        <w:spacing w:after="0" w:line="265" w:lineRule="exact"/>
        <w:rPr>
          <w:sz w:val="20"/>
          <w:szCs w:val="20"/>
          <w:color w:val="auto"/>
        </w:rPr>
      </w:pPr>
    </w:p>
    <w:p>
      <w:pPr>
        <w:jc w:val="both"/>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 increase its Share capital by such sum, to be divided into new Shares of such par value, and with such rights, priorities and privileges attached thereto as the Resolution shall prescribe.</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231"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new Shares shall be subject to the all the provisions of these Bye-Laws and the Shareholders’ Agreement with reference to the payment of calls, lien, forfeiture, transfer, transmission and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ALTERATION OF CAPITAL</w:t>
      </w:r>
    </w:p>
    <w:p>
      <w:pPr>
        <w:spacing w:after="0" w:line="26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w:t>
      </w:r>
    </w:p>
    <w:p>
      <w:pPr>
        <w:spacing w:after="0" w:line="23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38" w:lineRule="exact"/>
        <w:rPr>
          <w:rFonts w:ascii="Arial" w:cs="Arial" w:eastAsia="Arial" w:hAnsi="Arial"/>
          <w:sz w:val="18"/>
          <w:szCs w:val="18"/>
          <w:color w:val="auto"/>
        </w:rPr>
      </w:pPr>
    </w:p>
    <w:p>
      <w:pPr>
        <w:jc w:val="both"/>
        <w:ind w:left="1300" w:hanging="644"/>
        <w:spacing w:after="0"/>
        <w:tabs>
          <w:tab w:leader="none" w:pos="13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4" w:name="page125"/>
    <w:bookmarkEnd w:id="124"/>
    <w:p>
      <w:pPr>
        <w:ind w:left="660" w:hanging="652"/>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w:t>
      </w:r>
    </w:p>
    <w:p>
      <w:pPr>
        <w:spacing w:after="0" w:line="23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238"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Where any difficulty arises in regard to any division, consolidation, or sub-division under this Bye-Law, the Board may settle the same as it thinks expedient and, in particular, may arrange for the sale of the Shares representing fractions and the distribution of the net proceeds of sale in due proportion amongst the Shareholders who would have been entitled to the fractions, and for this purpose the Board may authorise some person to transfer the Shares representing fractions to the purchaser thereof, who shall not be bound to see to the application of the purchase money nor shall his title to the Shares be affected by any irregularity or invalidity in the proceedings relating to the sale.</w:t>
      </w:r>
    </w:p>
    <w:p>
      <w:pPr>
        <w:spacing w:after="0" w:line="231"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the Companies Acts, the Shareholders’ Agreement and to any confirmation or consent required by law or these Bye-Laws, the Company may by Resolution from time to time convert any preference Shares into redeemable preference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REDUCTION OF CAPITAL</w:t>
      </w:r>
    </w:p>
    <w:p>
      <w:pPr>
        <w:spacing w:after="0" w:line="265" w:lineRule="exact"/>
        <w:rPr>
          <w:sz w:val="20"/>
          <w:szCs w:val="20"/>
          <w:color w:val="auto"/>
        </w:rPr>
      </w:pPr>
    </w:p>
    <w:p>
      <w:pPr>
        <w:jc w:val="both"/>
        <w:ind w:left="660" w:hanging="652"/>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Subject to the Shareholders’ Agreement, the Companies Acts, its memorandum of association and any confirmation or consent required by law or these Bye-Laws, the Company may from time to time by Resolution authorise the reduction of its issued Share capital or any Share premium account in any manner.</w:t>
      </w:r>
    </w:p>
    <w:p>
      <w:pPr>
        <w:spacing w:after="0" w:line="229" w:lineRule="exact"/>
        <w:rPr>
          <w:rFonts w:ascii="Arial" w:cs="Arial" w:eastAsia="Arial" w:hAnsi="Arial"/>
          <w:sz w:val="18"/>
          <w:szCs w:val="18"/>
          <w:color w:val="auto"/>
        </w:rPr>
      </w:pPr>
    </w:p>
    <w:p>
      <w:pPr>
        <w:ind w:left="660" w:right="20" w:hanging="652"/>
        <w:spacing w:after="0" w:line="246"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relation to any such reduction, the Company may by Resolution determine the terms upon which such reduction is to be effected including, in the case of a reduction of part only of a class of Shares, those Shares to be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DIVIDENDS AND OTHER PAYMENTS</w:t>
      </w:r>
    </w:p>
    <w:p>
      <w:pPr>
        <w:spacing w:after="0" w:line="265"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Board shall declare all dividends and distributions in accordance with the requirements of the Shareholders’ Agreement.</w:t>
      </w:r>
    </w:p>
    <w:p>
      <w:pPr>
        <w:spacing w:after="0" w:line="238" w:lineRule="exact"/>
        <w:rPr>
          <w:rFonts w:ascii="Arial" w:cs="Arial" w:eastAsia="Arial" w:hAnsi="Arial"/>
          <w:sz w:val="18"/>
          <w:szCs w:val="18"/>
          <w:color w:val="auto"/>
        </w:rPr>
      </w:pPr>
    </w:p>
    <w:p>
      <w:pPr>
        <w:jc w:val="both"/>
        <w:ind w:left="660" w:hanging="652"/>
        <w:spacing w:after="0" w:line="237"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 declare dividends or distributions out of contributed surplus to be paid to the Shareholders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Shareholders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5" w:name="page126"/>
    <w:bookmarkEnd w:id="125"/>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238" w:lineRule="exact"/>
        <w:rPr>
          <w:rFonts w:ascii="Arial" w:cs="Arial" w:eastAsia="Arial" w:hAnsi="Arial"/>
          <w:sz w:val="18"/>
          <w:szCs w:val="18"/>
          <w:color w:val="auto"/>
        </w:rPr>
      </w:pPr>
    </w:p>
    <w:p>
      <w:pPr>
        <w:jc w:val="both"/>
        <w:ind w:left="1300" w:hanging="644"/>
        <w:spacing w:after="0"/>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all dividends or distributions out of contributed surplus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229"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dividends or distributions out of contributed surplus may be apportioned and paid pro rata according to the amounts paid-up on the Shares during any portion or portions of the period in respect of which the dividend or distribution is paid.</w:t>
      </w:r>
    </w:p>
    <w:p>
      <w:pPr>
        <w:spacing w:after="0" w:line="223" w:lineRule="exact"/>
        <w:rPr>
          <w:rFonts w:ascii="Arial" w:cs="Arial" w:eastAsia="Arial" w:hAnsi="Arial"/>
          <w:sz w:val="18"/>
          <w:szCs w:val="18"/>
          <w:color w:val="auto"/>
        </w:rPr>
      </w:pPr>
    </w:p>
    <w:p>
      <w:pPr>
        <w:jc w:val="both"/>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Board may deduct from any dividend, distribution or other monies payable to a Shareholder by the Company on or in respect of any Shares all sums of money (if any) presently payable by him to the Company on account of calls or otherwise in respect of Shares of the Company.</w:t>
      </w:r>
    </w:p>
    <w:p>
      <w:pPr>
        <w:spacing w:after="0" w:line="229" w:lineRule="exact"/>
        <w:rPr>
          <w:rFonts w:ascii="Arial" w:cs="Arial" w:eastAsia="Arial" w:hAnsi="Arial"/>
          <w:sz w:val="18"/>
          <w:szCs w:val="18"/>
          <w:color w:val="auto"/>
        </w:rPr>
      </w:pPr>
    </w:p>
    <w:p>
      <w:pPr>
        <w:ind w:left="660" w:hanging="652"/>
        <w:spacing w:after="0" w:line="246"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dividend, distribution or other monies payable by the Company on or in respect of any Share shall bear interest against the Company.</w:t>
      </w:r>
    </w:p>
    <w:p>
      <w:pPr>
        <w:spacing w:after="0" w:line="223"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dividend, distribution or interest, or part thereof payable in cash, or any other sum payable in cash to the holder of Shares may be paid by cheque or warrant sent through the post or by courier addressed to the holder at his address in the Register or, in the case of joint holders, addressed to the holder whose name stands first in the Register in respect of the Shares at his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their risk and payment of the cheque or warrant by the bank on which it is drawn shall constitute a good discharge to the Company. Any one of two (2) or more joint holders may give effectual receipts for any dividends, distributions or other monies payable or property distributable in respect of the Shares held by such joint holders.</w:t>
      </w:r>
    </w:p>
    <w:p>
      <w:pPr>
        <w:spacing w:after="0" w:line="233"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231" w:lineRule="exact"/>
        <w:rPr>
          <w:rFonts w:ascii="Arial" w:cs="Arial" w:eastAsia="Arial" w:hAnsi="Arial"/>
          <w:sz w:val="18"/>
          <w:szCs w:val="18"/>
          <w:color w:val="auto"/>
        </w:rPr>
      </w:pPr>
    </w:p>
    <w:p>
      <w:pPr>
        <w:jc w:val="both"/>
        <w:ind w:left="660" w:hanging="652"/>
        <w:spacing w:after="0" w:line="236"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Board may also, in addition to its other powers, but subject to the Shareholders’ Agreement,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any Shareholders upon the footing of the values so fixed in order to secure equality of distribution and may vest any such specific assets in trustees as may seem expedient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dividend or distribution may not be satisfied by the distribution of any partly paid Shares or debentures of any company without the sanction of a Resolution.</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6" w:name="page127"/>
    <w:bookmarkEnd w:id="126"/>
    <w:p>
      <w:pPr>
        <w:jc w:val="both"/>
        <w:ind w:left="660" w:hanging="652"/>
        <w:spacing w:after="0" w:line="237"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any Shareholders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Shareholders.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RESERVES</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CAPITALISATION OF PROFITS</w:t>
      </w:r>
    </w:p>
    <w:p>
      <w:pPr>
        <w:spacing w:after="0" w:line="265" w:lineRule="exact"/>
        <w:rPr>
          <w:sz w:val="20"/>
          <w:szCs w:val="20"/>
          <w:color w:val="auto"/>
        </w:rPr>
      </w:pPr>
    </w:p>
    <w:p>
      <w:pPr>
        <w:jc w:val="both"/>
        <w:ind w:left="660" w:hanging="652"/>
        <w:spacing w:after="0" w:line="236"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amongst the Shareholders or any class of Shareholders who would be entitled thereto if distributed by way of dividend and in the same proportions, on the footing that the same be not paid in cash but be applied either in or towards paying up amounts for the time being unpaid on any Shares in the Company held by such Shareholders respectively or in payment up in full of unissued Shares, debentures or other obligations of the Company, to be allotted and distributed credited as fully paid amongst such Shareholders, or partly in one way and partly in the other,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Bye-Law, a Share premium account may be applied only in paying up of unissued Shares to be issued to such Shareholders credited as fully paid.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 DATE</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ACCOUNTING RECORDS AND TAX MATTERS</w:t>
      </w:r>
    </w:p>
    <w:p>
      <w:pPr>
        <w:spacing w:after="0" w:line="265" w:lineRule="exact"/>
        <w:rPr>
          <w:sz w:val="20"/>
          <w:szCs w:val="20"/>
          <w:color w:val="auto"/>
        </w:rPr>
      </w:pPr>
    </w:p>
    <w:p>
      <w:pPr>
        <w:ind w:left="660" w:hanging="652"/>
        <w:spacing w:after="0" w:line="246"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 OF NOTICES AND DOCUMENTS</w:t>
      </w:r>
    </w:p>
    <w:p>
      <w:pPr>
        <w:spacing w:after="0" w:line="265" w:lineRule="exact"/>
        <w:rPr>
          <w:sz w:val="20"/>
          <w:szCs w:val="20"/>
          <w:color w:val="auto"/>
        </w:rPr>
      </w:pPr>
    </w:p>
    <w:p>
      <w:pPr>
        <w:ind w:left="660" w:hanging="652"/>
        <w:spacing w:after="0" w:line="246"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Shareholder by the Company:</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38" w:lineRule="exact"/>
        <w:rPr>
          <w:rFonts w:ascii="Arial" w:cs="Arial" w:eastAsia="Arial" w:hAnsi="Arial"/>
          <w:sz w:val="18"/>
          <w:szCs w:val="18"/>
          <w:color w:val="auto"/>
        </w:rPr>
      </w:pPr>
    </w:p>
    <w:p>
      <w:pPr>
        <w:ind w:left="1300" w:hanging="644"/>
        <w:spacing w:after="0" w:line="246" w:lineRule="auto"/>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Shareholder at his address as appearing in the Register;</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by sending it by courier to or leaving it at the Shareholder’s address appearing in the Register;</w:t>
      </w:r>
    </w:p>
    <w:p>
      <w:pPr>
        <w:spacing w:after="0" w:line="238" w:lineRule="exact"/>
        <w:rPr>
          <w:rFonts w:ascii="Arial" w:cs="Arial" w:eastAsia="Arial" w:hAnsi="Arial"/>
          <w:sz w:val="18"/>
          <w:szCs w:val="18"/>
          <w:color w:val="auto"/>
        </w:rPr>
      </w:pPr>
    </w:p>
    <w:p>
      <w:pPr>
        <w:jc w:val="both"/>
        <w:ind w:left="1300" w:hanging="644"/>
        <w:spacing w:after="0"/>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Shareholder for the purposes of communication in such manner; or</w:t>
      </w:r>
    </w:p>
    <w:p>
      <w:pPr>
        <w:spacing w:after="0" w:line="229" w:lineRule="exact"/>
        <w:rPr>
          <w:rFonts w:ascii="Arial" w:cs="Arial" w:eastAsia="Arial" w:hAnsi="Arial"/>
          <w:sz w:val="18"/>
          <w:szCs w:val="18"/>
          <w:color w:val="auto"/>
        </w:rPr>
      </w:pPr>
    </w:p>
    <w:p>
      <w:pPr>
        <w:jc w:val="both"/>
        <w:ind w:left="1300" w:hanging="644"/>
        <w:spacing w:after="0"/>
        <w:tabs>
          <w:tab w:leader="none" w:pos="13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224" w:lineRule="exact"/>
        <w:rPr>
          <w:sz w:val="20"/>
          <w:szCs w:val="20"/>
          <w:color w:val="auto"/>
        </w:rPr>
      </w:pPr>
    </w:p>
    <w:p>
      <w:pPr>
        <w:ind w:left="660"/>
        <w:spacing w:after="0" w:line="238" w:lineRule="auto"/>
        <w:rPr>
          <w:sz w:val="20"/>
          <w:szCs w:val="20"/>
          <w:color w:val="auto"/>
        </w:rPr>
      </w:pPr>
      <w:r>
        <w:rPr>
          <w:rFonts w:ascii="Arial" w:cs="Arial" w:eastAsia="Arial" w:hAnsi="Arial"/>
          <w:sz w:val="22"/>
          <w:szCs w:val="22"/>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233"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Shareholder by the Company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28" w:name="page129"/>
    <w:bookmarkEnd w:id="128"/>
    <w:p>
      <w:pPr>
        <w:ind w:left="1300" w:hanging="644"/>
        <w:spacing w:after="0"/>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23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22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Shareholder,</w:t>
      </w:r>
    </w:p>
    <w:p>
      <w:pPr>
        <w:spacing w:after="0" w:line="218"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and in proving such service or delivery, it shall be sufficient to prove that the notice or document was properly addressed and stamped and put in the post, published on a website in accordance with the Companies Acts and the provisions of these Bye-Laws, or sent by courier, facsimile, email or as an Electronic Record by electronic means, as the case may be, in accordance with these Bye-Laws.</w:t>
      </w:r>
    </w:p>
    <w:p>
      <w:pPr>
        <w:spacing w:after="0" w:line="228"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Each Shareholder and each person becoming a Shareholder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234" w:lineRule="exact"/>
        <w:rPr>
          <w:sz w:val="20"/>
          <w:szCs w:val="20"/>
          <w:color w:val="auto"/>
        </w:rPr>
      </w:pPr>
    </w:p>
    <w:p>
      <w:pPr>
        <w:jc w:val="both"/>
        <w:ind w:left="660" w:hanging="652"/>
        <w:spacing w:after="0" w:line="237"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notice or other document delivered, sent or given to a Shareholder in any manner permitted by these Bye-Laws shall, notwithstanding that such Shareholder is then dead or bankrupt or that any other event has occurred, and whether or not the Company has notice of the death or bankruptcy or other event, be deemed to have been duly served or delivered in respect of any Share registered in the name of such Shareholder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229" w:lineRule="exact"/>
        <w:rPr>
          <w:rFonts w:ascii="Arial" w:cs="Arial" w:eastAsia="Arial" w:hAnsi="Arial"/>
          <w:sz w:val="18"/>
          <w:szCs w:val="18"/>
          <w:color w:val="auto"/>
        </w:rPr>
      </w:pPr>
    </w:p>
    <w:p>
      <w:pPr>
        <w:jc w:val="both"/>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Shareholders shall mutatis mutandis apply to service or delivery of notices and other documents to the Company or any Director, alternate Director or Resident Representative pursuant to these Bye-Laws.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INDEMNITY, INSURANCE, AND LIABILITY</w:t>
      </w:r>
    </w:p>
    <w:p>
      <w:pPr>
        <w:spacing w:after="0" w:line="265" w:lineRule="exact"/>
        <w:rPr>
          <w:sz w:val="20"/>
          <w:szCs w:val="20"/>
          <w:color w:val="auto"/>
        </w:rPr>
      </w:pPr>
    </w:p>
    <w:p>
      <w:pPr>
        <w:jc w:val="both"/>
        <w:ind w:left="660" w:hanging="652"/>
        <w:spacing w:after="0" w:line="236"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the proviso below, every Indemnified person shall be indemnified and held harmless out of the assets of the Company against all liabilities, loss, damage, cost or expense (including but not limited to liabilities under contract, tort and statute or any applicable foreign law or regulation and all reasonable legal and other costs including defence costs incurred in defending any legal proceedings whether civil or criminal and expenses on a full indemnity basis properly payable) incurred or suffered by him by or by reason of any act done, conceived in or omitted in the conduct of the Company’s business or in the discharge of his duties and the indemnity contained in this Bye-Law shall extend to any Indemnified person acting in any office or trust in the reasonable belief that he has been appointed or elected to such office or trust notwithstanding any defect in such appointment or election PROVIDED ALWAYS that the indemnity contained in this Bye-Law shall not extend to any matter which would render it void pursuant to the Companies Acts.</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9" w:name="page130"/>
    <w:bookmarkEnd w:id="129"/>
    <w:p>
      <w:pPr>
        <w:ind w:left="652" w:hanging="652"/>
        <w:spacing w:after="0"/>
        <w:tabs>
          <w:tab w:leader="none" w:pos="6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Indemnified person shall be liable to the Company for acts, defaults or omissions of any other Indemnified person.</w:t>
      </w:r>
    </w:p>
    <w:p>
      <w:pPr>
        <w:spacing w:after="0" w:line="238" w:lineRule="exact"/>
        <w:rPr>
          <w:rFonts w:ascii="Arial" w:cs="Arial" w:eastAsia="Arial" w:hAnsi="Arial"/>
          <w:sz w:val="18"/>
          <w:szCs w:val="18"/>
          <w:color w:val="auto"/>
        </w:rPr>
      </w:pPr>
    </w:p>
    <w:p>
      <w:pPr>
        <w:jc w:val="both"/>
        <w:ind w:left="652" w:hanging="652"/>
        <w:spacing w:after="0"/>
        <w:tabs>
          <w:tab w:leader="none" w:pos="6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the extent that any Indemnified person is entitled to claim an indemnity pursuant to these Bye-Laws in respect of amounts paid or discharged by him, the relevant indemnity shall take effect as an obligation of the Company to reimburse the person making such payment or effecting such discharge.</w:t>
      </w:r>
    </w:p>
    <w:p>
      <w:pPr>
        <w:spacing w:after="0" w:line="229" w:lineRule="exact"/>
        <w:rPr>
          <w:rFonts w:ascii="Arial" w:cs="Arial" w:eastAsia="Arial" w:hAnsi="Arial"/>
          <w:sz w:val="18"/>
          <w:szCs w:val="18"/>
          <w:color w:val="auto"/>
        </w:rPr>
      </w:pPr>
    </w:p>
    <w:p>
      <w:pPr>
        <w:jc w:val="both"/>
        <w:ind w:left="652" w:hanging="652"/>
        <w:spacing w:after="0" w:line="238" w:lineRule="auto"/>
        <w:tabs>
          <w:tab w:leader="none" w:pos="6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Shareholder and the Company agree to waive any claim or right of action he or it may at any time have, whether individually or by or in the right of the Company, against any Indemnified person on account of any act or omission of such Indemnified person in the performance of his duties for the Company; PROVIDED HOWEVER, that such waiver shall not apply to any claims or rights of action arising out of the fraud of such Indemnified person or to recover any gain, personal profit or advantage to which such Indemnified person is not legally entitled.</w:t>
      </w:r>
    </w:p>
    <w:p>
      <w:pPr>
        <w:spacing w:after="0" w:line="229" w:lineRule="exact"/>
        <w:rPr>
          <w:rFonts w:ascii="Arial" w:cs="Arial" w:eastAsia="Arial" w:hAnsi="Arial"/>
          <w:sz w:val="18"/>
          <w:szCs w:val="18"/>
          <w:color w:val="auto"/>
        </w:rPr>
      </w:pPr>
    </w:p>
    <w:p>
      <w:pPr>
        <w:jc w:val="both"/>
        <w:ind w:left="652" w:hanging="652"/>
        <w:spacing w:after="0" w:line="238" w:lineRule="auto"/>
        <w:tabs>
          <w:tab w:leader="none" w:pos="6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may advance moneys to any Indemnified person for the costs, charges, and expenses incurred by the Indemnified person in defending any civil or criminal proceedings against them, on condition and receipt of an undertaking in a form satisfactory to the Company that the Indemnified person shall repay such portion of the advance attributable to any claim of fraud or dishonesty if such a claim is proved against the Indemnified person.</w:t>
      </w:r>
    </w:p>
    <w:p>
      <w:pPr>
        <w:spacing w:after="0" w:line="231" w:lineRule="exact"/>
        <w:rPr>
          <w:rFonts w:ascii="Arial" w:cs="Arial" w:eastAsia="Arial" w:hAnsi="Arial"/>
          <w:sz w:val="18"/>
          <w:szCs w:val="18"/>
          <w:color w:val="auto"/>
        </w:rPr>
      </w:pPr>
    </w:p>
    <w:p>
      <w:pPr>
        <w:jc w:val="both"/>
        <w:ind w:left="652" w:hanging="652"/>
        <w:spacing w:after="0" w:line="237" w:lineRule="auto"/>
        <w:tabs>
          <w:tab w:leader="none" w:pos="6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advance of moneys would not be paid unless the advance was duly authorized upon a determination that the indemnification of the Indemnified person was appropriate because the Indemnified person had met the standard of conduct which would entitle the Indemnified person to indemnification and further the determination referred to above must be made by a majority vote of the Board at a meeting duly constituted by a quorum of Directors not party to the proceedings in respect of which the indemnification is, or would be, claimed; or, in the case such meeting cannot be constituted by lack of disinterested quorum by an independent third party; or, alternatively, by a majority vote of the Shareholders.</w:t>
      </w:r>
    </w:p>
    <w:p>
      <w:pPr>
        <w:spacing w:after="0" w:line="231" w:lineRule="exact"/>
        <w:rPr>
          <w:rFonts w:ascii="Arial" w:cs="Arial" w:eastAsia="Arial" w:hAnsi="Arial"/>
          <w:sz w:val="18"/>
          <w:szCs w:val="18"/>
          <w:color w:val="auto"/>
        </w:rPr>
      </w:pPr>
    </w:p>
    <w:p>
      <w:pPr>
        <w:jc w:val="both"/>
        <w:ind w:left="652" w:hanging="652"/>
        <w:spacing w:after="0" w:line="238" w:lineRule="auto"/>
        <w:tabs>
          <w:tab w:leader="none" w:pos="6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purchase and shall use its commercially reasonable efforts to maintain director and officer liability insurance in such amounts and such limits as reasonably determined by the Board on behalf of any person who is or was a Director against any liability asserted against such Director or incurred by such Director in any capacity as such, whether or not the Company would have the power to indemnify such Director against that liability under these Bye-Laws.</w:t>
      </w:r>
    </w:p>
    <w:p>
      <w:pPr>
        <w:spacing w:after="0" w:line="390" w:lineRule="exact"/>
        <w:rPr>
          <w:sz w:val="20"/>
          <w:szCs w:val="20"/>
          <w:color w:val="auto"/>
        </w:rPr>
      </w:pPr>
    </w:p>
    <w:p>
      <w:pPr>
        <w:ind w:left="10752"/>
        <w:spacing w:after="0"/>
        <w:rPr>
          <w:sz w:val="20"/>
          <w:szCs w:val="20"/>
          <w:color w:val="auto"/>
        </w:rPr>
      </w:pPr>
      <w:r>
        <w:rPr>
          <w:rFonts w:ascii="Arial" w:cs="Arial" w:eastAsia="Arial" w:hAnsi="Arial"/>
          <w:sz w:val="13"/>
          <w:szCs w:val="13"/>
          <w:color w:val="auto"/>
        </w:rPr>
        <w:t>30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82" w:right="339" w:bottom="1440" w:gutter="0" w:footer="0" w:header="0"/>
        </w:sectPr>
      </w:pPr>
    </w:p>
    <w:bookmarkStart w:id="130" w:name="page131"/>
    <w:bookmarkEnd w:id="130"/>
    <w:p>
      <w:pPr>
        <w:jc w:val="both"/>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Shareholder, nor any Affiliate or Affiliated Fund of such Shareholder, shall have any liability as a result of electing or appointing a Director in accordance with the provisions of these Bye-Laws or for any act or omission by such Director in his or her capacity as a Director.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CONTINUATION</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Subject to the Companies Acts and the approval in writing of no less than 75% of the SHA Shareholders,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PRECEDENCE</w:t>
      </w:r>
    </w:p>
    <w:p>
      <w:pPr>
        <w:spacing w:after="0" w:line="265" w:lineRule="exact"/>
        <w:rPr>
          <w:sz w:val="20"/>
          <w:szCs w:val="20"/>
          <w:color w:val="auto"/>
        </w:rPr>
      </w:pPr>
    </w:p>
    <w:p>
      <w:pPr>
        <w:jc w:val="both"/>
        <w:ind w:left="660" w:hanging="652"/>
        <w:spacing w:after="0" w:line="238"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in the event of any conflict between these Bye-Laws and the Shareholders’ Agreement, the Shareholders’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such case, the SHA Shareholders and the Company shall take, or cause to be taken, all necessary action as may be required to cause these Bye-Laws to be amended, as necessary, so that they do not at any time conflict with any provision of the Shareholders’ Agreement and they permit each SHA Shareholder to receive the benefits to which each such SHA Shareholder is entitled under the Shareholders’ Agreement.</w:t>
      </w:r>
    </w:p>
    <w:p>
      <w:pPr>
        <w:spacing w:after="0" w:line="229" w:lineRule="exact"/>
        <w:rPr>
          <w:rFonts w:ascii="Arial" w:cs="Arial" w:eastAsia="Arial" w:hAnsi="Arial"/>
          <w:sz w:val="18"/>
          <w:szCs w:val="18"/>
          <w:color w:val="auto"/>
        </w:rPr>
      </w:pPr>
    </w:p>
    <w:p>
      <w:pPr>
        <w:jc w:val="both"/>
        <w:ind w:left="660" w:hanging="652"/>
        <w:spacing w:after="0" w:line="238"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SHA Shareholder shall exercise all voting rights and powers of control available to it in relation to the Company so as to give full effect to the terms and conditions of the Shareholders’ Agreement and shall not exercise any rights conferred on such SHA Shareholder by these Bye-laws which are or may be inconsistent with such SHA Shareholder’s rights or obligations under the Shareholders’ Agreement.</w:t>
      </w:r>
    </w:p>
    <w:p>
      <w:pPr>
        <w:spacing w:after="0" w:line="231" w:lineRule="exact"/>
        <w:rPr>
          <w:rFonts w:ascii="Arial" w:cs="Arial" w:eastAsia="Arial" w:hAnsi="Arial"/>
          <w:sz w:val="18"/>
          <w:szCs w:val="18"/>
          <w:color w:val="auto"/>
        </w:rPr>
      </w:pPr>
    </w:p>
    <w:p>
      <w:pPr>
        <w:jc w:val="both"/>
        <w:ind w:left="660" w:hanging="652"/>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Company shall not adopt any governance document, including any committee charters and any corporate governance or other similar board or committee policies, or enter into any agreements, contracts or other instruments inconsistent with the provisions of the Shareholders’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ALTERATION OF BYE-LAWS</w:t>
      </w:r>
    </w:p>
    <w:p>
      <w:pPr>
        <w:spacing w:after="0" w:line="265"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may be amended from time to time in the manner provided for in the Act.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1" w:name="page132"/>
    <w:bookmarkEnd w:id="131"/>
    <w:p>
      <w:pPr>
        <w:jc w:val="center"/>
        <w:ind w:right="100"/>
        <w:spacing w:after="0"/>
        <w:rPr>
          <w:sz w:val="20"/>
          <w:szCs w:val="20"/>
          <w:color w:val="auto"/>
        </w:rPr>
      </w:pPr>
      <w:r>
        <w:rPr>
          <w:rFonts w:ascii="Arial" w:cs="Arial" w:eastAsia="Arial" w:hAnsi="Arial"/>
          <w:sz w:val="22"/>
          <w:szCs w:val="22"/>
          <w:b w:val="1"/>
          <w:bCs w:val="1"/>
          <w:color w:val="auto"/>
        </w:rPr>
        <w:t>SCHEDULE 1</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Existing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2134235" cy="1011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34235" cy="10115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[SHAREHOLDER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[SHAREHOLDER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[SHAREHOLDER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350" w:right="339" w:bottom="1440" w:gutter="0" w:footer="0" w:header="0"/>
        </w:sectPr>
      </w:pPr>
    </w:p>
    <w:bookmarkStart w:id="132" w:name="page133"/>
    <w:bookmarkEnd w:id="132"/>
    <w:p>
      <w:pPr>
        <w:jc w:val="center"/>
        <w:ind w:right="1120"/>
        <w:spacing w:after="0"/>
        <w:rPr>
          <w:sz w:val="20"/>
          <w:szCs w:val="20"/>
          <w:color w:val="auto"/>
        </w:rPr>
      </w:pPr>
      <w:r>
        <w:rPr>
          <w:rFonts w:ascii="Arial" w:cs="Arial" w:eastAsia="Arial" w:hAnsi="Arial"/>
          <w:sz w:val="22"/>
          <w:szCs w:val="22"/>
          <w:b w:val="1"/>
          <w:bCs w:val="1"/>
          <w:color w:val="auto"/>
        </w:rPr>
        <w:t>SCHEDULE 2</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Certificate of Designation of Preference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EXHIBIT C</w:t>
      </w:r>
    </w:p>
    <w:p>
      <w:pPr>
        <w:spacing w:after="0" w:line="200" w:lineRule="exact"/>
        <w:rPr>
          <w:sz w:val="20"/>
          <w:szCs w:val="20"/>
          <w:color w:val="auto"/>
        </w:rPr>
      </w:pPr>
    </w:p>
    <w:p>
      <w:pPr>
        <w:spacing w:after="0" w:line="271"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SURVIVING COMPANY BOARD</w:t>
      </w:r>
    </w:p>
    <w:p>
      <w:pPr>
        <w:spacing w:after="0" w:line="246" w:lineRule="exact"/>
        <w:rPr>
          <w:sz w:val="20"/>
          <w:szCs w:val="20"/>
          <w:color w:val="auto"/>
        </w:rPr>
      </w:pPr>
    </w:p>
    <w:p>
      <w:pPr>
        <w:ind w:left="328" w:hanging="328"/>
        <w:spacing w:after="0"/>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Peter G. Livanos</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Julian Metherell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Anthony Papadimitriou</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James Berner</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Eduard Ruijs</w:t>
      </w:r>
    </w:p>
    <w:p>
      <w:pPr>
        <w:sectPr>
          <w:pgSz w:w="11900" w:h="16838" w:orient="portrait"/>
          <w:cols w:equalWidth="0" w:num="1">
            <w:col w:w="10908"/>
          </w:cols>
          <w:pgMar w:left="652" w:top="11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2.2</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ROLLOVER AGREEMENT</w:t>
      </w:r>
    </w:p>
    <w:p>
      <w:pPr>
        <w:spacing w:after="0" w:line="23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This ROLLOVER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February 21, 2021, among GEPIF III Crown Bidco L.P., a Cayman Islands exempted limited partnership (“</w:t>
      </w:r>
      <w:r>
        <w:rPr>
          <w:rFonts w:ascii="Arial" w:cs="Arial" w:eastAsia="Arial" w:hAnsi="Arial"/>
          <w:sz w:val="22"/>
          <w:szCs w:val="22"/>
          <w:u w:val="single" w:color="auto"/>
          <w:color w:val="auto"/>
        </w:rPr>
        <w:t>Parent</w:t>
      </w:r>
      <w:r>
        <w:rPr>
          <w:rFonts w:ascii="Arial" w:cs="Arial" w:eastAsia="Arial" w:hAnsi="Arial"/>
          <w:sz w:val="22"/>
          <w:szCs w:val="22"/>
          <w:color w:val="auto"/>
        </w:rPr>
        <w:t>”), GasLog Ltd., a Bermuda exempted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Persons executing this Agreement as “Rolling Shareholders” on the signature page hereto (each a “</w:t>
      </w:r>
      <w:r>
        <w:rPr>
          <w:rFonts w:ascii="Arial" w:cs="Arial" w:eastAsia="Arial" w:hAnsi="Arial"/>
          <w:sz w:val="22"/>
          <w:szCs w:val="22"/>
          <w:u w:val="single" w:color="auto"/>
          <w:color w:val="auto"/>
        </w:rPr>
        <w:t>Rolling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Shareholder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Rolling Shareholders</w:t>
      </w:r>
      <w:r>
        <w:rPr>
          <w:rFonts w:ascii="Arial" w:cs="Arial" w:eastAsia="Arial" w:hAnsi="Arial"/>
          <w:sz w:val="22"/>
          <w:szCs w:val="22"/>
          <w:color w:val="auto"/>
        </w:rPr>
        <w:t>”).</w:t>
      </w:r>
    </w:p>
    <w:p>
      <w:pPr>
        <w:spacing w:after="0" w:line="21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WHEREAS, concurrently with the execution and delivery of this Agreement, the Company, Parent and GEPIF III Crown MergerCo Limited, a Bermuda exempted company and a wholly owned Subsidiary of Parent (“</w:t>
      </w:r>
      <w:r>
        <w:rPr>
          <w:rFonts w:ascii="Arial" w:cs="Arial" w:eastAsia="Arial" w:hAnsi="Arial"/>
          <w:sz w:val="21"/>
          <w:szCs w:val="21"/>
          <w:u w:val="single" w:color="auto"/>
          <w:color w:val="auto"/>
        </w:rPr>
        <w:t>Merger Sub</w:t>
      </w:r>
      <w:r>
        <w:rPr>
          <w:rFonts w:ascii="Arial" w:cs="Arial" w:eastAsia="Arial" w:hAnsi="Arial"/>
          <w:sz w:val="21"/>
          <w:szCs w:val="21"/>
          <w:color w:val="auto"/>
        </w:rPr>
        <w:t>”), are entering into an Agreement and Plan of Merger (as the same may be amended, restated or supplemented from time to time in accordance with its terms, the “</w:t>
      </w:r>
      <w:r>
        <w:rPr>
          <w:rFonts w:ascii="Arial" w:cs="Arial" w:eastAsia="Arial" w:hAnsi="Arial"/>
          <w:sz w:val="21"/>
          <w:szCs w:val="21"/>
          <w:u w:val="single" w:color="auto"/>
          <w:color w:val="auto"/>
        </w:rPr>
        <w:t>Merger Agreement</w:t>
      </w:r>
      <w:r>
        <w:rPr>
          <w:rFonts w:ascii="Arial" w:cs="Arial" w:eastAsia="Arial" w:hAnsi="Arial"/>
          <w:sz w:val="21"/>
          <w:szCs w:val="21"/>
          <w:color w:val="auto"/>
        </w:rPr>
        <w:t>”), providing for, among other things, the merger of Merger Sub with and into the Company, with the Company surviving such merger (the “</w:t>
      </w:r>
      <w:r>
        <w:rPr>
          <w:rFonts w:ascii="Arial" w:cs="Arial" w:eastAsia="Arial" w:hAnsi="Arial"/>
          <w:sz w:val="21"/>
          <w:szCs w:val="21"/>
          <w:u w:val="single" w:color="auto"/>
          <w:color w:val="auto"/>
        </w:rPr>
        <w:t>Merger</w:t>
      </w:r>
      <w:r>
        <w:rPr>
          <w:rFonts w:ascii="Arial" w:cs="Arial" w:eastAsia="Arial" w:hAnsi="Arial"/>
          <w:sz w:val="21"/>
          <w:szCs w:val="21"/>
          <w:color w:val="auto"/>
        </w:rPr>
        <w:t>”);</w:t>
      </w:r>
    </w:p>
    <w:p>
      <w:pPr>
        <w:spacing w:after="0" w:line="20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WHEREAS, as of the date hereof, each Rolling Shareholder is the “beneficial owner” (within the meaning of Rule 13d-3 under the Securities Exchange Act of 1934, as amended, and the rules and regulations promulgated thereunder (collectively, the “</w:t>
      </w:r>
      <w:r>
        <w:rPr>
          <w:rFonts w:ascii="Arial" w:cs="Arial" w:eastAsia="Arial" w:hAnsi="Arial"/>
          <w:sz w:val="19"/>
          <w:szCs w:val="19"/>
          <w:u w:val="single" w:color="auto"/>
          <w:color w:val="auto"/>
        </w:rPr>
        <w:t>Exchange Act</w:t>
      </w:r>
      <w:r>
        <w:rPr>
          <w:rFonts w:ascii="Arial" w:cs="Arial" w:eastAsia="Arial" w:hAnsi="Arial"/>
          <w:sz w:val="19"/>
          <w:szCs w:val="19"/>
          <w:color w:val="auto"/>
        </w:rPr>
        <w:t>”)) of and is entitled to dispose and vote (a) the number of common shares, par value $0.01 per share, of the Company (“</w:t>
      </w:r>
      <w:r>
        <w:rPr>
          <w:rFonts w:ascii="Arial" w:cs="Arial" w:eastAsia="Arial" w:hAnsi="Arial"/>
          <w:sz w:val="19"/>
          <w:szCs w:val="19"/>
          <w:u w:val="single" w:color="auto"/>
          <w:color w:val="auto"/>
        </w:rPr>
        <w:t>Common Shares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(with respect to such Rolling Shareholder, the “</w:t>
      </w:r>
      <w:r>
        <w:rPr>
          <w:rFonts w:ascii="Arial" w:cs="Arial" w:eastAsia="Arial" w:hAnsi="Arial"/>
          <w:sz w:val="19"/>
          <w:szCs w:val="19"/>
          <w:u w:val="single" w:color="auto"/>
          <w:color w:val="auto"/>
        </w:rPr>
        <w:t>Rollover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and (b) the number of the Company’s 8.75% Series A Cumulative Redeemable Perpetual Preference Shares, par value $0.01 per share (the “</w:t>
      </w:r>
      <w:r>
        <w:rPr>
          <w:rFonts w:ascii="Arial" w:cs="Arial" w:eastAsia="Arial" w:hAnsi="Arial"/>
          <w:sz w:val="19"/>
          <w:szCs w:val="19"/>
          <w:u w:val="single" w:color="auto"/>
          <w:color w:val="auto"/>
        </w:rPr>
        <w:t>Preference Shares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(with respect to such Rolling Shareholder, the “</w:t>
      </w:r>
      <w:r>
        <w:rPr>
          <w:rFonts w:ascii="Arial" w:cs="Arial" w:eastAsia="Arial" w:hAnsi="Arial"/>
          <w:sz w:val="19"/>
          <w:szCs w:val="19"/>
          <w:u w:val="single" w:color="auto"/>
          <w:color w:val="auto"/>
        </w:rPr>
        <w:t>Owned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Preference Shares</w:t>
      </w:r>
      <w:r>
        <w:rPr>
          <w:rFonts w:ascii="Arial" w:cs="Arial" w:eastAsia="Arial" w:hAnsi="Arial"/>
          <w:sz w:val="19"/>
          <w:szCs w:val="19"/>
          <w:color w:val="auto"/>
        </w:rPr>
        <w:t>” and, together with the Rollover Shares and any additional Common Shares and Preference Shares of which such Rolling Shareholder becomes the “beneficial owner” after the date hereof and during the term of this Agreement in accordance with this Agreement, without duplication, the “</w:t>
      </w:r>
      <w:r>
        <w:rPr>
          <w:rFonts w:ascii="Arial" w:cs="Arial" w:eastAsia="Arial" w:hAnsi="Arial"/>
          <w:sz w:val="19"/>
          <w:szCs w:val="19"/>
          <w:u w:val="single" w:color="auto"/>
          <w:color w:val="auto"/>
        </w:rPr>
        <w:t>Owned Shares</w:t>
      </w:r>
      <w:r>
        <w:rPr>
          <w:rFonts w:ascii="Arial" w:cs="Arial" w:eastAsia="Arial" w:hAnsi="Arial"/>
          <w:sz w:val="19"/>
          <w:szCs w:val="19"/>
          <w:color w:val="auto"/>
        </w:rPr>
        <w:t>”);</w:t>
      </w:r>
    </w:p>
    <w:p>
      <w:pPr>
        <w:spacing w:after="0" w:line="18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notwithstanding that the Merger will result in the issued and outstanding Common Shares held by the Public Shareholders being canceled and converted into the right to receive the Merger Consideration in accordance with the terms of the Merger Agreement, Parent, the Company and the Rolling Shareholders intend for the Rollover Shares to remain outstanding following, and to not be affected by, the Merger; and</w:t>
      </w:r>
    </w:p>
    <w:p>
      <w:pPr>
        <w:spacing w:after="0" w:line="212"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 xml:space="preserve">WHEREAS, at and effective upon the Closing, Parent, the Company and certain Rolling Shareholders intend to enter into a shareholder agreement,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Shareholder Agreement</w:t>
      </w:r>
      <w:r>
        <w:rPr>
          <w:rFonts w:ascii="Arial" w:cs="Arial" w:eastAsia="Arial" w:hAnsi="Arial"/>
          <w:sz w:val="21"/>
          <w:szCs w:val="21"/>
          <w:color w:val="auto"/>
        </w:rPr>
        <w:t>”).</w:t>
      </w:r>
    </w:p>
    <w:p>
      <w:pPr>
        <w:spacing w:after="0" w:line="17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NOW, THEREFORE, as a condition and inducement to the willingness of Parent and Merger Sub to enter into the Merger Agreement, and in consideration of the foregoing and the respective representations, warranties, covenants and agreements set forth in this Agreement,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color w:val="010000"/>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Interpretation</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010000"/>
        </w:rPr>
        <w:t xml:space="preserve">Section 1.01 </w:t>
      </w:r>
      <w:r>
        <w:rPr>
          <w:rFonts w:ascii="Arial" w:cs="Arial" w:eastAsia="Arial" w:hAnsi="Arial"/>
          <w:sz w:val="22"/>
          <w:szCs w:val="22"/>
          <w:u w:val="single" w:color="auto"/>
          <w:color w:val="000000"/>
        </w:rPr>
        <w:t>Definitions.</w:t>
      </w:r>
      <w:r>
        <w:rPr>
          <w:rFonts w:ascii="Arial" w:cs="Arial" w:eastAsia="Arial" w:hAnsi="Arial"/>
          <w:sz w:val="22"/>
          <w:szCs w:val="22"/>
          <w:color w:val="010000"/>
        </w:rPr>
        <w:t xml:space="preserve"> </w:t>
      </w:r>
      <w:r>
        <w:rPr>
          <w:rFonts w:ascii="Arial" w:cs="Arial" w:eastAsia="Arial" w:hAnsi="Arial"/>
          <w:sz w:val="22"/>
          <w:szCs w:val="22"/>
          <w:color w:val="000000"/>
        </w:rPr>
        <w:t>Capitalized terms used but not defined herein shall have the meanings given to such terms</w:t>
      </w:r>
      <w:r>
        <w:rPr>
          <w:rFonts w:ascii="Arial" w:cs="Arial" w:eastAsia="Arial" w:hAnsi="Arial"/>
          <w:sz w:val="22"/>
          <w:szCs w:val="22"/>
          <w:color w:val="010000"/>
        </w:rPr>
        <w:t xml:space="preserve"> </w:t>
      </w:r>
      <w:r>
        <w:rPr>
          <w:rFonts w:ascii="Arial" w:cs="Arial" w:eastAsia="Arial" w:hAnsi="Arial"/>
          <w:sz w:val="22"/>
          <w:szCs w:val="22"/>
          <w:color w:val="000000"/>
        </w:rPr>
        <w:t>in the Merger Agreement.</w:t>
      </w:r>
    </w:p>
    <w:p>
      <w:pPr>
        <w:spacing w:after="0" w:line="20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010000"/>
        </w:rPr>
        <w:t>Section 1.02</w:t>
      </w:r>
      <w:r>
        <w:rPr>
          <w:sz w:val="20"/>
          <w:szCs w:val="20"/>
          <w:color w:val="auto"/>
        </w:rPr>
        <w:tab/>
      </w:r>
      <w:r>
        <w:rPr>
          <w:rFonts w:ascii="Arial" w:cs="Arial" w:eastAsia="Arial" w:hAnsi="Arial"/>
          <w:sz w:val="19"/>
          <w:szCs w:val="19"/>
          <w:u w:val="single" w:color="auto"/>
          <w:color w:val="auto"/>
        </w:rPr>
        <w:t>Interpretation.</w:t>
      </w:r>
    </w:p>
    <w:p>
      <w:pPr>
        <w:spacing w:after="0" w:line="233" w:lineRule="exact"/>
        <w:rPr>
          <w:sz w:val="20"/>
          <w:szCs w:val="20"/>
          <w:color w:val="auto"/>
        </w:rPr>
      </w:pPr>
    </w:p>
    <w:p>
      <w:pPr>
        <w:jc w:val="both"/>
        <w:ind w:firstLine="1304"/>
        <w:spacing w:after="0" w:line="243" w:lineRule="auto"/>
        <w:tabs>
          <w:tab w:leader="none" w:pos="159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When a reference is made in this Agreement to an Article, a Section or an Exhibit, such reference shall be to an Article of, a Section of, or an Exhibit to,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215" w:lineRule="exact"/>
        <w:rPr>
          <w:rFonts w:ascii="Arial" w:cs="Arial" w:eastAsia="Arial" w:hAnsi="Arial"/>
          <w:sz w:val="21"/>
          <w:szCs w:val="21"/>
          <w:color w:val="auto"/>
        </w:rPr>
      </w:pPr>
    </w:p>
    <w:p>
      <w:pPr>
        <w:jc w:val="both"/>
        <w:ind w:firstLine="1304"/>
        <w:spacing w:after="0" w:line="238" w:lineRule="auto"/>
        <w:tabs>
          <w:tab w:leader="none" w:pos="161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Rollover</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Section 2.01 </w:t>
      </w:r>
      <w:r>
        <w:rPr>
          <w:rFonts w:ascii="Arial" w:cs="Arial" w:eastAsia="Arial" w:hAnsi="Arial"/>
          <w:sz w:val="19"/>
          <w:szCs w:val="19"/>
          <w:u w:val="single" w:color="auto"/>
          <w:color w:val="000000"/>
        </w:rPr>
        <w:t>Rollover.</w:t>
      </w:r>
      <w:r>
        <w:rPr>
          <w:rFonts w:ascii="Arial" w:cs="Arial" w:eastAsia="Arial" w:hAnsi="Arial"/>
          <w:sz w:val="19"/>
          <w:szCs w:val="19"/>
          <w:color w:val="010000"/>
        </w:rPr>
        <w:t xml:space="preserve"> </w:t>
      </w:r>
      <w:r>
        <w:rPr>
          <w:rFonts w:ascii="Arial" w:cs="Arial" w:eastAsia="Arial" w:hAnsi="Arial"/>
          <w:sz w:val="19"/>
          <w:szCs w:val="19"/>
          <w:color w:val="000000"/>
        </w:rPr>
        <w:t>Each Rolling Shareholder agrees that, in accordance with the terms of the Merger Agreement</w:t>
      </w:r>
      <w:r>
        <w:rPr>
          <w:rFonts w:ascii="Arial" w:cs="Arial" w:eastAsia="Arial" w:hAnsi="Arial"/>
          <w:sz w:val="19"/>
          <w:szCs w:val="19"/>
          <w:color w:val="010000"/>
        </w:rPr>
        <w:t xml:space="preserve"> </w:t>
      </w:r>
      <w:r>
        <w:rPr>
          <w:rFonts w:ascii="Arial" w:cs="Arial" w:eastAsia="Arial" w:hAnsi="Arial"/>
          <w:sz w:val="19"/>
          <w:szCs w:val="19"/>
          <w:color w:val="000000"/>
        </w:rPr>
        <w:t>and by virtue of the occurrence of the Merger, (a) each Rollover Share that is issued and outstanding prior to the Effective Time and owned by it shall remain outstanding as one duly authorized, validly issued, fully paid and nonassessable Surviving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jc w:val="both"/>
        <w:spacing w:after="0" w:line="252" w:lineRule="auto"/>
        <w:rPr>
          <w:sz w:val="20"/>
          <w:szCs w:val="20"/>
          <w:color w:val="auto"/>
        </w:rPr>
      </w:pPr>
      <w:r>
        <w:rPr>
          <w:rFonts w:ascii="Arial" w:cs="Arial" w:eastAsia="Arial" w:hAnsi="Arial"/>
          <w:sz w:val="21"/>
          <w:szCs w:val="21"/>
          <w:color w:val="auto"/>
        </w:rPr>
        <w:t>Company Share and (b) each Preference Share that is issued and outstanding prior to the Effective Time and owned by it shall remain outstanding as a Surviving Company Preference Share. Each Rolling Shareholder hereby waives any claim that it should be entitled to receive the Merger Consideration for the Rollover Shares, including any claim that the Rollover Shares should be or have been converted in the Merger into the right to receive the Merger Consideration.</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010000"/>
        </w:rPr>
        <w:t xml:space="preserve">Section 2.02 </w:t>
      </w:r>
      <w:r>
        <w:rPr>
          <w:rFonts w:ascii="Arial" w:cs="Arial" w:eastAsia="Arial" w:hAnsi="Arial"/>
          <w:sz w:val="21"/>
          <w:szCs w:val="21"/>
          <w:u w:val="single" w:color="auto"/>
          <w:color w:val="000000"/>
        </w:rPr>
        <w:t>Waiver of Appraisal Rights.</w:t>
      </w:r>
      <w:r>
        <w:rPr>
          <w:rFonts w:ascii="Arial" w:cs="Arial" w:eastAsia="Arial" w:hAnsi="Arial"/>
          <w:sz w:val="21"/>
          <w:szCs w:val="21"/>
          <w:color w:val="010000"/>
        </w:rPr>
        <w:t xml:space="preserve"> </w:t>
      </w:r>
      <w:r>
        <w:rPr>
          <w:rFonts w:ascii="Arial" w:cs="Arial" w:eastAsia="Arial" w:hAnsi="Arial"/>
          <w:sz w:val="21"/>
          <w:szCs w:val="21"/>
          <w:color w:val="000000"/>
        </w:rPr>
        <w:t>To the fullest extent permitted by applicable Law, each Rolling Shareholder</w:t>
      </w:r>
      <w:r>
        <w:rPr>
          <w:rFonts w:ascii="Arial" w:cs="Arial" w:eastAsia="Arial" w:hAnsi="Arial"/>
          <w:sz w:val="21"/>
          <w:szCs w:val="21"/>
          <w:color w:val="010000"/>
        </w:rPr>
        <w:t xml:space="preserve"> </w:t>
      </w:r>
      <w:r>
        <w:rPr>
          <w:rFonts w:ascii="Arial" w:cs="Arial" w:eastAsia="Arial" w:hAnsi="Arial"/>
          <w:sz w:val="21"/>
          <w:szCs w:val="21"/>
          <w:color w:val="000000"/>
        </w:rPr>
        <w:t>hereby waives, and shall cause to be waived, any rights of appraisal or rights to dissent from the Merger or the other transactions contemplated by the Merger that such Rolling Shareholder may have under applicable Law.</w:t>
      </w:r>
    </w:p>
    <w:p>
      <w:pPr>
        <w:spacing w:after="0" w:line="19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Section 2.03 </w:t>
      </w:r>
      <w:r>
        <w:rPr>
          <w:rFonts w:ascii="Arial" w:cs="Arial" w:eastAsia="Arial" w:hAnsi="Arial"/>
          <w:sz w:val="22"/>
          <w:szCs w:val="22"/>
          <w:u w:val="single" w:color="auto"/>
          <w:color w:val="000000"/>
        </w:rPr>
        <w:t>Shareholder Agreement</w:t>
      </w:r>
      <w:r>
        <w:rPr>
          <w:rFonts w:ascii="Arial" w:cs="Arial" w:eastAsia="Arial" w:hAnsi="Arial"/>
          <w:sz w:val="22"/>
          <w:szCs w:val="22"/>
          <w:color w:val="000000"/>
        </w:rPr>
        <w:t>. In connection with the transactions contemplated by this Agreement and the</w:t>
      </w:r>
      <w:r>
        <w:rPr>
          <w:rFonts w:ascii="Arial" w:cs="Arial" w:eastAsia="Arial" w:hAnsi="Arial"/>
          <w:sz w:val="22"/>
          <w:szCs w:val="22"/>
          <w:color w:val="010000"/>
        </w:rPr>
        <w:t xml:space="preserve"> </w:t>
      </w:r>
      <w:r>
        <w:rPr>
          <w:rFonts w:ascii="Arial" w:cs="Arial" w:eastAsia="Arial" w:hAnsi="Arial"/>
          <w:sz w:val="22"/>
          <w:szCs w:val="22"/>
          <w:color w:val="000000"/>
        </w:rPr>
        <w:t>Merger Agreement, concurrently with the Closing, Parent, the Company and each of Blenheim Holdings Ltd., Olympic LNG Investments Ltd. and Blenheim Special Investments Holding Ltd. agree to execute and deliver a counterpart signature page to the Shareholder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of Each Rolling Shareholder</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Rolling Shareholder hereby represents and warrants, severally and not jointly, to Parent and the Company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Section 3.01 </w:t>
      </w:r>
      <w:r>
        <w:rPr>
          <w:rFonts w:ascii="Arial" w:cs="Arial" w:eastAsia="Arial" w:hAnsi="Arial"/>
          <w:sz w:val="22"/>
          <w:szCs w:val="22"/>
          <w:u w:val="single" w:color="auto"/>
          <w:color w:val="000000"/>
        </w:rPr>
        <w:t>Organization.</w:t>
      </w:r>
      <w:r>
        <w:rPr>
          <w:rFonts w:ascii="Arial" w:cs="Arial" w:eastAsia="Arial" w:hAnsi="Arial"/>
          <w:sz w:val="22"/>
          <w:szCs w:val="22"/>
          <w:color w:val="010000"/>
        </w:rPr>
        <w:t xml:space="preserve"> </w:t>
      </w:r>
      <w:r>
        <w:rPr>
          <w:rFonts w:ascii="Arial" w:cs="Arial" w:eastAsia="Arial" w:hAnsi="Arial"/>
          <w:sz w:val="22"/>
          <w:szCs w:val="22"/>
          <w:color w:val="000000"/>
        </w:rPr>
        <w:t>Such Rolling Shareholder is duly incorporated or organized, validly existing and in good</w:t>
      </w:r>
      <w:r>
        <w:rPr>
          <w:rFonts w:ascii="Arial" w:cs="Arial" w:eastAsia="Arial" w:hAnsi="Arial"/>
          <w:sz w:val="22"/>
          <w:szCs w:val="22"/>
          <w:color w:val="010000"/>
        </w:rPr>
        <w:t xml:space="preserve"> </w:t>
      </w:r>
      <w:r>
        <w:rPr>
          <w:rFonts w:ascii="Arial" w:cs="Arial" w:eastAsia="Arial" w:hAnsi="Arial"/>
          <w:sz w:val="22"/>
          <w:szCs w:val="22"/>
          <w:color w:val="000000"/>
        </w:rPr>
        <w:t>standing (where such concept is recognized under applicable Law) under the Laws of the jurisdiction of its incorporation or organization.</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Section 3.02 </w:t>
      </w:r>
      <w:r>
        <w:rPr>
          <w:rFonts w:ascii="Arial" w:cs="Arial" w:eastAsia="Arial" w:hAnsi="Arial"/>
          <w:sz w:val="19"/>
          <w:szCs w:val="19"/>
          <w:u w:val="single" w:color="auto"/>
          <w:color w:val="000000"/>
        </w:rPr>
        <w:t>Ownership of Owned Shares.</w:t>
      </w:r>
      <w:r>
        <w:rPr>
          <w:rFonts w:ascii="Arial" w:cs="Arial" w:eastAsia="Arial" w:hAnsi="Arial"/>
          <w:sz w:val="19"/>
          <w:szCs w:val="19"/>
          <w:color w:val="010000"/>
        </w:rPr>
        <w:t xml:space="preserve"> </w:t>
      </w:r>
      <w:r>
        <w:rPr>
          <w:rFonts w:ascii="Arial" w:cs="Arial" w:eastAsia="Arial" w:hAnsi="Arial"/>
          <w:sz w:val="19"/>
          <w:szCs w:val="19"/>
          <w:color w:val="000000"/>
        </w:rPr>
        <w:t>Such Rolling Shareholder is the beneficial owner of, and has good and</w:t>
      </w:r>
      <w:r>
        <w:rPr>
          <w:rFonts w:ascii="Arial" w:cs="Arial" w:eastAsia="Arial" w:hAnsi="Arial"/>
          <w:sz w:val="19"/>
          <w:szCs w:val="19"/>
          <w:color w:val="010000"/>
        </w:rPr>
        <w:t xml:space="preserve"> </w:t>
      </w:r>
      <w:r>
        <w:rPr>
          <w:rFonts w:ascii="Arial" w:cs="Arial" w:eastAsia="Arial" w:hAnsi="Arial"/>
          <w:sz w:val="19"/>
          <w:szCs w:val="19"/>
          <w:color w:val="000000"/>
        </w:rPr>
        <w:t>marketable title to, the Owned Shares, free and clear of all Liens, except for any Liens created by this Agreement or those imposed by applicable securities Laws or as disclosed under Amendment No. 9 to Schedule 13D with respect to the Company filed by Peter G. Livanos, Blenheim Holdings Ltd. and Ceres Shipping Ltd. on January 11, 2021 (the “</w:t>
      </w:r>
      <w:r>
        <w:rPr>
          <w:rFonts w:ascii="Arial" w:cs="Arial" w:eastAsia="Arial" w:hAnsi="Arial"/>
          <w:sz w:val="19"/>
          <w:szCs w:val="19"/>
          <w:u w:val="single" w:color="auto"/>
          <w:color w:val="000000"/>
        </w:rPr>
        <w:t>Blenheim 13D/A</w:t>
      </w:r>
      <w:r>
        <w:rPr>
          <w:rFonts w:ascii="Arial" w:cs="Arial" w:eastAsia="Arial" w:hAnsi="Arial"/>
          <w:sz w:val="19"/>
          <w:szCs w:val="19"/>
          <w:color w:val="000000"/>
        </w:rPr>
        <w:t>”). As of the date of this Agreement, such Rolling Shareholder does not beneficially own (within the meaning of Section 13 of the Exchange Act) any Common Shares, Preference Shares or any other Company Securities, other than the Owned Shares. Such Rolling Shareholder has the sole right to vote the Owned Shares, and, except as contemplated by this Agreement, none of the Owned Shares are subject to any voting trust or other agreement with respect to the voting of the Owned Shares. Such Rolling Shareholder has the sole right to dispose of the Owned Shares with no restrictions, subject to applicable securities Laws on its rights of disposition of the Owned Shares, other than as disclosed under the Blenheim 13D/A. As of the date of this Agreement, except (a) as contemplated by this Agreement, (b) for the Company’s ability to redeem the Preference Shares in accordance with the Company Organizational Documents, and (c) as disclosed under the Blenheim 13D/A, (i) there are no agreements or arrangements of any kind, contingent or otherwise, obligating such Rolling Shareholder to sell, transfer, pledge, assign or otherwise dispose of (collectively, “</w:t>
      </w:r>
      <w:r>
        <w:rPr>
          <w:rFonts w:ascii="Arial" w:cs="Arial" w:eastAsia="Arial" w:hAnsi="Arial"/>
          <w:sz w:val="19"/>
          <w:szCs w:val="19"/>
          <w:u w:val="single" w:color="auto"/>
          <w:color w:val="000000"/>
        </w:rPr>
        <w:t>Transfer</w:t>
      </w:r>
      <w:r>
        <w:rPr>
          <w:rFonts w:ascii="Arial" w:cs="Arial" w:eastAsia="Arial" w:hAnsi="Arial"/>
          <w:sz w:val="19"/>
          <w:szCs w:val="19"/>
          <w:color w:val="000000"/>
        </w:rPr>
        <w:t>”) or cause to be Transferred any Owned Shares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2"/>
          <w:szCs w:val="22"/>
          <w:color w:val="auto"/>
        </w:rPr>
        <w:t>otherwise relating to the Transfer of any Owned Shares and (ii) no Person has any contractual or other right or obligation to purchase or otherwise acquire any of such Owned Shares.</w:t>
      </w: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010000"/>
        </w:rPr>
        <w:t xml:space="preserve">Section 3.03 </w:t>
      </w:r>
      <w:r>
        <w:rPr>
          <w:rFonts w:ascii="Arial" w:cs="Arial" w:eastAsia="Arial" w:hAnsi="Arial"/>
          <w:sz w:val="19"/>
          <w:szCs w:val="19"/>
          <w:u w:val="single" w:color="auto"/>
          <w:color w:val="000000"/>
        </w:rPr>
        <w:t>Authority; Execution and Delivery; Enforceability.</w:t>
      </w:r>
      <w:r>
        <w:rPr>
          <w:rFonts w:ascii="Arial" w:cs="Arial" w:eastAsia="Arial" w:hAnsi="Arial"/>
          <w:sz w:val="19"/>
          <w:szCs w:val="19"/>
          <w:color w:val="010000"/>
        </w:rPr>
        <w:t xml:space="preserve"> </w:t>
      </w:r>
      <w:r>
        <w:rPr>
          <w:rFonts w:ascii="Arial" w:cs="Arial" w:eastAsia="Arial" w:hAnsi="Arial"/>
          <w:sz w:val="19"/>
          <w:szCs w:val="19"/>
          <w:color w:val="000000"/>
        </w:rPr>
        <w:t>Such Rolling Shareholder has all necessary power</w:t>
      </w:r>
      <w:r>
        <w:rPr>
          <w:rFonts w:ascii="Arial" w:cs="Arial" w:eastAsia="Arial" w:hAnsi="Arial"/>
          <w:sz w:val="19"/>
          <w:szCs w:val="19"/>
          <w:color w:val="010000"/>
        </w:rPr>
        <w:t xml:space="preserve"> </w:t>
      </w:r>
      <w:r>
        <w:rPr>
          <w:rFonts w:ascii="Arial" w:cs="Arial" w:eastAsia="Arial" w:hAnsi="Arial"/>
          <w:sz w:val="19"/>
          <w:szCs w:val="19"/>
          <w:color w:val="000000"/>
        </w:rPr>
        <w:t>and authority to execute and deliver this Agreement and to perform its obligations hereunder. The execution and delivery by such Rolling Shareholder of this Agreement and the performance by such Rolling Shareholder of its obligations hereunder have been duly authorized and approved by all requisite action, and no other action on the part of such Rolling Shareholder is necessary to authorize the execution and delivery of this Agreement or the performance by such Rolling Shareholder of its obligations hereunder. This Agreement has been duly executed and delivered by such Rolling Shareholder and, assuming due authorization, execution and delivery hereof by Parent and the Company, constitutes a legal, valid and binding obligation of such Rolling Shareholder, enforceable against such Rolling Shareholder in accordance with its terms, except that such enforceability may be limited by and is subject to the Bankruptcy and Equity Exception.</w:t>
      </w:r>
    </w:p>
    <w:p>
      <w:pPr>
        <w:spacing w:after="0" w:line="18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010000"/>
        </w:rPr>
        <w:t>Section 3.04</w:t>
      </w:r>
      <w:r>
        <w:rPr>
          <w:sz w:val="20"/>
          <w:szCs w:val="20"/>
          <w:color w:val="auto"/>
        </w:rPr>
        <w:tab/>
      </w:r>
      <w:r>
        <w:rPr>
          <w:rFonts w:ascii="Arial" w:cs="Arial" w:eastAsia="Arial" w:hAnsi="Arial"/>
          <w:sz w:val="19"/>
          <w:szCs w:val="19"/>
          <w:u w:val="single" w:color="auto"/>
          <w:color w:val="auto"/>
        </w:rPr>
        <w:t>No Conflicts; Governmental Approvals.</w:t>
      </w:r>
    </w:p>
    <w:p>
      <w:pPr>
        <w:spacing w:after="0" w:line="233" w:lineRule="exact"/>
        <w:rPr>
          <w:sz w:val="20"/>
          <w:szCs w:val="20"/>
          <w:color w:val="auto"/>
        </w:rPr>
      </w:pPr>
    </w:p>
    <w:p>
      <w:pPr>
        <w:jc w:val="both"/>
        <w:ind w:firstLine="1304"/>
        <w:spacing w:after="0" w:line="273" w:lineRule="auto"/>
        <w:tabs>
          <w:tab w:leader="none" w:pos="2149" w:val="left"/>
        </w:tabs>
        <w:numPr>
          <w:ilvl w:val="0"/>
          <w:numId w:val="180"/>
        </w:numPr>
        <w:rPr>
          <w:rFonts w:ascii="Arial" w:cs="Arial" w:eastAsia="Arial" w:hAnsi="Arial"/>
          <w:sz w:val="19"/>
          <w:szCs w:val="19"/>
          <w:color w:val="010000"/>
        </w:rPr>
      </w:pPr>
      <w:r>
        <w:rPr>
          <w:rFonts w:ascii="Arial" w:cs="Arial" w:eastAsia="Arial" w:hAnsi="Arial"/>
          <w:sz w:val="19"/>
          <w:szCs w:val="19"/>
          <w:color w:val="auto"/>
        </w:rPr>
        <w:t xml:space="preserve">Neither the execution and delivery of this Agreement by such Rolling Shareholder, nor the performance or compliance by such Rolling Shareholder with any of the terms or provisions hereof, will (i) conflict with or violate any provision of the organizational documents of such Rolling Shareholder or (ii) assuming that the actions described in </w:t>
      </w:r>
      <w:r>
        <w:rPr>
          <w:rFonts w:ascii="Arial" w:cs="Arial" w:eastAsia="Arial" w:hAnsi="Arial"/>
          <w:sz w:val="19"/>
          <w:szCs w:val="19"/>
          <w:u w:val="single" w:color="auto"/>
          <w:color w:val="auto"/>
        </w:rPr>
        <w:t>Section 3.04(b)</w:t>
      </w:r>
      <w:r>
        <w:rPr>
          <w:rFonts w:ascii="Arial" w:cs="Arial" w:eastAsia="Arial" w:hAnsi="Arial"/>
          <w:sz w:val="19"/>
          <w:szCs w:val="19"/>
          <w:color w:val="auto"/>
        </w:rPr>
        <w:t xml:space="preserve"> have been completed prior to the Effective Time, (x) violate any Law or Judgment applicable to such Rolling Shareholder, (y) violate or constitute a default under (with or without notice or lapse of time or both) any of the terms, conditions or provisions of any Contract to which such Rolling Shareholder is a party or bound, or give rise to any right to terminate, cancel, amend, modify or accelerate such Rolling Shareholder’s rights or obligations under any such Contract, or give rise to any right of first refusal, preemptive right, tag-along right, transfer right or other similar right of any other party to a Contract to which such Rolling Shareholder is a party or bound or (z) result in the creation of any Lien on any properties or assets of such Rolling Shareholder (including the Owned Shares), except,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as would not reasonably be expected to have a material adverse effect on the ability of such Rolling Shareholder to perform its obligations hereunder.</w:t>
      </w:r>
    </w:p>
    <w:p>
      <w:pPr>
        <w:spacing w:after="0" w:line="182" w:lineRule="exact"/>
        <w:rPr>
          <w:rFonts w:ascii="Arial" w:cs="Arial" w:eastAsia="Arial" w:hAnsi="Arial"/>
          <w:sz w:val="19"/>
          <w:szCs w:val="19"/>
          <w:color w:val="010000"/>
        </w:rPr>
      </w:pPr>
    </w:p>
    <w:p>
      <w:pPr>
        <w:jc w:val="both"/>
        <w:ind w:firstLine="1304"/>
        <w:spacing w:after="0" w:line="249" w:lineRule="auto"/>
        <w:tabs>
          <w:tab w:leader="none" w:pos="2008" w:val="left"/>
        </w:tabs>
        <w:numPr>
          <w:ilvl w:val="0"/>
          <w:numId w:val="180"/>
        </w:numPr>
        <w:rPr>
          <w:rFonts w:ascii="Arial" w:cs="Arial" w:eastAsia="Arial" w:hAnsi="Arial"/>
          <w:sz w:val="21"/>
          <w:szCs w:val="21"/>
          <w:color w:val="010000"/>
        </w:rPr>
      </w:pPr>
      <w:r>
        <w:rPr>
          <w:rFonts w:ascii="Arial" w:cs="Arial" w:eastAsia="Arial" w:hAnsi="Arial"/>
          <w:sz w:val="21"/>
          <w:szCs w:val="21"/>
          <w:color w:val="auto"/>
        </w:rPr>
        <w:t>No Consent of, or filing, declaration or registration with, any Governmental Authority is necessary for the execution and delivery of this Agreement by such Rolling Shareholder or the performance by such Rolling Shareholder of its obligations hereunder, other than as set forth in Section 3.04 of the Merger Agreement and filings with the SEC under the Exchange Act and such reports under, and such other compliance with, the Exchange Act as may be required in connection with this Agreement and the transactions contemplated by this Agreement.</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010000"/>
        </w:rPr>
        <w:t xml:space="preserve">Section 3.05 </w:t>
      </w:r>
      <w:r>
        <w:rPr>
          <w:rFonts w:ascii="Arial" w:cs="Arial" w:eastAsia="Arial" w:hAnsi="Arial"/>
          <w:sz w:val="21"/>
          <w:szCs w:val="21"/>
          <w:u w:val="single" w:color="auto"/>
          <w:color w:val="000000"/>
        </w:rPr>
        <w:t>Litigation.</w:t>
      </w:r>
      <w:r>
        <w:rPr>
          <w:rFonts w:ascii="Arial" w:cs="Arial" w:eastAsia="Arial" w:hAnsi="Arial"/>
          <w:sz w:val="21"/>
          <w:szCs w:val="21"/>
          <w:color w:val="010000"/>
        </w:rPr>
        <w:t xml:space="preserve"> </w:t>
      </w:r>
      <w:r>
        <w:rPr>
          <w:rFonts w:ascii="Arial" w:cs="Arial" w:eastAsia="Arial" w:hAnsi="Arial"/>
          <w:sz w:val="21"/>
          <w:szCs w:val="21"/>
          <w:color w:val="000000"/>
        </w:rPr>
        <w:t>As of the date of this Agreement, there is no pending or, to the knowledge of such Rolling</w:t>
      </w:r>
      <w:r>
        <w:rPr>
          <w:rFonts w:ascii="Arial" w:cs="Arial" w:eastAsia="Arial" w:hAnsi="Arial"/>
          <w:sz w:val="21"/>
          <w:szCs w:val="21"/>
          <w:color w:val="010000"/>
        </w:rPr>
        <w:t xml:space="preserve"> </w:t>
      </w:r>
      <w:r>
        <w:rPr>
          <w:rFonts w:ascii="Arial" w:cs="Arial" w:eastAsia="Arial" w:hAnsi="Arial"/>
          <w:sz w:val="21"/>
          <w:szCs w:val="21"/>
          <w:color w:val="000000"/>
        </w:rPr>
        <w:t>Shareholder, threatened in writing, legal or administrative proceeding, suit, arbitration or action or, to the knowledge of such Rolling Shareholder, investigation, against such Rolling Shareholder, that, individually or in the aggregate, has had or would reasonably be expected to have a material adverse effect on the ability of such Rolling Shareholder to perform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jc w:val="both"/>
        <w:spacing w:after="0"/>
        <w:rPr>
          <w:sz w:val="20"/>
          <w:szCs w:val="20"/>
          <w:color w:val="auto"/>
        </w:rPr>
      </w:pPr>
      <w:r>
        <w:rPr>
          <w:rFonts w:ascii="Arial" w:cs="Arial" w:eastAsia="Arial" w:hAnsi="Arial"/>
          <w:sz w:val="22"/>
          <w:szCs w:val="22"/>
          <w:color w:val="auto"/>
        </w:rPr>
        <w:t>its obligations hereunder. As of the date of this Agreement, there is no outstanding Judgment imposed upon such Rolling Shareholder that, individually or in the aggregate, has had or would reasonably be expected to have a material adverse effect on the ability of such Rolling Shareholder to perform its obligations hereunder.</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3.06 </w:t>
      </w:r>
      <w:r>
        <w:rPr>
          <w:rFonts w:ascii="Arial" w:cs="Arial" w:eastAsia="Arial" w:hAnsi="Arial"/>
          <w:sz w:val="22"/>
          <w:szCs w:val="22"/>
          <w:u w:val="single" w:color="auto"/>
          <w:color w:val="000000"/>
        </w:rPr>
        <w:t>Accredited Investor; Investment Intent.</w:t>
      </w:r>
      <w:r>
        <w:rPr>
          <w:rFonts w:ascii="Arial" w:cs="Arial" w:eastAsia="Arial" w:hAnsi="Arial"/>
          <w:sz w:val="22"/>
          <w:szCs w:val="22"/>
          <w:color w:val="010000"/>
        </w:rPr>
        <w:t xml:space="preserve"> </w:t>
      </w:r>
      <w:r>
        <w:rPr>
          <w:rFonts w:ascii="Arial" w:cs="Arial" w:eastAsia="Arial" w:hAnsi="Arial"/>
          <w:sz w:val="22"/>
          <w:szCs w:val="22"/>
          <w:color w:val="000000"/>
        </w:rPr>
        <w:t>Such Rolling Shareholder is an “accredited investor” (as such</w:t>
      </w:r>
      <w:r>
        <w:rPr>
          <w:rFonts w:ascii="Arial" w:cs="Arial" w:eastAsia="Arial" w:hAnsi="Arial"/>
          <w:sz w:val="22"/>
          <w:szCs w:val="22"/>
          <w:color w:val="010000"/>
        </w:rPr>
        <w:t xml:space="preserve"> </w:t>
      </w:r>
      <w:r>
        <w:rPr>
          <w:rFonts w:ascii="Arial" w:cs="Arial" w:eastAsia="Arial" w:hAnsi="Arial"/>
          <w:sz w:val="22"/>
          <w:szCs w:val="22"/>
          <w:color w:val="000000"/>
        </w:rPr>
        <w:t>term is defined in Regulation D under the Securities Act), with such knowledge and experience in financial and business matters as are necessary in order to evaluate the merits and risks of an investment in the Surviving Company Shares. Such Rolling Shareholder is retaining the Surviving Company Shares solely for its own account, for investment and not with a view toward resale or other distribution in violation of applicable securities Laws.</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3.07 </w:t>
      </w:r>
      <w:r>
        <w:rPr>
          <w:rFonts w:ascii="Arial" w:cs="Arial" w:eastAsia="Arial" w:hAnsi="Arial"/>
          <w:sz w:val="22"/>
          <w:szCs w:val="22"/>
          <w:u w:val="single" w:color="auto"/>
          <w:color w:val="000000"/>
        </w:rPr>
        <w:t>Advisors</w:t>
      </w:r>
      <w:r>
        <w:rPr>
          <w:rFonts w:ascii="Arial" w:cs="Arial" w:eastAsia="Arial" w:hAnsi="Arial"/>
          <w:sz w:val="22"/>
          <w:szCs w:val="22"/>
          <w:color w:val="000000"/>
        </w:rPr>
        <w:t>. Each Rolling Shareholder has carefully considered and has, to the extent such Rolling</w:t>
      </w:r>
      <w:r>
        <w:rPr>
          <w:rFonts w:ascii="Arial" w:cs="Arial" w:eastAsia="Arial" w:hAnsi="Arial"/>
          <w:sz w:val="22"/>
          <w:szCs w:val="22"/>
          <w:color w:val="010000"/>
        </w:rPr>
        <w:t xml:space="preserve"> </w:t>
      </w:r>
      <w:r>
        <w:rPr>
          <w:rFonts w:ascii="Arial" w:cs="Arial" w:eastAsia="Arial" w:hAnsi="Arial"/>
          <w:sz w:val="22"/>
          <w:szCs w:val="22"/>
          <w:color w:val="000000"/>
        </w:rPr>
        <w:t>Shareholder believes such discussion necessary, discussed with such Rolling Shareholder’s own legal, tax, accounting and financial advisors the transactions contemplated by this Agreement and the Merger Agreement in light of such Rolling Shareholder’s particular tax, financial and other situation, and has made its own determination regarding the transactions contemplated by this Agreement and the Merger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 of Parent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Parent hereby represents and warrants to the Rolling Shareholders and the Company that:</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010000"/>
        </w:rPr>
        <w:t xml:space="preserve">Section 4.01 </w:t>
      </w:r>
      <w:r>
        <w:rPr>
          <w:rFonts w:ascii="Arial" w:cs="Arial" w:eastAsia="Arial" w:hAnsi="Arial"/>
          <w:sz w:val="22"/>
          <w:szCs w:val="22"/>
          <w:u w:val="single" w:color="auto"/>
          <w:color w:val="000000"/>
        </w:rPr>
        <w:t>Organization.</w:t>
      </w:r>
      <w:r>
        <w:rPr>
          <w:rFonts w:ascii="Arial" w:cs="Arial" w:eastAsia="Arial" w:hAnsi="Arial"/>
          <w:sz w:val="22"/>
          <w:szCs w:val="22"/>
          <w:color w:val="010000"/>
        </w:rPr>
        <w:t xml:space="preserve"> </w:t>
      </w:r>
      <w:r>
        <w:rPr>
          <w:rFonts w:ascii="Arial" w:cs="Arial" w:eastAsia="Arial" w:hAnsi="Arial"/>
          <w:sz w:val="22"/>
          <w:szCs w:val="22"/>
          <w:color w:val="000000"/>
        </w:rPr>
        <w:t>Parent is an exempted limited partnership duly organized, validly existing and in good</w:t>
      </w:r>
      <w:r>
        <w:rPr>
          <w:rFonts w:ascii="Arial" w:cs="Arial" w:eastAsia="Arial" w:hAnsi="Arial"/>
          <w:sz w:val="22"/>
          <w:szCs w:val="22"/>
          <w:color w:val="010000"/>
        </w:rPr>
        <w:t xml:space="preserve"> </w:t>
      </w:r>
      <w:r>
        <w:rPr>
          <w:rFonts w:ascii="Arial" w:cs="Arial" w:eastAsia="Arial" w:hAnsi="Arial"/>
          <w:sz w:val="22"/>
          <w:szCs w:val="22"/>
          <w:color w:val="000000"/>
        </w:rPr>
        <w:t>standing under the Laws of the Cayman Islands.</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4.02 </w:t>
      </w:r>
      <w:r>
        <w:rPr>
          <w:rFonts w:ascii="Arial" w:cs="Arial" w:eastAsia="Arial" w:hAnsi="Arial"/>
          <w:sz w:val="21"/>
          <w:szCs w:val="21"/>
          <w:u w:val="single" w:color="auto"/>
          <w:color w:val="000000"/>
        </w:rPr>
        <w:t>Authority; Execution and Delivery; Enforceability.</w:t>
      </w:r>
      <w:r>
        <w:rPr>
          <w:rFonts w:ascii="Arial" w:cs="Arial" w:eastAsia="Arial" w:hAnsi="Arial"/>
          <w:sz w:val="21"/>
          <w:szCs w:val="21"/>
          <w:color w:val="010000"/>
        </w:rPr>
        <w:t xml:space="preserve"> </w:t>
      </w:r>
      <w:r>
        <w:rPr>
          <w:rFonts w:ascii="Arial" w:cs="Arial" w:eastAsia="Arial" w:hAnsi="Arial"/>
          <w:sz w:val="21"/>
          <w:szCs w:val="21"/>
          <w:color w:val="000000"/>
        </w:rPr>
        <w:t>Parent has all necessary power and authority to</w:t>
      </w:r>
      <w:r>
        <w:rPr>
          <w:rFonts w:ascii="Arial" w:cs="Arial" w:eastAsia="Arial" w:hAnsi="Arial"/>
          <w:sz w:val="21"/>
          <w:szCs w:val="21"/>
          <w:color w:val="010000"/>
        </w:rPr>
        <w:t xml:space="preserve"> </w:t>
      </w:r>
      <w:r>
        <w:rPr>
          <w:rFonts w:ascii="Arial" w:cs="Arial" w:eastAsia="Arial" w:hAnsi="Arial"/>
          <w:sz w:val="21"/>
          <w:szCs w:val="21"/>
          <w:color w:val="000000"/>
        </w:rPr>
        <w:t>execute and deliver this Agreement and to perform its obligations hereunder. The execution and delivery by Parent of this Agreement and the performance by Parent of its obligations hereunder have been duly authorized and approved by all requisite action, and no other action on the part of Parent is necessary to authorize the execution and delivery of this Agreement or the performance by Parent of its obligations hereunder. This Agreement has been duly executed and delivered by Parent and, assuming due authorization, execution and delivery hereof by the Rolling Shareholders and the Company, constitutes a legal, valid and binding obligation of Parent, enforceable against Parent in accordance with its terms, except that such enforceability may be limited by and is subject to the Bankruptcy and Equity Exception.</w:t>
      </w:r>
    </w:p>
    <w:p>
      <w:pPr>
        <w:spacing w:after="0" w:line="20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010000"/>
        </w:rPr>
        <w:t>Section 4.03</w:t>
      </w:r>
      <w:r>
        <w:rPr>
          <w:sz w:val="20"/>
          <w:szCs w:val="20"/>
          <w:color w:val="auto"/>
        </w:rPr>
        <w:tab/>
      </w:r>
      <w:r>
        <w:rPr>
          <w:rFonts w:ascii="Arial" w:cs="Arial" w:eastAsia="Arial" w:hAnsi="Arial"/>
          <w:sz w:val="19"/>
          <w:szCs w:val="19"/>
          <w:u w:val="single" w:color="auto"/>
          <w:color w:val="auto"/>
        </w:rPr>
        <w:t>No Conflicts; Governmental Approvals.</w:t>
      </w:r>
    </w:p>
    <w:p>
      <w:pPr>
        <w:spacing w:after="0" w:line="233" w:lineRule="exact"/>
        <w:rPr>
          <w:sz w:val="20"/>
          <w:szCs w:val="20"/>
          <w:color w:val="auto"/>
        </w:rPr>
      </w:pPr>
    </w:p>
    <w:p>
      <w:pPr>
        <w:jc w:val="both"/>
        <w:ind w:firstLine="1304"/>
        <w:spacing w:after="0" w:line="235" w:lineRule="auto"/>
        <w:tabs>
          <w:tab w:leader="none" w:pos="2178" w:val="left"/>
        </w:tabs>
        <w:numPr>
          <w:ilvl w:val="0"/>
          <w:numId w:val="181"/>
        </w:numPr>
        <w:rPr>
          <w:rFonts w:ascii="Arial" w:cs="Arial" w:eastAsia="Arial" w:hAnsi="Arial"/>
          <w:sz w:val="22"/>
          <w:szCs w:val="22"/>
          <w:color w:val="010000"/>
        </w:rPr>
      </w:pPr>
      <w:r>
        <w:rPr>
          <w:rFonts w:ascii="Arial" w:cs="Arial" w:eastAsia="Arial" w:hAnsi="Arial"/>
          <w:sz w:val="22"/>
          <w:szCs w:val="22"/>
          <w:color w:val="auto"/>
        </w:rPr>
        <w:t xml:space="preserve">Neither the execution and delivery of this Agreement by Parent, nor the performance or compliance by Parent with any of the terms or provisions hereof, will (i) conflict with or violate any provision of the organizational documents of Parent or (ii) assuming that the actions described in </w:t>
      </w:r>
      <w:r>
        <w:rPr>
          <w:rFonts w:ascii="Arial" w:cs="Arial" w:eastAsia="Arial" w:hAnsi="Arial"/>
          <w:sz w:val="22"/>
          <w:szCs w:val="22"/>
          <w:u w:val="single" w:color="auto"/>
          <w:color w:val="auto"/>
        </w:rPr>
        <w:t>Section 4.03(b)</w:t>
      </w:r>
      <w:r>
        <w:rPr>
          <w:rFonts w:ascii="Arial" w:cs="Arial" w:eastAsia="Arial" w:hAnsi="Arial"/>
          <w:sz w:val="22"/>
          <w:szCs w:val="22"/>
          <w:color w:val="auto"/>
        </w:rPr>
        <w:t xml:space="preserve"> have been completed prior to or promptly after the Effective Time, (x) violate any Law or Judgment applicable to Parent, (y) violate or constitute a default under (with or without notice or lapse of time or both) any of the terms, conditions or provisions of any Contract to which Parent is a party or bound, or give rise to any right to terminate, cancel,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both"/>
        <w:spacing w:after="0" w:line="287" w:lineRule="auto"/>
        <w:rPr>
          <w:sz w:val="20"/>
          <w:szCs w:val="20"/>
          <w:color w:val="auto"/>
        </w:rPr>
      </w:pPr>
      <w:r>
        <w:rPr>
          <w:rFonts w:ascii="Arial" w:cs="Arial" w:eastAsia="Arial" w:hAnsi="Arial"/>
          <w:sz w:val="19"/>
          <w:szCs w:val="19"/>
          <w:color w:val="auto"/>
        </w:rPr>
        <w:t xml:space="preserve">amend, modify or accelerate Parent’s rights or obligations under any such Contract, or give rise to any right of first refusal, preemptive right, tag-along right, transfer right or other similar right of any other party to a Contract to which Parent is a party or bound or (z) result in the creation of any Lien on any properties or assets of Parent, except,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as would not reasonably be expected to have a material adverse effect on the ability of Parent to perform its obligations hereunder.</w:t>
      </w:r>
    </w:p>
    <w:p>
      <w:pPr>
        <w:spacing w:after="0" w:line="170" w:lineRule="exact"/>
        <w:rPr>
          <w:sz w:val="20"/>
          <w:szCs w:val="20"/>
          <w:color w:val="auto"/>
        </w:rPr>
      </w:pPr>
    </w:p>
    <w:p>
      <w:pPr>
        <w:jc w:val="both"/>
        <w:ind w:firstLine="1304"/>
        <w:spacing w:after="0"/>
        <w:tabs>
          <w:tab w:leader="none" w:pos="2225" w:val="left"/>
        </w:tabs>
        <w:numPr>
          <w:ilvl w:val="0"/>
          <w:numId w:val="182"/>
        </w:numPr>
        <w:rPr>
          <w:rFonts w:ascii="Arial" w:cs="Arial" w:eastAsia="Arial" w:hAnsi="Arial"/>
          <w:sz w:val="22"/>
          <w:szCs w:val="22"/>
          <w:color w:val="010000"/>
        </w:rPr>
      </w:pPr>
      <w:r>
        <w:rPr>
          <w:rFonts w:ascii="Arial" w:cs="Arial" w:eastAsia="Arial" w:hAnsi="Arial"/>
          <w:sz w:val="22"/>
          <w:szCs w:val="22"/>
          <w:color w:val="auto"/>
        </w:rPr>
        <w:t>Except as set forth in Section 4.03 of the Merger Agreement, no Consent of, or filing, declaration or registration with, any Governmental Authority is necessary for the execution and delivery of this Agreement by Parent or the performance by Parent of its obligations hereunder.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Covenants of Rolling Shareholders</w:t>
      </w:r>
    </w:p>
    <w:p>
      <w:pPr>
        <w:spacing w:after="0" w:line="23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010000"/>
        </w:rPr>
        <w:t>Section 5.01</w:t>
      </w:r>
      <w:r>
        <w:rPr>
          <w:sz w:val="20"/>
          <w:szCs w:val="20"/>
          <w:color w:val="auto"/>
        </w:rPr>
        <w:tab/>
      </w:r>
      <w:r>
        <w:rPr>
          <w:rFonts w:ascii="Arial" w:cs="Arial" w:eastAsia="Arial" w:hAnsi="Arial"/>
          <w:sz w:val="19"/>
          <w:szCs w:val="19"/>
          <w:u w:val="single" w:color="auto"/>
          <w:color w:val="auto"/>
        </w:rPr>
        <w:t>Agreement to Vote</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69" w:lineRule="auto"/>
        <w:tabs>
          <w:tab w:leader="none" w:pos="2126"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Each Rolling Shareholder agrees and hereby undertakes that at the Company Shareholders Meeting or at any other meeting of the shareholders of the Company called to seek approval of and adoption by such shareholders with respect to the Merger Agreement, the Statutory Merger Agreement or the Merger and the other Transactions, and at every adjournment or postponement thereof, and on every action or approval by written consent of the shareholders of the Company with respect thereto, (i) in the case of any such meeting of the shareholders of the Company, such Rolling Shareholder shall appear at any such meeting or otherwise cause the Owned Shares to be counted as present thereat for the purpose of establishing a quorum, (ii) such Rolling Shareholder shall vote or cause to be voted, and when a written consent is proposed, respond to each request for written consent and consent, all Owned Shares in favor of approving and adopting the Merger Agreement, the Statutory Merger Agreement, the Merger and any other actions contemplated by the Merger Agreement or the Statutory Merger Agreement in respect of which shareholder approval is requested or required and for any other matters necessary or reasonably requested by the Company for consummation of the Merger and the other Transactions, (iii) such Rolling Shareholder shall vote or cause to be voted, and when a written consent is proposed, respond to each request for written consent and consent, the Owned Shares in favor of any proposal by the Company to adjourn or postpone such meeting to a later date if there are not sufficient votes to approve and adopt the Merger Agreement, the Merger and the other Transactions, (iv)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Takeover Proposal, or any other proposal made in opposition to, in competition with, or inconsistent with the Merger Agreement, the Merger or the other Transactions, and (v)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other action or agreement that would reasonably be expected to (A) result in a breach of any representation, warranty, covenant or other obligation or agreement of the Company under the Merger Agreement, (B) result in the conditions of the consummation of the Merger under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0" w:name="page141"/>
    <w:bookmarkEnd w:id="140"/>
    <w:p>
      <w:pPr>
        <w:jc w:val="both"/>
        <w:spacing w:after="0" w:line="236" w:lineRule="auto"/>
        <w:rPr>
          <w:sz w:val="20"/>
          <w:szCs w:val="20"/>
          <w:color w:val="auto"/>
        </w:rPr>
      </w:pPr>
      <w:r>
        <w:rPr>
          <w:rFonts w:ascii="Arial" w:cs="Arial" w:eastAsia="Arial" w:hAnsi="Arial"/>
          <w:sz w:val="22"/>
          <w:szCs w:val="22"/>
          <w:color w:val="auto"/>
        </w:rPr>
        <w:t xml:space="preserve">Article VI of the Merger Agreement not being fulfilled or (C) impede, frustrate, interfere with, delay, postpone or adversely affect the Merger and the other Transactions. For the avoidance of doubt, each Rolling Shareholder shall retain at all times the right to vote any Owned Shares in such Rolling Shareholder’s sole discretion, and without any other limitation, on any matters other than those explicitly set forth in this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that are at any time or from time to time presented for consideration to the shareholders of the Company.</w:t>
      </w:r>
    </w:p>
    <w:p>
      <w:pPr>
        <w:spacing w:after="0" w:line="214" w:lineRule="exact"/>
        <w:rPr>
          <w:sz w:val="20"/>
          <w:szCs w:val="20"/>
          <w:color w:val="auto"/>
        </w:rPr>
      </w:pPr>
    </w:p>
    <w:p>
      <w:pPr>
        <w:jc w:val="both"/>
        <w:ind w:firstLine="1304"/>
        <w:spacing w:after="0"/>
        <w:tabs>
          <w:tab w:leader="none" w:pos="2331" w:val="left"/>
        </w:tabs>
        <w:numPr>
          <w:ilvl w:val="0"/>
          <w:numId w:val="184"/>
        </w:numPr>
        <w:rPr>
          <w:rFonts w:ascii="Arial" w:cs="Arial" w:eastAsia="Arial" w:hAnsi="Arial"/>
          <w:sz w:val="22"/>
          <w:szCs w:val="22"/>
          <w:color w:val="010000"/>
        </w:rPr>
      </w:pPr>
      <w:r>
        <w:rPr>
          <w:rFonts w:ascii="Arial" w:cs="Arial" w:eastAsia="Arial" w:hAnsi="Arial"/>
          <w:sz w:val="22"/>
          <w:szCs w:val="22"/>
          <w:color w:val="auto"/>
        </w:rPr>
        <w:t>Each Rolling Shareholder hereby covenants and agrees that it shall not enter into any agreement or undertaking, and shall not commit or agree to take any action, that would restrict or interfere with such Rolling Shareholder’s obligations pursuant to this Agreement.</w:t>
      </w:r>
    </w:p>
    <w:p>
      <w:pPr>
        <w:spacing w:after="0" w:line="213" w:lineRule="exact"/>
        <w:rPr>
          <w:rFonts w:ascii="Arial" w:cs="Arial" w:eastAsia="Arial" w:hAnsi="Arial"/>
          <w:sz w:val="22"/>
          <w:szCs w:val="22"/>
          <w:color w:val="010000"/>
        </w:rPr>
      </w:pPr>
    </w:p>
    <w:p>
      <w:pPr>
        <w:jc w:val="both"/>
        <w:ind w:firstLine="1304"/>
        <w:spacing w:after="0" w:line="257" w:lineRule="auto"/>
        <w:tabs>
          <w:tab w:leader="none" w:pos="2076" w:val="left"/>
        </w:tabs>
        <w:numPr>
          <w:ilvl w:val="0"/>
          <w:numId w:val="184"/>
        </w:numPr>
        <w:rPr>
          <w:rFonts w:ascii="Arial" w:cs="Arial" w:eastAsia="Arial" w:hAnsi="Arial"/>
          <w:sz w:val="21"/>
          <w:szCs w:val="21"/>
          <w:color w:val="010000"/>
        </w:rPr>
      </w:pPr>
      <w:r>
        <w:rPr>
          <w:rFonts w:ascii="Arial" w:cs="Arial" w:eastAsia="Arial" w:hAnsi="Arial"/>
          <w:sz w:val="21"/>
          <w:szCs w:val="21"/>
          <w:color w:val="auto"/>
        </w:rPr>
        <w:t>Nothing contained in this Agreement shall be deemed to vest in Parent any direct or indirect ownership or incidence of ownership of or with respect to any Owned Shares. All rights, ownership and economic benefits of and relating to the Owned Shares shall remain vested in and belong to the applicable Rolling Shareholder.</w:t>
      </w:r>
    </w:p>
    <w:p>
      <w:pPr>
        <w:spacing w:after="0" w:line="196"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010000"/>
        </w:rPr>
        <w:t>Section 5.02</w:t>
      </w:r>
      <w:r>
        <w:rPr>
          <w:sz w:val="20"/>
          <w:szCs w:val="20"/>
          <w:color w:val="auto"/>
        </w:rPr>
        <w:tab/>
      </w:r>
      <w:r>
        <w:rPr>
          <w:rFonts w:ascii="Arial" w:cs="Arial" w:eastAsia="Arial" w:hAnsi="Arial"/>
          <w:sz w:val="19"/>
          <w:szCs w:val="19"/>
          <w:u w:val="single" w:color="auto"/>
          <w:color w:val="auto"/>
        </w:rPr>
        <w:t>Transfer and Other Restrictions.</w:t>
      </w:r>
    </w:p>
    <w:p>
      <w:pPr>
        <w:spacing w:after="0" w:line="233" w:lineRule="exact"/>
        <w:rPr>
          <w:sz w:val="20"/>
          <w:szCs w:val="20"/>
          <w:color w:val="auto"/>
        </w:rPr>
      </w:pPr>
    </w:p>
    <w:p>
      <w:pPr>
        <w:jc w:val="both"/>
        <w:ind w:firstLine="1304"/>
        <w:spacing w:after="0" w:line="273" w:lineRule="auto"/>
        <w:tabs>
          <w:tab w:leader="none" w:pos="2257"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 xml:space="preserve">Until the Effective Time or, if earlier, the termination of this Agreement or the Merger Agreement in accordance with their respective terms, the Rolling Shareholders shall not, and shall cause their respective Affiliates not to, directly or indirectly, (i) Transfer, or enter into any Contract, option or other arrangement or understanding with respect to the Transfer of, any Owned Shares to any Person, (ii) deposit or permit the deposit of any Owned Shares into a voting trust or enter into any voting arrangement, whether by proxy, voting agreement or otherwise, or grant a proxy or power of attorney with respect to any Owned Shares or create or permit to exist any Lien, except as may be imposed pursuant to this Agreement or any applicable restrictions on transfer under the Securities Act or other applicable securities Laws or (iii) acquire beneficial (as defined in Rule 13d-3 under the Exchange Act) or record ownership of any additional Common Shares, Preference Shares or any other Company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shall prohibit Transfers or acquisitions of Common Shares, Preference Shares or any other Company Securities solely to the extent contemplated by </w:t>
      </w:r>
      <w:r>
        <w:rPr>
          <w:rFonts w:ascii="Arial" w:cs="Arial" w:eastAsia="Arial" w:hAnsi="Arial"/>
          <w:sz w:val="19"/>
          <w:szCs w:val="19"/>
          <w:u w:val="single" w:color="auto"/>
          <w:color w:val="auto"/>
        </w:rPr>
        <w:t>Section 5.02(b)</w:t>
      </w:r>
      <w:r>
        <w:rPr>
          <w:rFonts w:ascii="Arial" w:cs="Arial" w:eastAsia="Arial" w:hAnsi="Arial"/>
          <w:sz w:val="19"/>
          <w:szCs w:val="19"/>
          <w:color w:val="auto"/>
        </w:rPr>
        <w:t>.</w:t>
      </w:r>
    </w:p>
    <w:p>
      <w:pPr>
        <w:spacing w:after="0" w:line="187" w:lineRule="exact"/>
        <w:rPr>
          <w:rFonts w:ascii="Arial" w:cs="Arial" w:eastAsia="Arial" w:hAnsi="Arial"/>
          <w:sz w:val="19"/>
          <w:szCs w:val="19"/>
          <w:color w:val="010000"/>
        </w:rPr>
      </w:pPr>
    </w:p>
    <w:p>
      <w:pPr>
        <w:jc w:val="both"/>
        <w:ind w:firstLine="1304"/>
        <w:spacing w:after="0" w:line="273" w:lineRule="auto"/>
        <w:tabs>
          <w:tab w:leader="none" w:pos="2538" w:val="left"/>
        </w:tabs>
        <w:numPr>
          <w:ilvl w:val="0"/>
          <w:numId w:val="185"/>
        </w:numPr>
        <w:rPr>
          <w:rFonts w:ascii="Arial" w:cs="Arial" w:eastAsia="Arial" w:hAnsi="Arial"/>
          <w:sz w:val="19"/>
          <w:szCs w:val="19"/>
          <w:color w:val="010000"/>
        </w:rPr>
      </w:pPr>
      <w:r>
        <w:rPr>
          <w:rFonts w:ascii="Arial" w:cs="Arial" w:eastAsia="Arial" w:hAnsi="Arial"/>
          <w:sz w:val="19"/>
          <w:szCs w:val="19"/>
          <w:color w:val="auto"/>
        </w:rPr>
        <w:t>Notwithstanding anything to the contrary herein, prior to the record date set for the Company Shareholders Meeting, (i) each of Falconera Navigation Inc., Chiara Holdings Inc., Maple Tree Holdings Ltd., Ash Tree SA, Acer Tree SA, Thatcher Investments Limited, Eleanor Investments Holdings, Nelson Equity Limited, JP Jones Holdings Limited (collectively, the “</w:t>
      </w:r>
      <w:r>
        <w:rPr>
          <w:rFonts w:ascii="Arial" w:cs="Arial" w:eastAsia="Arial" w:hAnsi="Arial"/>
          <w:sz w:val="19"/>
          <w:szCs w:val="19"/>
          <w:u w:val="single" w:color="auto"/>
          <w:color w:val="auto"/>
        </w:rPr>
        <w:t>Blenheim Rolling Shareholders</w:t>
      </w:r>
      <w:r>
        <w:rPr>
          <w:rFonts w:ascii="Arial" w:cs="Arial" w:eastAsia="Arial" w:hAnsi="Arial"/>
          <w:sz w:val="19"/>
          <w:szCs w:val="19"/>
          <w:color w:val="auto"/>
        </w:rPr>
        <w:t>”) shall Transfer to Blenheim Special Investments Holding Ltd. (“</w:t>
      </w:r>
      <w:r>
        <w:rPr>
          <w:rFonts w:ascii="Arial" w:cs="Arial" w:eastAsia="Arial" w:hAnsi="Arial"/>
          <w:sz w:val="19"/>
          <w:szCs w:val="19"/>
          <w:u w:val="single" w:color="auto"/>
          <w:color w:val="auto"/>
        </w:rPr>
        <w:t>Blenheim</w:t>
      </w:r>
      <w:r>
        <w:rPr>
          <w:rFonts w:ascii="Arial" w:cs="Arial" w:eastAsia="Arial" w:hAnsi="Arial"/>
          <w:sz w:val="19"/>
          <w:szCs w:val="19"/>
          <w:color w:val="auto"/>
        </w:rPr>
        <w:t xml:space="preserve"> </w:t>
      </w:r>
      <w:r>
        <w:rPr>
          <w:rFonts w:ascii="Arial" w:cs="Arial" w:eastAsia="Arial" w:hAnsi="Arial"/>
          <w:sz w:val="19"/>
          <w:szCs w:val="19"/>
          <w:u w:val="single" w:color="auto"/>
          <w:color w:val="auto"/>
        </w:rPr>
        <w:t>Special Investments</w:t>
      </w:r>
      <w:r>
        <w:rPr>
          <w:rFonts w:ascii="Arial" w:cs="Arial" w:eastAsia="Arial" w:hAnsi="Arial"/>
          <w:sz w:val="19"/>
          <w:szCs w:val="19"/>
          <w:color w:val="auto"/>
        </w:rPr>
        <w:t>”), and Blenheim Special Investments shall acquire from such Blenheim Rolling Shareholder, such Blenheim Rolling Shareholder’s Rollover Shares and Owned Preference Shares and (ii) Blenheim Special Investments may acquire from each of Bruce Blythe, Aspen Tree Inc., Monhegetti Transport Inc., Dimitris Kolias and Stray Shipping Investments (each, solely to the extent that such Person Transfers the Common Shares owned by such Person to Blenheim Special Investments prior to the record date set for the Company Shareholders Meeting, an “</w:t>
      </w:r>
      <w:r>
        <w:rPr>
          <w:rFonts w:ascii="Arial" w:cs="Arial" w:eastAsia="Arial" w:hAnsi="Arial"/>
          <w:sz w:val="19"/>
          <w:szCs w:val="19"/>
          <w:u w:val="single" w:color="auto"/>
          <w:color w:val="auto"/>
        </w:rPr>
        <w:t>Additional Rolling Shareholder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Rolling Shareholders</w:t>
      </w:r>
      <w:r>
        <w:rPr>
          <w:rFonts w:ascii="Arial" w:cs="Arial" w:eastAsia="Arial" w:hAnsi="Arial"/>
          <w:sz w:val="19"/>
          <w:szCs w:val="19"/>
          <w:color w:val="auto"/>
        </w:rPr>
        <w:t xml:space="preserve">”), all of the Common Shares owned by such Additional Rolling Shareholders (which amounts are set forth on Section 3.02(f) of the Company Disclosure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2"/>
          <w:szCs w:val="22"/>
          <w:color w:val="auto"/>
        </w:rPr>
        <w:t>event shall any such Transfer be made to the extent that such Transfer would result in the Rolling Shareholders owning, collectively, in excess of 52,625,102 Common Shares.</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Section 5.03 </w:t>
      </w:r>
      <w:r>
        <w:rPr>
          <w:rFonts w:ascii="Arial" w:cs="Arial" w:eastAsia="Arial" w:hAnsi="Arial"/>
          <w:sz w:val="19"/>
          <w:szCs w:val="19"/>
          <w:u w:val="single" w:color="auto"/>
          <w:color w:val="000000"/>
        </w:rPr>
        <w:t>No−Solicitation.</w:t>
      </w:r>
      <w:r>
        <w:rPr>
          <w:rFonts w:ascii="Arial" w:cs="Arial" w:eastAsia="Arial" w:hAnsi="Arial"/>
          <w:sz w:val="19"/>
          <w:szCs w:val="19"/>
          <w:color w:val="010000"/>
        </w:rPr>
        <w:t xml:space="preserve"> </w:t>
      </w:r>
      <w:r>
        <w:rPr>
          <w:rFonts w:ascii="Arial" w:cs="Arial" w:eastAsia="Arial" w:hAnsi="Arial"/>
          <w:sz w:val="19"/>
          <w:szCs w:val="19"/>
          <w:color w:val="000000"/>
        </w:rPr>
        <w:t>Until the Effective Time or, if earlier, the termination of this Agreement or the Merger</w:t>
      </w:r>
      <w:r>
        <w:rPr>
          <w:rFonts w:ascii="Arial" w:cs="Arial" w:eastAsia="Arial" w:hAnsi="Arial"/>
          <w:sz w:val="19"/>
          <w:szCs w:val="19"/>
          <w:color w:val="010000"/>
        </w:rPr>
        <w:t xml:space="preserve"> </w:t>
      </w:r>
      <w:r>
        <w:rPr>
          <w:rFonts w:ascii="Arial" w:cs="Arial" w:eastAsia="Arial" w:hAnsi="Arial"/>
          <w:sz w:val="19"/>
          <w:szCs w:val="19"/>
          <w:color w:val="000000"/>
        </w:rPr>
        <w:t>Agreement in accordance with their respective terms, the Rolling Shareholders shall not, and shall cause their respective officers, employees and directors not to, and shall use their reasonable best efforts to cause their other Representatives and Affiliates not to, directly or indirectly, (a) solicit, initiate or knowingly encourage or knowingly facilitate the making of a Takeover Proposal,</w:t>
      </w:r>
    </w:p>
    <w:p>
      <w:pPr>
        <w:spacing w:after="0" w:line="3" w:lineRule="exact"/>
        <w:rPr>
          <w:sz w:val="20"/>
          <w:szCs w:val="20"/>
          <w:color w:val="auto"/>
        </w:rPr>
      </w:pPr>
    </w:p>
    <w:p>
      <w:pPr>
        <w:jc w:val="both"/>
        <w:ind w:firstLine="8"/>
        <w:spacing w:after="0" w:line="275" w:lineRule="auto"/>
        <w:tabs>
          <w:tab w:leader="none" w:pos="312"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Notwithstanding the foregoing or any other provision of this Agreement to the contrary, the Rolling Shareholders, their Affiliates and their respective Representatives may furnish information to, and engage and participate in discussions or negotiations with, a Person or group of Persons making a Takeover Proposal to the same extent that the Company is permitted to do so pursuant to Section 5.02 of the Merger Agreement.</w:t>
      </w:r>
    </w:p>
    <w:p>
      <w:pPr>
        <w:spacing w:after="0" w:line="1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5.04 </w:t>
      </w:r>
      <w:r>
        <w:rPr>
          <w:rFonts w:ascii="Arial" w:cs="Arial" w:eastAsia="Arial" w:hAnsi="Arial"/>
          <w:sz w:val="22"/>
          <w:szCs w:val="22"/>
          <w:u w:val="single" w:color="auto"/>
          <w:color w:val="000000"/>
        </w:rPr>
        <w:t>Share Dividends, etc.</w:t>
      </w:r>
      <w:r>
        <w:rPr>
          <w:rFonts w:ascii="Arial" w:cs="Arial" w:eastAsia="Arial" w:hAnsi="Arial"/>
          <w:sz w:val="22"/>
          <w:szCs w:val="22"/>
          <w:color w:val="010000"/>
        </w:rPr>
        <w:t xml:space="preserve"> </w:t>
      </w:r>
      <w:r>
        <w:rPr>
          <w:rFonts w:ascii="Arial" w:cs="Arial" w:eastAsia="Arial" w:hAnsi="Arial"/>
          <w:sz w:val="22"/>
          <w:szCs w:val="22"/>
          <w:color w:val="000000"/>
        </w:rPr>
        <w:t>If between the date of this Agreement and the Effective Time any class of the</w:t>
      </w:r>
      <w:r>
        <w:rPr>
          <w:rFonts w:ascii="Arial" w:cs="Arial" w:eastAsia="Arial" w:hAnsi="Arial"/>
          <w:sz w:val="22"/>
          <w:szCs w:val="22"/>
          <w:color w:val="010000"/>
        </w:rPr>
        <w:t xml:space="preserve"> </w:t>
      </w:r>
      <w:r>
        <w:rPr>
          <w:rFonts w:ascii="Arial" w:cs="Arial" w:eastAsia="Arial" w:hAnsi="Arial"/>
          <w:sz w:val="22"/>
          <w:szCs w:val="22"/>
          <w:color w:val="000000"/>
        </w:rPr>
        <w:t>issued and outstanding share capital of the Company shall have been changed into a different number of shares or a different class by reason of the occurrence or record date of any share dividend, subdivision, reclassification, recapitalization, split, combination, exchange of shares or similar transaction, the terms “Owned Shares” and “Rollover Shares” shall be appropriately adjusted to reflect such share dividend, subdivision, reclassification, recapitalization, split, combination, exchange of shares or similar transaction.</w:t>
      </w:r>
    </w:p>
    <w:p>
      <w:pPr>
        <w:spacing w:after="0" w:line="21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010000"/>
        </w:rPr>
        <w:t>Section 5.05</w:t>
      </w:r>
      <w:r>
        <w:rPr>
          <w:sz w:val="20"/>
          <w:szCs w:val="20"/>
          <w:color w:val="auto"/>
        </w:rPr>
        <w:tab/>
      </w:r>
      <w:r>
        <w:rPr>
          <w:rFonts w:ascii="Arial" w:cs="Arial" w:eastAsia="Arial" w:hAnsi="Arial"/>
          <w:sz w:val="19"/>
          <w:szCs w:val="19"/>
          <w:u w:val="single" w:color="auto"/>
          <w:color w:val="auto"/>
        </w:rPr>
        <w:t>Disclosure.</w:t>
      </w:r>
    </w:p>
    <w:p>
      <w:pPr>
        <w:spacing w:after="0" w:line="233" w:lineRule="exact"/>
        <w:rPr>
          <w:sz w:val="20"/>
          <w:szCs w:val="20"/>
          <w:color w:val="auto"/>
        </w:rPr>
      </w:pPr>
    </w:p>
    <w:p>
      <w:pPr>
        <w:jc w:val="both"/>
        <w:ind w:firstLine="1304"/>
        <w:spacing w:after="0" w:line="244" w:lineRule="auto"/>
        <w:tabs>
          <w:tab w:leader="none" w:pos="2381" w:val="left"/>
        </w:tabs>
        <w:numPr>
          <w:ilvl w:val="0"/>
          <w:numId w:val="187"/>
        </w:numPr>
        <w:rPr>
          <w:rFonts w:ascii="Arial" w:cs="Arial" w:eastAsia="Arial" w:hAnsi="Arial"/>
          <w:sz w:val="21"/>
          <w:szCs w:val="21"/>
          <w:color w:val="010000"/>
        </w:rPr>
      </w:pPr>
      <w:r>
        <w:rPr>
          <w:rFonts w:ascii="Arial" w:cs="Arial" w:eastAsia="Arial" w:hAnsi="Arial"/>
          <w:sz w:val="21"/>
          <w:szCs w:val="21"/>
          <w:color w:val="auto"/>
        </w:rPr>
        <w:t xml:space="preserve">Each Rolling Shareholder agrees to promptly furnish to Parent and the Company all information concerning itself as may be reasonably requested by Parent or the Company in connection with the preparation, filing and distribution of the Schedule 13E-3 (including any amendment or supplement thereto, the Proxy Statement included therein and any document incorporated by reference therein) and the resolution of comments with respect thereto from the SEC. Each Rolling Shareholder agrees that none of the information supplied or to be supplied by it expressly for inclusion or incorporation by reference in the Proxy Statement, the Schedule 13E-3 or any other documents filed or to be filed with the SEC in connection with the Transactions will, as of the time such documents (or any amendment thereof or supplement thereto) are filed with the SEC or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representation, warranty, covenant or agreement is made by any Rolling Shareholder with respect to information supplied by any other Rolling Shareholder or any of the Parent or the Company for inclusion or incorporation by reference in the Proxy Statement or Schedule 13E-3, as applicable.</w:t>
      </w:r>
    </w:p>
    <w:p>
      <w:pPr>
        <w:spacing w:after="0" w:line="210" w:lineRule="exact"/>
        <w:rPr>
          <w:rFonts w:ascii="Arial" w:cs="Arial" w:eastAsia="Arial" w:hAnsi="Arial"/>
          <w:sz w:val="21"/>
          <w:szCs w:val="21"/>
          <w:color w:val="010000"/>
        </w:rPr>
      </w:pPr>
    </w:p>
    <w:p>
      <w:pPr>
        <w:ind w:firstLine="1304"/>
        <w:spacing w:after="0" w:line="250" w:lineRule="auto"/>
        <w:tabs>
          <w:tab w:leader="none" w:pos="2123" w:val="left"/>
        </w:tabs>
        <w:numPr>
          <w:ilvl w:val="0"/>
          <w:numId w:val="187"/>
        </w:numPr>
        <w:rPr>
          <w:rFonts w:ascii="Arial" w:cs="Arial" w:eastAsia="Arial" w:hAnsi="Arial"/>
          <w:sz w:val="22"/>
          <w:szCs w:val="22"/>
          <w:color w:val="010000"/>
        </w:rPr>
      </w:pPr>
      <w:r>
        <w:rPr>
          <w:rFonts w:ascii="Arial" w:cs="Arial" w:eastAsia="Arial" w:hAnsi="Arial"/>
          <w:sz w:val="22"/>
          <w:szCs w:val="22"/>
          <w:color w:val="auto"/>
        </w:rPr>
        <w:t>The Rolling Shareholders hereby authorize the Company, Parent and Merger Sub to publish and disclose in any announcement or disclosure required by the SEC,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jc w:val="both"/>
        <w:spacing w:after="0" w:line="252" w:lineRule="auto"/>
        <w:rPr>
          <w:sz w:val="20"/>
          <w:szCs w:val="20"/>
          <w:color w:val="auto"/>
        </w:rPr>
      </w:pPr>
      <w:r>
        <w:rPr>
          <w:rFonts w:ascii="Arial" w:cs="Arial" w:eastAsia="Arial" w:hAnsi="Arial"/>
          <w:sz w:val="21"/>
          <w:szCs w:val="21"/>
          <w:color w:val="auto"/>
        </w:rPr>
        <w:t>in the Schedule 13E-3 and the Proxy Statement, this Agreement, each Rolling Shareholder’s identity and ownership of the Rollover Shares and the nature of each Rolling Shareholder’s obligations under this Agreement. Parent hereby authorizes the Company and each Rolling Shareholder to disclose, in any disclosure required by any Governmental Authority, this Agreement, Parent’s identity and the nature of Parent’s obligations under this Agreement.</w:t>
      </w:r>
    </w:p>
    <w:p>
      <w:pPr>
        <w:spacing w:after="0" w:line="20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010000"/>
        </w:rPr>
        <w:t xml:space="preserve">Section 5.06 </w:t>
      </w:r>
      <w:r>
        <w:rPr>
          <w:rFonts w:ascii="Arial" w:cs="Arial" w:eastAsia="Arial" w:hAnsi="Arial"/>
          <w:sz w:val="22"/>
          <w:szCs w:val="22"/>
          <w:u w:val="single" w:color="auto"/>
          <w:color w:val="000000"/>
        </w:rPr>
        <w:t>Fiduciary Responsibilities.</w:t>
      </w:r>
      <w:r>
        <w:rPr>
          <w:rFonts w:ascii="Arial" w:cs="Arial" w:eastAsia="Arial" w:hAnsi="Arial"/>
          <w:sz w:val="22"/>
          <w:szCs w:val="22"/>
          <w:color w:val="010000"/>
        </w:rPr>
        <w:t xml:space="preserve"> </w:t>
      </w:r>
      <w:r>
        <w:rPr>
          <w:rFonts w:ascii="Arial" w:cs="Arial" w:eastAsia="Arial" w:hAnsi="Arial"/>
          <w:sz w:val="22"/>
          <w:szCs w:val="22"/>
          <w:color w:val="000000"/>
        </w:rPr>
        <w:t>Notwithstanding any provision of this Agreement to the contrary, this</w:t>
      </w:r>
      <w:r>
        <w:rPr>
          <w:rFonts w:ascii="Arial" w:cs="Arial" w:eastAsia="Arial" w:hAnsi="Arial"/>
          <w:sz w:val="22"/>
          <w:szCs w:val="22"/>
          <w:color w:val="010000"/>
        </w:rPr>
        <w:t xml:space="preserve"> </w:t>
      </w:r>
      <w:r>
        <w:rPr>
          <w:rFonts w:ascii="Arial" w:cs="Arial" w:eastAsia="Arial" w:hAnsi="Arial"/>
          <w:sz w:val="22"/>
          <w:szCs w:val="22"/>
          <w:color w:val="000000"/>
        </w:rPr>
        <w:t>Agreement shall apply to each Rolling Shareholder solely in its capacity as a holder of Common Shares and not in any other capacity, and nothing in this Agreement shall limit, restrict or affect the rights and obligations of any officer, director or designee of the Rolling Shareholders or their Affiliates from taking any action in his or her capacity as a director, officer or employee of the Company, whether in connection with the Merger Agreement or otherwise, and no action or omissions by any such Persons in his or her capacity as a director, officer or employee of the Company shall be deemed to constitute a breach of any provision of this Agreement.</w:t>
      </w: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5.07 </w:t>
      </w:r>
      <w:r>
        <w:rPr>
          <w:rFonts w:ascii="Arial" w:cs="Arial" w:eastAsia="Arial" w:hAnsi="Arial"/>
          <w:sz w:val="21"/>
          <w:szCs w:val="21"/>
          <w:u w:val="single" w:color="auto"/>
          <w:color w:val="000000"/>
        </w:rPr>
        <w:t>No Legal Action.</w:t>
      </w:r>
      <w:r>
        <w:rPr>
          <w:rFonts w:ascii="Arial" w:cs="Arial" w:eastAsia="Arial" w:hAnsi="Arial"/>
          <w:sz w:val="21"/>
          <w:szCs w:val="21"/>
          <w:color w:val="010000"/>
        </w:rPr>
        <w:t xml:space="preserve"> </w:t>
      </w:r>
      <w:r>
        <w:rPr>
          <w:rFonts w:ascii="Arial" w:cs="Arial" w:eastAsia="Arial" w:hAnsi="Arial"/>
          <w:sz w:val="21"/>
          <w:szCs w:val="21"/>
          <w:color w:val="000000"/>
        </w:rPr>
        <w:t>Each Rolling Shareholder shall not, and shall cause its officers, employees and</w:t>
      </w:r>
      <w:r>
        <w:rPr>
          <w:rFonts w:ascii="Arial" w:cs="Arial" w:eastAsia="Arial" w:hAnsi="Arial"/>
          <w:sz w:val="21"/>
          <w:szCs w:val="21"/>
          <w:color w:val="010000"/>
        </w:rPr>
        <w:t xml:space="preserve"> </w:t>
      </w:r>
      <w:r>
        <w:rPr>
          <w:rFonts w:ascii="Arial" w:cs="Arial" w:eastAsia="Arial" w:hAnsi="Arial"/>
          <w:sz w:val="21"/>
          <w:szCs w:val="21"/>
          <w:color w:val="000000"/>
        </w:rPr>
        <w:t>directors not to, and shall use reasonable best efforts to cause its other Representatives not to, bring, commence, institute, maintain, prosecute or voluntarily aid any Action which (a) challenges the validity of or seeks to enjoin the operation of any provision of this Agreement or the Merger Agreement or (b) alleges that the execution and delivery of this Agreement by such Rolling Shareholder (or its performance hereunder) or the Merger Agreement by the Company breaches any fiduciary duty of the Company Board (or any member thereof) or any duty that such Rolling Shareholder has (or may be alleged to have) to the Company or to the other shareholders of the Company.</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5.08 </w:t>
      </w:r>
      <w:r>
        <w:rPr>
          <w:rFonts w:ascii="Arial" w:cs="Arial" w:eastAsia="Arial" w:hAnsi="Arial"/>
          <w:sz w:val="22"/>
          <w:szCs w:val="22"/>
          <w:u w:val="single" w:color="auto"/>
          <w:color w:val="000000"/>
        </w:rPr>
        <w:t>Notice of Certain Events.</w:t>
      </w:r>
      <w:r>
        <w:rPr>
          <w:rFonts w:ascii="Arial" w:cs="Arial" w:eastAsia="Arial" w:hAnsi="Arial"/>
          <w:sz w:val="22"/>
          <w:szCs w:val="22"/>
          <w:color w:val="010000"/>
        </w:rPr>
        <w:t xml:space="preserve"> </w:t>
      </w:r>
      <w:r>
        <w:rPr>
          <w:rFonts w:ascii="Arial" w:cs="Arial" w:eastAsia="Arial" w:hAnsi="Arial"/>
          <w:sz w:val="22"/>
          <w:szCs w:val="22"/>
          <w:color w:val="000000"/>
        </w:rPr>
        <w:t>Each Rolling Shareholder shall notify Parent in writing promptly of (a) any</w:t>
      </w:r>
      <w:r>
        <w:rPr>
          <w:rFonts w:ascii="Arial" w:cs="Arial" w:eastAsia="Arial" w:hAnsi="Arial"/>
          <w:sz w:val="22"/>
          <w:szCs w:val="22"/>
          <w:color w:val="010000"/>
        </w:rPr>
        <w:t xml:space="preserve"> </w:t>
      </w:r>
      <w:r>
        <w:rPr>
          <w:rFonts w:ascii="Arial" w:cs="Arial" w:eastAsia="Arial" w:hAnsi="Arial"/>
          <w:sz w:val="22"/>
          <w:szCs w:val="22"/>
          <w:color w:val="000000"/>
        </w:rPr>
        <w:t>fact, event or circumstance that would cause, or would reasonably be expected to cause or constitute, a breach of the representations, warranties or covenants of such Rolling Shareholder under this Agreement or (b) the receipt by such Rolling Shareholder of any notice or other communication from any Person alleging that the consent of such Person is or may be required in connection with this Agreement or the Merger Agreement.</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010000"/>
        </w:rPr>
        <w:t xml:space="preserve">Section 5.09 </w:t>
      </w:r>
      <w:r>
        <w:rPr>
          <w:rFonts w:ascii="Arial" w:cs="Arial" w:eastAsia="Arial" w:hAnsi="Arial"/>
          <w:sz w:val="19"/>
          <w:szCs w:val="19"/>
          <w:u w:val="single" w:color="auto"/>
          <w:color w:val="000000"/>
        </w:rPr>
        <w:t>Taxes</w:t>
      </w:r>
      <w:r>
        <w:rPr>
          <w:rFonts w:ascii="Arial" w:cs="Arial" w:eastAsia="Arial" w:hAnsi="Arial"/>
          <w:sz w:val="19"/>
          <w:szCs w:val="19"/>
          <w:color w:val="000000"/>
        </w:rPr>
        <w:t>. Until the Effective Time or, if earlier, the termination of this Agreement or the Merger Agreement</w:t>
      </w:r>
      <w:r>
        <w:rPr>
          <w:rFonts w:ascii="Arial" w:cs="Arial" w:eastAsia="Arial" w:hAnsi="Arial"/>
          <w:sz w:val="19"/>
          <w:szCs w:val="19"/>
          <w:color w:val="010000"/>
        </w:rPr>
        <w:t xml:space="preserve"> </w:t>
      </w:r>
      <w:r>
        <w:rPr>
          <w:rFonts w:ascii="Arial" w:cs="Arial" w:eastAsia="Arial" w:hAnsi="Arial"/>
          <w:sz w:val="19"/>
          <w:szCs w:val="19"/>
          <w:color w:val="000000"/>
        </w:rPr>
        <w:t>in accordance with their respective terms, the Rolling Shareholders shall, consistent with past practice and to the extent not prohibited by applicable Law, provide the Company with such documentation as may be necessary for the Company to establish its eligibility to claim an exclusion from gross income under Section 883 of the Code for all income described in Section 883(a)</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(1) of the Code.</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5.10 </w:t>
      </w:r>
      <w:r>
        <w:rPr>
          <w:rFonts w:ascii="Arial" w:cs="Arial" w:eastAsia="Arial" w:hAnsi="Arial"/>
          <w:sz w:val="22"/>
          <w:szCs w:val="22"/>
          <w:u w:val="single" w:color="auto"/>
          <w:color w:val="000000"/>
        </w:rPr>
        <w:t>Registration Rights Agreement</w:t>
      </w:r>
      <w:r>
        <w:rPr>
          <w:rFonts w:ascii="Arial" w:cs="Arial" w:eastAsia="Arial" w:hAnsi="Arial"/>
          <w:sz w:val="22"/>
          <w:szCs w:val="22"/>
          <w:color w:val="000000"/>
        </w:rPr>
        <w:t>. In connection with the transactions contemplated by this Agreement</w:t>
      </w:r>
      <w:r>
        <w:rPr>
          <w:rFonts w:ascii="Arial" w:cs="Arial" w:eastAsia="Arial" w:hAnsi="Arial"/>
          <w:sz w:val="22"/>
          <w:szCs w:val="22"/>
          <w:color w:val="010000"/>
        </w:rPr>
        <w:t xml:space="preserve"> </w:t>
      </w:r>
      <w:r>
        <w:rPr>
          <w:rFonts w:ascii="Arial" w:cs="Arial" w:eastAsia="Arial" w:hAnsi="Arial"/>
          <w:sz w:val="22"/>
          <w:szCs w:val="22"/>
          <w:color w:val="000000"/>
        </w:rPr>
        <w:t>and the Merger Agreement, (a) each of the shareholders party to that certain Registration Rights Agreement, dated as of April 4, 2012 (the “</w:t>
      </w:r>
      <w:r>
        <w:rPr>
          <w:rFonts w:ascii="Arial" w:cs="Arial" w:eastAsia="Arial" w:hAnsi="Arial"/>
          <w:sz w:val="22"/>
          <w:szCs w:val="22"/>
          <w:u w:val="single" w:color="auto"/>
          <w:color w:val="000000"/>
        </w:rPr>
        <w:t>2012 Registration Rights Agreement</w:t>
      </w:r>
      <w:r>
        <w:rPr>
          <w:rFonts w:ascii="Arial" w:cs="Arial" w:eastAsia="Arial" w:hAnsi="Arial"/>
          <w:sz w:val="22"/>
          <w:szCs w:val="22"/>
          <w:color w:val="000000"/>
        </w:rPr>
        <w:t>”), by and among the Company, Blenheim Holdings Ltd., Peter G. Livanos and Olympic LNG Investments Ltd., hereby waives any and all rights under the 2012 Registration Rights Agreement and (ii) the Company and each of Blenheim Holdings Ltd., Peter G. Livanos and Olympic LNG Investments Ltd. shall take all actions necessary to cause the termination of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jc w:val="both"/>
        <w:spacing w:after="0" w:line="250" w:lineRule="auto"/>
        <w:rPr>
          <w:sz w:val="20"/>
          <w:szCs w:val="20"/>
          <w:color w:val="auto"/>
        </w:rPr>
      </w:pPr>
      <w:r>
        <w:rPr>
          <w:rFonts w:ascii="Arial" w:cs="Arial" w:eastAsia="Arial" w:hAnsi="Arial"/>
          <w:sz w:val="22"/>
          <w:szCs w:val="22"/>
          <w:color w:val="auto"/>
        </w:rPr>
        <w:t>2012 Registration Rights Agreement concurrently with, and effective as of, the Closing and shall deliver to Parent documentation in form and substance reasonably satisfactory to Parent evidencing such termination.</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5.11 </w:t>
      </w:r>
      <w:r>
        <w:rPr>
          <w:rFonts w:ascii="Arial" w:cs="Arial" w:eastAsia="Arial" w:hAnsi="Arial"/>
          <w:sz w:val="21"/>
          <w:szCs w:val="21"/>
          <w:u w:val="single" w:color="auto"/>
          <w:color w:val="000000"/>
        </w:rPr>
        <w:t>Expenses</w:t>
      </w:r>
      <w:r>
        <w:rPr>
          <w:rFonts w:ascii="Arial" w:cs="Arial" w:eastAsia="Arial" w:hAnsi="Arial"/>
          <w:sz w:val="21"/>
          <w:szCs w:val="21"/>
          <w:color w:val="000000"/>
        </w:rPr>
        <w:t>. Notwithstanding anything to the contrary in this Agreement or any other agreement or</w:t>
      </w:r>
      <w:r>
        <w:rPr>
          <w:rFonts w:ascii="Arial" w:cs="Arial" w:eastAsia="Arial" w:hAnsi="Arial"/>
          <w:sz w:val="21"/>
          <w:szCs w:val="21"/>
          <w:color w:val="010000"/>
        </w:rPr>
        <w:t xml:space="preserve"> </w:t>
      </w:r>
      <w:r>
        <w:rPr>
          <w:rFonts w:ascii="Arial" w:cs="Arial" w:eastAsia="Arial" w:hAnsi="Arial"/>
          <w:sz w:val="21"/>
          <w:szCs w:val="21"/>
          <w:color w:val="000000"/>
        </w:rPr>
        <w:t>understanding between any of the Rolling Shareholders and the Company, each of the Rolling Shareholders and the Company agree that, without the prior written consent of Parent, in no event shall the Company pay or reimburse, or be obligated to pay or reimburse, the Rolling Shareholders for any fees or expenses incurred in connection with this Agreement and the transactions contemplated hereby (which fees and expenses must be reasonable and documented), excluding fees incurred in connection with the Project Crown Management Equity Memorandum of Understanding, dated as of February 21, 2021, by and between Parent and the Company, in excess of $350,000 in the aggregate.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Provisions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Section 6.01 </w:t>
      </w:r>
      <w:r>
        <w:rPr>
          <w:rFonts w:ascii="Arial" w:cs="Arial" w:eastAsia="Arial" w:hAnsi="Arial"/>
          <w:sz w:val="22"/>
          <w:szCs w:val="22"/>
          <w:u w:val="single" w:color="auto"/>
          <w:color w:val="000000"/>
        </w:rPr>
        <w:t>Notices.</w:t>
      </w:r>
      <w:r>
        <w:rPr>
          <w:rFonts w:ascii="Arial" w:cs="Arial" w:eastAsia="Arial" w:hAnsi="Arial"/>
          <w:sz w:val="22"/>
          <w:szCs w:val="22"/>
          <w:color w:val="010000"/>
        </w:rPr>
        <w:t xml:space="preserve"> </w:t>
      </w:r>
      <w:r>
        <w:rPr>
          <w:rFonts w:ascii="Arial" w:cs="Arial" w:eastAsia="Arial" w:hAnsi="Arial"/>
          <w:sz w:val="22"/>
          <w:szCs w:val="22"/>
          <w:color w:val="000000"/>
        </w:rPr>
        <w:t>All notices, requests and other communications to any party hereunder shall be in writing and</w:t>
      </w:r>
      <w:r>
        <w:rPr>
          <w:rFonts w:ascii="Arial" w:cs="Arial" w:eastAsia="Arial" w:hAnsi="Arial"/>
          <w:sz w:val="22"/>
          <w:szCs w:val="22"/>
          <w:color w:val="010000"/>
        </w:rPr>
        <w:t xml:space="preserve"> </w:t>
      </w:r>
      <w:r>
        <w:rPr>
          <w:rFonts w:ascii="Arial" w:cs="Arial" w:eastAsia="Arial" w:hAnsi="Arial"/>
          <w:sz w:val="22"/>
          <w:szCs w:val="22"/>
          <w:color w:val="000000"/>
        </w:rPr>
        <w:t>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 Global Energy &amp; Power Infrastructure Funds</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Matt Raben</w:t>
      </w:r>
    </w:p>
    <w:p>
      <w:pPr>
        <w:spacing w:after="0" w:line="23"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matthew.raben@blackrock.com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BlackRock, Inc.</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Office of the General Counsel</w:t>
      </w:r>
    </w:p>
    <w:p>
      <w:pPr>
        <w:ind w:left="1760"/>
        <w:spacing w:after="0" w:line="181" w:lineRule="auto"/>
        <w:rPr>
          <w:sz w:val="20"/>
          <w:szCs w:val="20"/>
          <w:color w:val="auto"/>
        </w:rPr>
      </w:pPr>
      <w:r>
        <w:rPr>
          <w:rFonts w:ascii="Arial" w:cs="Arial" w:eastAsia="Arial" w:hAnsi="Arial"/>
          <w:sz w:val="16"/>
          <w:szCs w:val="16"/>
          <w:color w:val="auto"/>
        </w:rPr>
        <w:t>40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19th floor</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New York, NY 10022</w:t>
      </w:r>
    </w:p>
    <w:p>
      <w:pPr>
        <w:spacing w:after="0" w:line="20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Jelena Napolitano</w:t>
      </w:r>
    </w:p>
    <w:p>
      <w:pPr>
        <w:spacing w:after="0" w:line="23"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legaltransactions@blackrock.com</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4" w:name="page145"/>
    <w:bookmarkEnd w:id="144"/>
    <w:p>
      <w:pPr>
        <w:ind w:left="1120"/>
        <w:spacing w:after="0"/>
        <w:rPr>
          <w:sz w:val="20"/>
          <w:szCs w:val="20"/>
          <w:color w:val="auto"/>
        </w:rPr>
      </w:pPr>
      <w:r>
        <w:rPr>
          <w:rFonts w:ascii="Arial" w:cs="Arial" w:eastAsia="Arial" w:hAnsi="Arial"/>
          <w:sz w:val="18"/>
          <w:szCs w:val="18"/>
          <w:color w:val="auto"/>
        </w:rPr>
        <w:t>Attention: Chris May</w:t>
      </w:r>
    </w:p>
    <w:p>
      <w:pPr>
        <w:spacing w:after="0" w:line="23" w:lineRule="exact"/>
        <w:rPr>
          <w:sz w:val="20"/>
          <w:szCs w:val="20"/>
          <w:color w:val="auto"/>
        </w:rPr>
      </w:pPr>
    </w:p>
    <w:p>
      <w:pPr>
        <w:ind w:left="1120"/>
        <w:spacing w:after="0"/>
        <w:tabs>
          <w:tab w:leader="none" w:pos="19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cmay@stblaw.com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If to Olympic LNG Investments Ltd, to:</w:t>
      </w:r>
    </w:p>
    <w:p>
      <w:pPr>
        <w:sectPr>
          <w:pgSz w:w="11900" w:h="16838" w:orient="portrait"/>
          <w:cols w:equalWidth="0" w:num="1">
            <w:col w:w="9499"/>
          </w:cols>
          <w:pgMar w:left="960" w:top="368" w:right="1440" w:bottom="1440" w:gutter="0" w:footer="0" w:header="0"/>
        </w:sectPr>
      </w:pP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 ASOFIN AE</w:t>
      </w:r>
    </w:p>
    <w:p>
      <w:pPr>
        <w:spacing w:after="0" w:line="200" w:lineRule="exact"/>
        <w:rPr>
          <w:sz w:val="20"/>
          <w:szCs w:val="20"/>
          <w:color w:val="auto"/>
        </w:rPr>
      </w:pPr>
    </w:p>
    <w:p>
      <w:pPr>
        <w:sectPr>
          <w:pgSz w:w="11900" w:h="16838" w:orient="portrait"/>
          <w:cols w:equalWidth="0" w:num="2">
            <w:col w:w="1600" w:space="360"/>
            <w:col w:w="7539"/>
          </w:cols>
          <w:pgMar w:left="960" w:top="368" w:right="1440" w:bottom="1440" w:gutter="0" w:footer="0" w:header="0"/>
          <w:type w:val="continuous"/>
        </w:sectPr>
      </w:pPr>
    </w:p>
    <w:p>
      <w:pPr>
        <w:spacing w:after="0" w:line="3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Zefyrou 8</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Pal. Faliro 17564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1760" w:space="160"/>
            <w:col w:w="7579"/>
          </w:cols>
          <w:pgMar w:left="960" w:top="368" w:right="1440" w:bottom="1440" w:gutter="0" w:footer="0" w:header="0"/>
          <w:type w:val="continuous"/>
        </w:sectPr>
      </w:pPr>
    </w:p>
    <w:p>
      <w:pPr>
        <w:spacing w:after="0" w:line="1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Attention: Michael Gialouris</w:t>
      </w:r>
    </w:p>
    <w:p>
      <w:pPr>
        <w:spacing w:after="0" w:line="35" w:lineRule="exact"/>
        <w:rPr>
          <w:sz w:val="20"/>
          <w:szCs w:val="20"/>
          <w:color w:val="auto"/>
        </w:rPr>
      </w:pPr>
    </w:p>
    <w:p>
      <w:pPr>
        <w:ind w:left="1120"/>
        <w:spacing w:after="0"/>
        <w:tabs>
          <w:tab w:leader="none" w:pos="1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mgg@asofin.eu</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any other Rolling Shareholder, to</w:t>
      </w:r>
    </w:p>
    <w:p>
      <w:pPr>
        <w:sectPr>
          <w:pgSz w:w="11900" w:h="16838" w:orient="portrait"/>
          <w:cols w:equalWidth="0" w:num="1">
            <w:col w:w="9499"/>
          </w:cols>
          <w:pgMar w:left="960" w:top="368" w:right="1440" w:bottom="1440" w:gutter="0" w:footer="0" w:header="0"/>
          <w:type w:val="continuous"/>
        </w:sectPr>
      </w:pP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Blenheim Special Investments Holding Ltd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Ceres Monaco SAM</w:t>
      </w:r>
    </w:p>
    <w:p>
      <w:pPr>
        <w:spacing w:after="0" w:line="200" w:lineRule="exact"/>
        <w:rPr>
          <w:sz w:val="20"/>
          <w:szCs w:val="20"/>
          <w:color w:val="auto"/>
        </w:rPr>
      </w:pPr>
    </w:p>
    <w:p>
      <w:pPr>
        <w:sectPr>
          <w:pgSz w:w="11900" w:h="16838" w:orient="portrait"/>
          <w:cols w:equalWidth="0" w:num="2">
            <w:col w:w="1600" w:space="360"/>
            <w:col w:w="7539"/>
          </w:cols>
          <w:pgMar w:left="960" w:top="368" w:right="1440" w:bottom="1440" w:gutter="0" w:footer="0" w:header="0"/>
          <w:type w:val="continuous"/>
        </w:sectPr>
      </w:pPr>
    </w:p>
    <w:p>
      <w:pPr>
        <w:spacing w:after="0" w:line="1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Gildo Pastor Centre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Principality of Monaco</w:t>
      </w:r>
    </w:p>
    <w:p>
      <w:pPr>
        <w:spacing w:after="0" w:line="200" w:lineRule="exact"/>
        <w:rPr>
          <w:sz w:val="20"/>
          <w:szCs w:val="20"/>
          <w:color w:val="auto"/>
        </w:rPr>
      </w:pPr>
    </w:p>
    <w:p>
      <w:pPr>
        <w:sectPr>
          <w:pgSz w:w="11900" w:h="16838" w:orient="portrait"/>
          <w:cols w:equalWidth="0" w:num="2">
            <w:col w:w="1760" w:space="180"/>
            <w:col w:w="7559"/>
          </w:cols>
          <w:pgMar w:left="960" w:top="368" w:right="1440" w:bottom="1440" w:gutter="0" w:footer="0" w:header="0"/>
          <w:type w:val="continuous"/>
        </w:sectPr>
      </w:pPr>
    </w:p>
    <w:p>
      <w:pPr>
        <w:spacing w:after="0" w:line="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Ilias Iliopoulos</w:t>
      </w:r>
    </w:p>
    <w:p>
      <w:pPr>
        <w:spacing w:after="0" w:line="23" w:lineRule="exact"/>
        <w:rPr>
          <w:sz w:val="20"/>
          <w:szCs w:val="20"/>
          <w:color w:val="auto"/>
        </w:rPr>
      </w:pPr>
    </w:p>
    <w:p>
      <w:pPr>
        <w:ind w:left="1120"/>
        <w:spacing w:after="0"/>
        <w:tabs>
          <w:tab w:leader="none" w:pos="19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iai@cereslog.com</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Athanasios Thanopoulos</w:t>
      </w:r>
    </w:p>
    <w:p>
      <w:pPr>
        <w:spacing w:after="0" w:line="23" w:lineRule="exact"/>
        <w:rPr>
          <w:sz w:val="20"/>
          <w:szCs w:val="20"/>
          <w:color w:val="auto"/>
        </w:rPr>
      </w:pPr>
    </w:p>
    <w:p>
      <w:pPr>
        <w:ind w:left="1120"/>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tt@cereslog.com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Linklaters LLP</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One Silk Street, London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EC2Y 8HQ</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Owen Clay</w:t>
      </w:r>
    </w:p>
    <w:p>
      <w:pPr>
        <w:spacing w:after="0" w:line="23" w:lineRule="exact"/>
        <w:rPr>
          <w:sz w:val="20"/>
          <w:szCs w:val="20"/>
          <w:color w:val="auto"/>
        </w:rPr>
      </w:pPr>
    </w:p>
    <w:p>
      <w:pPr>
        <w:ind w:left="1120"/>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owen.clay@linklaters.com</w:t>
      </w:r>
    </w:p>
    <w:p>
      <w:pPr>
        <w:spacing w:after="0" w:line="200" w:lineRule="exact"/>
        <w:rPr>
          <w:sz w:val="20"/>
          <w:szCs w:val="20"/>
          <w:color w:val="auto"/>
        </w:rPr>
      </w:pPr>
    </w:p>
    <w:p>
      <w:pPr>
        <w:spacing w:after="0" w:line="209"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52705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368" w:right="1440" w:bottom="1440" w:gutter="0" w:footer="0" w:header="0"/>
          <w:type w:val="continuous"/>
        </w:sectPr>
      </w:pPr>
    </w:p>
    <w:bookmarkStart w:id="145" w:name="page146"/>
    <w:bookmarkEnd w:id="145"/>
    <w:p>
      <w:pPr>
        <w:ind w:left="64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Alexandros Laios, General Counsel</w:t>
      </w:r>
    </w:p>
    <w:p>
      <w:pPr>
        <w:spacing w:after="0" w:line="23"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alaios@gaslogltd.com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Erik R. Tavzel</w:t>
      </w:r>
    </w:p>
    <w:p>
      <w:pPr>
        <w:spacing w:after="0" w:line="23"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etavzel@cravath.com</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D. Scott Bennett</w:t>
      </w:r>
    </w:p>
    <w:p>
      <w:pPr>
        <w:spacing w:after="0" w:line="23"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sbennett@cravath.com</w:t>
      </w:r>
    </w:p>
    <w:p>
      <w:pPr>
        <w:spacing w:after="0" w:line="21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Andrew C. Elken</w:t>
      </w:r>
    </w:p>
    <w:p>
      <w:pPr>
        <w:spacing w:after="0" w:line="23" w:lineRule="exact"/>
        <w:rPr>
          <w:sz w:val="20"/>
          <w:szCs w:val="20"/>
          <w:color w:val="auto"/>
        </w:rPr>
      </w:pPr>
    </w:p>
    <w:p>
      <w:pPr>
        <w:ind w:left="176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aelken@cravath.com</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010000"/>
        </w:rPr>
        <w:t xml:space="preserve">Section 6.02 </w:t>
      </w:r>
      <w:r>
        <w:rPr>
          <w:rFonts w:ascii="Arial" w:cs="Arial" w:eastAsia="Arial" w:hAnsi="Arial"/>
          <w:sz w:val="19"/>
          <w:szCs w:val="19"/>
          <w:u w:val="single" w:color="auto"/>
          <w:color w:val="000000"/>
        </w:rPr>
        <w:t>Severability.</w:t>
      </w:r>
      <w:r>
        <w:rPr>
          <w:rFonts w:ascii="Arial" w:cs="Arial" w:eastAsia="Arial" w:hAnsi="Arial"/>
          <w:sz w:val="19"/>
          <w:szCs w:val="19"/>
          <w:color w:val="010000"/>
        </w:rPr>
        <w:t xml:space="preserve"> </w:t>
      </w:r>
      <w:r>
        <w:rPr>
          <w:rFonts w:ascii="Arial" w:cs="Arial" w:eastAsia="Arial" w:hAnsi="Arial"/>
          <w:sz w:val="19"/>
          <w:szCs w:val="19"/>
          <w:color w:val="000000"/>
        </w:rPr>
        <w:t>If any term or other provision of this Agreement is finally determined by a court of</w:t>
      </w:r>
      <w:r>
        <w:rPr>
          <w:rFonts w:ascii="Arial" w:cs="Arial" w:eastAsia="Arial" w:hAnsi="Arial"/>
          <w:sz w:val="19"/>
          <w:szCs w:val="19"/>
          <w:color w:val="010000"/>
        </w:rPr>
        <w:t xml:space="preserve"> </w:t>
      </w:r>
      <w:r>
        <w:rPr>
          <w:rFonts w:ascii="Arial" w:cs="Arial" w:eastAsia="Arial" w:hAnsi="Arial"/>
          <w:sz w:val="19"/>
          <w:szCs w:val="19"/>
          <w:color w:val="000000"/>
        </w:rPr>
        <w:t xml:space="preserve">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or such party waives its rights under this </w:t>
      </w:r>
      <w:r>
        <w:rPr>
          <w:rFonts w:ascii="Arial" w:cs="Arial" w:eastAsia="Arial" w:hAnsi="Arial"/>
          <w:sz w:val="19"/>
          <w:szCs w:val="19"/>
          <w:u w:val="single" w:color="auto"/>
          <w:color w:val="000000"/>
        </w:rPr>
        <w:t>Section 6.02</w:t>
      </w:r>
      <w:r>
        <w:rPr>
          <w:rFonts w:ascii="Arial" w:cs="Arial" w:eastAsia="Arial" w:hAnsi="Arial"/>
          <w:sz w:val="19"/>
          <w:szCs w:val="19"/>
          <w:color w:val="000000"/>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6" w:name="page147"/>
    <w:bookmarkEnd w:id="146"/>
    <w:p>
      <w:pPr>
        <w:jc w:val="both"/>
        <w:ind w:firstLine="648"/>
        <w:spacing w:after="0" w:line="238" w:lineRule="auto"/>
        <w:rPr>
          <w:sz w:val="20"/>
          <w:szCs w:val="20"/>
          <w:color w:val="auto"/>
        </w:rPr>
      </w:pPr>
      <w:r>
        <w:rPr>
          <w:rFonts w:ascii="Arial" w:cs="Arial" w:eastAsia="Arial" w:hAnsi="Arial"/>
          <w:sz w:val="22"/>
          <w:szCs w:val="22"/>
          <w:color w:val="010000"/>
        </w:rPr>
        <w:t xml:space="preserve">Section 6.03 </w:t>
      </w:r>
      <w:r>
        <w:rPr>
          <w:rFonts w:ascii="Arial" w:cs="Arial" w:eastAsia="Arial" w:hAnsi="Arial"/>
          <w:sz w:val="22"/>
          <w:szCs w:val="22"/>
          <w:u w:val="single" w:color="auto"/>
          <w:color w:val="000000"/>
        </w:rPr>
        <w:t>Counterparts.</w:t>
      </w:r>
      <w:r>
        <w:rPr>
          <w:rFonts w:ascii="Arial" w:cs="Arial" w:eastAsia="Arial" w:hAnsi="Arial"/>
          <w:sz w:val="22"/>
          <w:szCs w:val="22"/>
          <w:color w:val="010000"/>
        </w:rPr>
        <w:t xml:space="preserve"> </w:t>
      </w:r>
      <w:r>
        <w:rPr>
          <w:rFonts w:ascii="Arial" w:cs="Arial" w:eastAsia="Arial" w:hAnsi="Arial"/>
          <w:sz w:val="22"/>
          <w:szCs w:val="22"/>
          <w:color w:val="000000"/>
        </w:rPr>
        <w:t>This Agreement may be executed in one or more counterparts (including by facsimile,</w:t>
      </w:r>
      <w:r>
        <w:rPr>
          <w:rFonts w:ascii="Arial" w:cs="Arial" w:eastAsia="Arial" w:hAnsi="Arial"/>
          <w:sz w:val="22"/>
          <w:szCs w:val="22"/>
          <w:color w:val="010000"/>
        </w:rPr>
        <w:t xml:space="preserve"> </w:t>
      </w:r>
      <w:r>
        <w:rPr>
          <w:rFonts w:ascii="Arial" w:cs="Arial" w:eastAsia="Arial" w:hAnsi="Arial"/>
          <w:sz w:val="22"/>
          <w:szCs w:val="22"/>
          <w:color w:val="000000"/>
        </w:rPr>
        <w:t>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6.04 </w:t>
      </w:r>
      <w:r>
        <w:rPr>
          <w:rFonts w:ascii="Arial" w:cs="Arial" w:eastAsia="Arial" w:hAnsi="Arial"/>
          <w:sz w:val="22"/>
          <w:szCs w:val="22"/>
          <w:u w:val="single" w:color="auto"/>
          <w:color w:val="000000"/>
        </w:rPr>
        <w:t>Entire Agreement; No Third Party Beneficiaries.</w:t>
      </w:r>
      <w:r>
        <w:rPr>
          <w:rFonts w:ascii="Arial" w:cs="Arial" w:eastAsia="Arial" w:hAnsi="Arial"/>
          <w:sz w:val="22"/>
          <w:szCs w:val="22"/>
          <w:color w:val="010000"/>
        </w:rPr>
        <w:t xml:space="preserve"> </w:t>
      </w:r>
      <w:r>
        <w:rPr>
          <w:rFonts w:ascii="Arial" w:cs="Arial" w:eastAsia="Arial" w:hAnsi="Arial"/>
          <w:sz w:val="22"/>
          <w:szCs w:val="22"/>
          <w:color w:val="000000"/>
        </w:rPr>
        <w:t>This Agreement, together with the Exhibits attached</w:t>
      </w:r>
      <w:r>
        <w:rPr>
          <w:rFonts w:ascii="Arial" w:cs="Arial" w:eastAsia="Arial" w:hAnsi="Arial"/>
          <w:sz w:val="22"/>
          <w:szCs w:val="22"/>
          <w:color w:val="010000"/>
        </w:rPr>
        <w:t xml:space="preserve"> </w:t>
      </w:r>
      <w:r>
        <w:rPr>
          <w:rFonts w:ascii="Arial" w:cs="Arial" w:eastAsia="Arial" w:hAnsi="Arial"/>
          <w:sz w:val="22"/>
          <w:szCs w:val="22"/>
          <w:color w:val="000000"/>
        </w:rPr>
        <w:t>hereto, the Merger Agreement, the Company Disclosure Letter, the Parent Disclosure Letter, the Confidentiality Agreement, the Equity Commitment Letter and the Guarantee, constitutes the entire agreement, and supersedes all other prior agreements and understandings, both written and oral, among the parties, or any of them, with respect to the subject matter hereof and thereof. This Agreement is not intended to and shall not confer upon any Person other than the parties hereto any rights or remedies hereunder.</w:t>
      </w:r>
    </w:p>
    <w:p>
      <w:pPr>
        <w:spacing w:after="0" w:line="21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010000"/>
        </w:rPr>
        <w:t>Section 6.05</w:t>
      </w:r>
      <w:r>
        <w:rPr>
          <w:sz w:val="20"/>
          <w:szCs w:val="20"/>
          <w:color w:val="auto"/>
        </w:rPr>
        <w:tab/>
      </w:r>
      <w:r>
        <w:rPr>
          <w:rFonts w:ascii="Arial" w:cs="Arial" w:eastAsia="Arial" w:hAnsi="Arial"/>
          <w:sz w:val="19"/>
          <w:szCs w:val="19"/>
          <w:u w:val="single" w:color="auto"/>
          <w:color w:val="auto"/>
        </w:rPr>
        <w:t>Governing Law.</w:t>
      </w:r>
    </w:p>
    <w:p>
      <w:pPr>
        <w:spacing w:after="0" w:line="233" w:lineRule="exact"/>
        <w:rPr>
          <w:sz w:val="20"/>
          <w:szCs w:val="20"/>
          <w:color w:val="auto"/>
        </w:rPr>
      </w:pPr>
    </w:p>
    <w:p>
      <w:pPr>
        <w:jc w:val="both"/>
        <w:ind w:firstLine="1304"/>
        <w:spacing w:after="0" w:line="271" w:lineRule="auto"/>
        <w:tabs>
          <w:tab w:leader="none" w:pos="2392" w:val="left"/>
        </w:tabs>
        <w:numPr>
          <w:ilvl w:val="0"/>
          <w:numId w:val="188"/>
        </w:numPr>
        <w:rPr>
          <w:rFonts w:ascii="Arial" w:cs="Arial" w:eastAsia="Arial" w:hAnsi="Arial"/>
          <w:sz w:val="19"/>
          <w:szCs w:val="19"/>
          <w:color w:val="010000"/>
        </w:rPr>
      </w:pPr>
      <w:r>
        <w:rPr>
          <w:rFonts w:ascii="Arial" w:cs="Arial" w:eastAsia="Arial" w:hAnsi="Arial"/>
          <w:sz w:val="19"/>
          <w:szCs w:val="19"/>
          <w:color w:val="auto"/>
        </w:rPr>
        <w:t xml:space="preserve">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thereto.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6.05(a)</w:t>
      </w:r>
      <w:r>
        <w:rPr>
          <w:rFonts w:ascii="Arial" w:cs="Arial" w:eastAsia="Arial" w:hAnsi="Arial"/>
          <w:sz w:val="19"/>
          <w:szCs w:val="19"/>
          <w:color w:val="auto"/>
        </w:rPr>
        <w:t xml:space="preserve"> shall not constitute general consents to service of process in Bermuda and shall have no effect for any purpose except as provided in this </w:t>
      </w:r>
      <w:r>
        <w:rPr>
          <w:rFonts w:ascii="Arial" w:cs="Arial" w:eastAsia="Arial" w:hAnsi="Arial"/>
          <w:sz w:val="19"/>
          <w:szCs w:val="19"/>
          <w:u w:val="single" w:color="auto"/>
          <w:color w:val="auto"/>
        </w:rPr>
        <w:t>Section 6.05(a)</w:t>
      </w:r>
      <w:r>
        <w:rPr>
          <w:rFonts w:ascii="Arial" w:cs="Arial" w:eastAsia="Arial" w:hAnsi="Arial"/>
          <w:sz w:val="19"/>
          <w:szCs w:val="19"/>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in the foregoing shall restrict any party’s rights to seek any post-judgment relief regarding, or any appeal from, a final trial court judgment.</w:t>
      </w:r>
    </w:p>
    <w:p>
      <w:pPr>
        <w:spacing w:after="0" w:line="191" w:lineRule="exact"/>
        <w:rPr>
          <w:rFonts w:ascii="Arial" w:cs="Arial" w:eastAsia="Arial" w:hAnsi="Arial"/>
          <w:sz w:val="19"/>
          <w:szCs w:val="19"/>
          <w:color w:val="010000"/>
        </w:rPr>
      </w:pPr>
    </w:p>
    <w:p>
      <w:pPr>
        <w:jc w:val="both"/>
        <w:ind w:firstLine="1304"/>
        <w:spacing w:after="0" w:line="234" w:lineRule="auto"/>
        <w:tabs>
          <w:tab w:leader="none" w:pos="2284" w:val="left"/>
        </w:tabs>
        <w:numPr>
          <w:ilvl w:val="0"/>
          <w:numId w:val="188"/>
        </w:numPr>
        <w:rPr>
          <w:rFonts w:ascii="Arial" w:cs="Arial" w:eastAsia="Arial" w:hAnsi="Arial"/>
          <w:sz w:val="22"/>
          <w:szCs w:val="22"/>
          <w:color w:val="010000"/>
        </w:rPr>
      </w:pPr>
      <w:r>
        <w:rPr>
          <w:rFonts w:ascii="Arial" w:cs="Arial" w:eastAsia="Arial" w:hAnsi="Arial"/>
          <w:sz w:val="22"/>
          <w:szCs w:val="22"/>
          <w:color w:val="auto"/>
        </w:rPr>
        <w:t>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OR THE TRANSACTIONS CONTEMPLATED HEREBY. EACH PARTY CERTIFIES AND ACKNOWLEDGES THAT (I) NO REPRESENTATIVE, AGENT OR ATTORNEY OF ANY OTHER PARTY HAS REPRESENTED, EXPRESSLY OR OTHERWISE, THAT SUCH OTHER PARTY WOULD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7" w:name="page148"/>
    <w:bookmarkEnd w:id="147"/>
    <w:p>
      <w:pPr>
        <w:jc w:val="both"/>
        <w:spacing w:after="0" w:line="238" w:lineRule="auto"/>
        <w:rPr>
          <w:sz w:val="20"/>
          <w:szCs w:val="20"/>
          <w:color w:val="auto"/>
        </w:rPr>
      </w:pPr>
      <w:r>
        <w:rPr>
          <w:rFonts w:ascii="Arial" w:cs="Arial" w:eastAsia="Arial" w:hAnsi="Arial"/>
          <w:sz w:val="22"/>
          <w:szCs w:val="22"/>
          <w:color w:val="auto"/>
        </w:rPr>
        <w:t xml:space="preserve">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22"/>
          <w:szCs w:val="22"/>
          <w:u w:val="single" w:color="auto"/>
          <w:color w:val="auto"/>
        </w:rPr>
        <w:t>SECTION 6.05(b)</w:t>
      </w:r>
      <w:r>
        <w:rPr>
          <w:rFonts w:ascii="Arial" w:cs="Arial" w:eastAsia="Arial" w:hAnsi="Arial"/>
          <w:sz w:val="22"/>
          <w:szCs w:val="22"/>
          <w:color w:val="auto"/>
        </w:rPr>
        <w:t>.</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Section 6.06 </w:t>
      </w:r>
      <w:r>
        <w:rPr>
          <w:rFonts w:ascii="Arial" w:cs="Arial" w:eastAsia="Arial" w:hAnsi="Arial"/>
          <w:sz w:val="21"/>
          <w:szCs w:val="21"/>
          <w:u w:val="single" w:color="auto"/>
          <w:color w:val="000000"/>
        </w:rPr>
        <w:t>Assignment.</w:t>
      </w:r>
      <w:r>
        <w:rPr>
          <w:rFonts w:ascii="Arial" w:cs="Arial" w:eastAsia="Arial" w:hAnsi="Arial"/>
          <w:sz w:val="21"/>
          <w:szCs w:val="21"/>
          <w:color w:val="010000"/>
        </w:rPr>
        <w:t xml:space="preserve"> </w:t>
      </w:r>
      <w:r>
        <w:rPr>
          <w:rFonts w:ascii="Arial" w:cs="Arial" w:eastAsia="Arial" w:hAnsi="Arial"/>
          <w:sz w:val="21"/>
          <w:szCs w:val="21"/>
          <w:color w:val="000000"/>
        </w:rPr>
        <w:t>Neither this Agreement nor any of the rights, interests or obligations hereunder shall be</w:t>
      </w:r>
      <w:r>
        <w:rPr>
          <w:rFonts w:ascii="Arial" w:cs="Arial" w:eastAsia="Arial" w:hAnsi="Arial"/>
          <w:sz w:val="21"/>
          <w:szCs w:val="21"/>
          <w:color w:val="010000"/>
        </w:rPr>
        <w:t xml:space="preserve"> </w:t>
      </w:r>
      <w:r>
        <w:rPr>
          <w:rFonts w:ascii="Arial" w:cs="Arial" w:eastAsia="Arial" w:hAnsi="Arial"/>
          <w:sz w:val="21"/>
          <w:szCs w:val="21"/>
          <w:color w:val="000000"/>
        </w:rPr>
        <w:t xml:space="preserve">assigned, in whole or in part, by operation of Law or otherwise, by (a) Parent without the prior written consent of the Company and a majority (in terms of aggregate voting power) of the Rollover Shares, (b) any Rolling Shareholders without the prior written consent of the Company and Parent or (c) the Company without the prior written consent of Parent and a majority (in terms of aggregate voting power) of the Rollover Shares;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any such assignment shall not relieve such party of its obligations hereunder. Subject to the immediately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21"/>
          <w:szCs w:val="21"/>
          <w:u w:val="single" w:color="auto"/>
          <w:color w:val="000000"/>
        </w:rPr>
        <w:t>Section 6.06</w:t>
      </w:r>
      <w:r>
        <w:rPr>
          <w:rFonts w:ascii="Arial" w:cs="Arial" w:eastAsia="Arial" w:hAnsi="Arial"/>
          <w:sz w:val="21"/>
          <w:szCs w:val="21"/>
          <w:color w:val="000000"/>
        </w:rPr>
        <w:t xml:space="preserve"> shall be null and void.</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Section 6.07 </w:t>
      </w:r>
      <w:r>
        <w:rPr>
          <w:rFonts w:ascii="Arial" w:cs="Arial" w:eastAsia="Arial" w:hAnsi="Arial"/>
          <w:sz w:val="19"/>
          <w:szCs w:val="19"/>
          <w:u w:val="single" w:color="auto"/>
          <w:color w:val="000000"/>
        </w:rPr>
        <w:t>Specific Enforcement.</w:t>
      </w:r>
      <w:r>
        <w:rPr>
          <w:rFonts w:ascii="Arial" w:cs="Arial" w:eastAsia="Arial" w:hAnsi="Arial"/>
          <w:sz w:val="19"/>
          <w:szCs w:val="19"/>
          <w:color w:val="010000"/>
        </w:rPr>
        <w:t xml:space="preserve"> </w:t>
      </w:r>
      <w:r>
        <w:rPr>
          <w:rFonts w:ascii="Arial" w:cs="Arial" w:eastAsia="Arial" w:hAnsi="Arial"/>
          <w:sz w:val="19"/>
          <w:szCs w:val="19"/>
          <w:color w:val="000000"/>
        </w:rPr>
        <w:t>The parties hereto agree that irreparable damage for which monetary relief,</w:t>
      </w:r>
      <w:r>
        <w:rPr>
          <w:rFonts w:ascii="Arial" w:cs="Arial" w:eastAsia="Arial" w:hAnsi="Arial"/>
          <w:sz w:val="19"/>
          <w:szCs w:val="19"/>
          <w:color w:val="010000"/>
        </w:rPr>
        <w:t xml:space="preserve"> </w:t>
      </w:r>
      <w:r>
        <w:rPr>
          <w:rFonts w:ascii="Arial" w:cs="Arial" w:eastAsia="Arial" w:hAnsi="Arial"/>
          <w:sz w:val="19"/>
          <w:szCs w:val="19"/>
          <w:color w:val="000000"/>
        </w:rPr>
        <w:t xml:space="preserve">even if available, would not be an adequate remedy, would occur in the event that any provision of this Agreement is not performed in accordance with its specific terms or is otherwise breached. The parties acknowledge and agree that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9"/>
          <w:szCs w:val="19"/>
          <w:u w:val="single" w:color="auto"/>
          <w:color w:val="000000"/>
        </w:rPr>
        <w:t>Section 6.05(a)</w:t>
      </w:r>
      <w:r>
        <w:rPr>
          <w:rFonts w:ascii="Arial" w:cs="Arial" w:eastAsia="Arial" w:hAnsi="Arial"/>
          <w:sz w:val="19"/>
          <w:szCs w:val="19"/>
          <w:color w:val="000000"/>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9"/>
          <w:szCs w:val="19"/>
          <w:u w:val="single" w:color="auto"/>
          <w:color w:val="000000"/>
        </w:rPr>
        <w:t>Section 6.07</w:t>
      </w:r>
      <w:r>
        <w:rPr>
          <w:rFonts w:ascii="Arial" w:cs="Arial" w:eastAsia="Arial" w:hAnsi="Arial"/>
          <w:sz w:val="19"/>
          <w:szCs w:val="19"/>
          <w:color w:val="000000"/>
        </w:rPr>
        <w:t xml:space="preserve"> shall not be required to provide any bond or other security in connection with any such order or injunction.</w:t>
      </w:r>
    </w:p>
    <w:p>
      <w:pPr>
        <w:spacing w:after="0" w:line="1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010000"/>
        </w:rPr>
        <w:t xml:space="preserve">Section 6.08 </w:t>
      </w:r>
      <w:r>
        <w:rPr>
          <w:rFonts w:ascii="Arial" w:cs="Arial" w:eastAsia="Arial" w:hAnsi="Arial"/>
          <w:sz w:val="22"/>
          <w:szCs w:val="22"/>
          <w:u w:val="single" w:color="auto"/>
          <w:color w:val="000000"/>
        </w:rPr>
        <w:t>Amendment; Waiver.</w:t>
      </w:r>
      <w:r>
        <w:rPr>
          <w:rFonts w:ascii="Arial" w:cs="Arial" w:eastAsia="Arial" w:hAnsi="Arial"/>
          <w:sz w:val="22"/>
          <w:szCs w:val="22"/>
          <w:color w:val="010000"/>
        </w:rPr>
        <w:t xml:space="preserve"> </w:t>
      </w:r>
      <w:r>
        <w:rPr>
          <w:rFonts w:ascii="Arial" w:cs="Arial" w:eastAsia="Arial" w:hAnsi="Arial"/>
          <w:sz w:val="22"/>
          <w:szCs w:val="22"/>
          <w:color w:val="000000"/>
        </w:rPr>
        <w:t>At any time prior to the Effective Time, this Agreement may be amended or</w:t>
      </w:r>
      <w:r>
        <w:rPr>
          <w:rFonts w:ascii="Arial" w:cs="Arial" w:eastAsia="Arial" w:hAnsi="Arial"/>
          <w:sz w:val="22"/>
          <w:szCs w:val="22"/>
          <w:color w:val="010000"/>
        </w:rPr>
        <w:t xml:space="preserve"> </w:t>
      </w:r>
      <w:r>
        <w:rPr>
          <w:rFonts w:ascii="Arial" w:cs="Arial" w:eastAsia="Arial" w:hAnsi="Arial"/>
          <w:sz w:val="22"/>
          <w:szCs w:val="22"/>
          <w:color w:val="000000"/>
        </w:rPr>
        <w:t>supplemented in any and all respects only by written agreement of the parties hereto. No failure or delay by the Company, the Rolling Shareholders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Section 6.09 </w:t>
      </w:r>
      <w:r>
        <w:rPr>
          <w:rFonts w:ascii="Arial" w:cs="Arial" w:eastAsia="Arial" w:hAnsi="Arial"/>
          <w:sz w:val="22"/>
          <w:szCs w:val="22"/>
          <w:u w:val="single" w:color="auto"/>
          <w:color w:val="000000"/>
        </w:rPr>
        <w:t>Termination.</w:t>
      </w:r>
      <w:r>
        <w:rPr>
          <w:rFonts w:ascii="Arial" w:cs="Arial" w:eastAsia="Arial" w:hAnsi="Arial"/>
          <w:sz w:val="22"/>
          <w:szCs w:val="22"/>
          <w:color w:val="010000"/>
        </w:rPr>
        <w:t xml:space="preserve"> </w:t>
      </w:r>
      <w:r>
        <w:rPr>
          <w:rFonts w:ascii="Arial" w:cs="Arial" w:eastAsia="Arial" w:hAnsi="Arial"/>
          <w:sz w:val="22"/>
          <w:szCs w:val="22"/>
          <w:color w:val="000000"/>
        </w:rPr>
        <w:t>This Agreement and all obligations of the parties hereto hereunder shall automatically</w:t>
      </w:r>
      <w:r>
        <w:rPr>
          <w:rFonts w:ascii="Arial" w:cs="Arial" w:eastAsia="Arial" w:hAnsi="Arial"/>
          <w:sz w:val="22"/>
          <w:szCs w:val="22"/>
          <w:color w:val="010000"/>
        </w:rPr>
        <w:t xml:space="preserve"> </w:t>
      </w:r>
      <w:r>
        <w:rPr>
          <w:rFonts w:ascii="Arial" w:cs="Arial" w:eastAsia="Arial" w:hAnsi="Arial"/>
          <w:sz w:val="22"/>
          <w:szCs w:val="22"/>
          <w:color w:val="000000"/>
        </w:rPr>
        <w:t>terminate, without further action by any party hereto,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(i) any Rollover Share owned by such Rolling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jc w:val="both"/>
        <w:spacing w:after="0" w:line="244" w:lineRule="auto"/>
        <w:rPr>
          <w:sz w:val="20"/>
          <w:szCs w:val="20"/>
          <w:color w:val="auto"/>
        </w:rPr>
      </w:pPr>
      <w:r>
        <w:rPr>
          <w:rFonts w:ascii="Arial" w:cs="Arial" w:eastAsia="Arial" w:hAnsi="Arial"/>
          <w:sz w:val="21"/>
          <w:szCs w:val="21"/>
          <w:color w:val="auto"/>
        </w:rPr>
        <w:t xml:space="preserve">Shareholder immediately prior to the Effective Time not remaining outstanding as one duly authorized, validly issued, fully paid and nonassessable Surviving Company Share immediately following the Effective Time or (ii) increasing the total number of Surviving Company Shares that will be outstanding immediately following the Effective Time, and (d) with respect to any Rolling Shareholder, the mutual written agreement of such Rolling Shareholder, the Company and Parent. In the event of any such termination of this Agreement, this Agreement shall forthwith become void and have no effect, without any liability or obligation on the part of Parent or the applicable Rolling Shareholders, other than liability for any Willful Breach (as defined below) of this Agreement prior to such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provisions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shall survive the termination of this Agreement. For purposes of this Agreement, a “</w:t>
      </w:r>
      <w:r>
        <w:rPr>
          <w:rFonts w:ascii="Arial" w:cs="Arial" w:eastAsia="Arial" w:hAnsi="Arial"/>
          <w:sz w:val="21"/>
          <w:szCs w:val="21"/>
          <w:u w:val="single" w:color="auto"/>
          <w:color w:val="auto"/>
        </w:rPr>
        <w:t>Willful Breach</w:t>
      </w:r>
      <w:r>
        <w:rPr>
          <w:rFonts w:ascii="Arial" w:cs="Arial" w:eastAsia="Arial" w:hAnsi="Arial"/>
          <w:sz w:val="21"/>
          <w:szCs w:val="21"/>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color w:val="auto"/>
        </w:rPr>
        <w:t>IN WITNESS WHEREOF, the parties hereto have duly executed this Agreement, all as of the date first written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Name:James Berner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50" w:name="page151"/>
    <w:bookmarkEnd w:id="150"/>
    <w:p>
      <w:pPr>
        <w:ind w:left="45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Name:Paul A. Wogan</w:t>
      </w:r>
    </w:p>
    <w:p>
      <w:pPr>
        <w:spacing w:after="0" w:line="35" w:lineRule="exact"/>
        <w:rPr>
          <w:sz w:val="20"/>
          <w:szCs w:val="20"/>
          <w:color w:val="auto"/>
        </w:rPr>
      </w:pPr>
    </w:p>
    <w:p>
      <w:pPr>
        <w:jc w:val="right"/>
        <w:ind w:right="2519"/>
        <w:spacing w:after="0"/>
        <w:rPr>
          <w:sz w:val="20"/>
          <w:szCs w:val="20"/>
          <w:color w:val="auto"/>
        </w:rPr>
      </w:pPr>
      <w:r>
        <w:rPr>
          <w:rFonts w:ascii="Arial" w:cs="Arial" w:eastAsia="Arial" w:hAnsi="Arial"/>
          <w:sz w:val="18"/>
          <w:szCs w:val="18"/>
          <w:color w:val="auto"/>
        </w:rPr>
        <w:t>Title: Director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1" w:name="page152"/>
    <w:bookmarkEnd w:id="151"/>
    <w:p>
      <w:pPr>
        <w:ind w:left="450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2" w:name="page153"/>
    <w:bookmarkEnd w:id="152"/>
    <w:p>
      <w:pPr>
        <w:ind w:left="450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Name:Anthony S. Papadimitriou</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3" w:name="page154"/>
    <w:bookmarkEnd w:id="153"/>
    <w:p>
      <w:pPr>
        <w:ind w:left="4500"/>
        <w:spacing w:after="0"/>
        <w:rPr>
          <w:sz w:val="20"/>
          <w:szCs w:val="20"/>
          <w:color w:val="auto"/>
        </w:rPr>
      </w:pPr>
      <w:r>
        <w:rPr>
          <w:rFonts w:ascii="Arial" w:cs="Arial" w:eastAsia="Arial" w:hAnsi="Arial"/>
          <w:sz w:val="16"/>
          <w:szCs w:val="16"/>
          <w:color w:val="auto"/>
        </w:rPr>
        <w:t>Blenheim Special Investments Holding Ltd.</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4" w:name="page155"/>
    <w:bookmarkEnd w:id="154"/>
    <w:p>
      <w:pPr>
        <w:ind w:left="4500"/>
        <w:spacing w:after="0"/>
        <w:rPr>
          <w:sz w:val="20"/>
          <w:szCs w:val="20"/>
          <w:color w:val="auto"/>
        </w:rPr>
      </w:pPr>
      <w:r>
        <w:rPr>
          <w:rFonts w:ascii="Arial" w:cs="Arial" w:eastAsia="Arial" w:hAnsi="Arial"/>
          <w:sz w:val="17"/>
          <w:szCs w:val="17"/>
          <w:color w:val="auto"/>
        </w:rPr>
        <w:t>Falconera Navigation Inc.</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5" w:name="page156"/>
    <w:bookmarkEnd w:id="155"/>
    <w:p>
      <w:pPr>
        <w:ind w:left="4500"/>
        <w:spacing w:after="0"/>
        <w:rPr>
          <w:sz w:val="20"/>
          <w:szCs w:val="20"/>
          <w:color w:val="auto"/>
        </w:rPr>
      </w:pPr>
      <w:r>
        <w:rPr>
          <w:rFonts w:ascii="Arial" w:cs="Arial" w:eastAsia="Arial" w:hAnsi="Arial"/>
          <w:sz w:val="18"/>
          <w:szCs w:val="18"/>
          <w:color w:val="auto"/>
        </w:rPr>
        <w:t>Chiara Holdings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56" w:name="page157"/>
    <w:bookmarkEnd w:id="156"/>
    <w:p>
      <w:pPr>
        <w:ind w:left="4500"/>
        <w:spacing w:after="0"/>
        <w:rPr>
          <w:sz w:val="20"/>
          <w:szCs w:val="20"/>
          <w:color w:val="auto"/>
        </w:rPr>
      </w:pPr>
      <w:r>
        <w:rPr>
          <w:rFonts w:ascii="Arial" w:cs="Arial" w:eastAsia="Arial" w:hAnsi="Arial"/>
          <w:sz w:val="18"/>
          <w:szCs w:val="18"/>
          <w:color w:val="auto"/>
        </w:rPr>
        <w:t>Maple Tree Holdings Ltd.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7" w:name="page158"/>
    <w:bookmarkEnd w:id="157"/>
    <w:p>
      <w:pPr>
        <w:ind w:left="4500"/>
        <w:spacing w:after="0"/>
        <w:rPr>
          <w:sz w:val="20"/>
          <w:szCs w:val="20"/>
          <w:color w:val="auto"/>
        </w:rPr>
      </w:pPr>
      <w:r>
        <w:rPr>
          <w:rFonts w:ascii="Arial" w:cs="Arial" w:eastAsia="Arial" w:hAnsi="Arial"/>
          <w:sz w:val="18"/>
          <w:szCs w:val="18"/>
          <w:color w:val="auto"/>
        </w:rPr>
        <w:t>Ash Tree SA</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8" w:name="page159"/>
    <w:bookmarkEnd w:id="158"/>
    <w:p>
      <w:pPr>
        <w:ind w:left="4500"/>
        <w:spacing w:after="0"/>
        <w:rPr>
          <w:sz w:val="20"/>
          <w:szCs w:val="20"/>
          <w:color w:val="auto"/>
        </w:rPr>
      </w:pPr>
      <w:r>
        <w:rPr>
          <w:rFonts w:ascii="Arial" w:cs="Arial" w:eastAsia="Arial" w:hAnsi="Arial"/>
          <w:sz w:val="18"/>
          <w:szCs w:val="18"/>
          <w:color w:val="auto"/>
        </w:rPr>
        <w:t>Acer Tree SA</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59" w:name="page160"/>
    <w:bookmarkEnd w:id="159"/>
    <w:p>
      <w:pPr>
        <w:ind w:left="4500"/>
        <w:spacing w:after="0"/>
        <w:rPr>
          <w:sz w:val="20"/>
          <w:szCs w:val="20"/>
          <w:color w:val="auto"/>
        </w:rPr>
      </w:pPr>
      <w:r>
        <w:rPr>
          <w:rFonts w:ascii="Arial" w:cs="Arial" w:eastAsia="Arial" w:hAnsi="Arial"/>
          <w:sz w:val="16"/>
          <w:szCs w:val="16"/>
          <w:color w:val="auto"/>
        </w:rPr>
        <w:t>Thatcher Investments Limited</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Name:Peter G. Livanos</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0" w:name="page161"/>
    <w:bookmarkEnd w:id="160"/>
    <w:p>
      <w:pPr>
        <w:ind w:left="4500"/>
        <w:spacing w:after="0"/>
        <w:rPr>
          <w:sz w:val="20"/>
          <w:szCs w:val="20"/>
          <w:color w:val="auto"/>
        </w:rPr>
      </w:pPr>
      <w:r>
        <w:rPr>
          <w:rFonts w:ascii="Arial" w:cs="Arial" w:eastAsia="Arial" w:hAnsi="Arial"/>
          <w:sz w:val="16"/>
          <w:szCs w:val="16"/>
          <w:color w:val="auto"/>
        </w:rPr>
        <w:t>Eleanor Investments Holdings</w:t>
      </w:r>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Name:Peter G. Livanos</w:t>
      </w:r>
    </w:p>
    <w:p>
      <w:pPr>
        <w:spacing w:after="0" w:line="3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1" w:name="page162"/>
    <w:bookmarkEnd w:id="161"/>
    <w:p>
      <w:pPr>
        <w:ind w:left="4500"/>
        <w:spacing w:after="0"/>
        <w:rPr>
          <w:sz w:val="20"/>
          <w:szCs w:val="20"/>
          <w:color w:val="auto"/>
        </w:rPr>
      </w:pPr>
      <w:r>
        <w:rPr>
          <w:rFonts w:ascii="Arial" w:cs="Arial" w:eastAsia="Arial" w:hAnsi="Arial"/>
          <w:sz w:val="18"/>
          <w:szCs w:val="18"/>
          <w:color w:val="auto"/>
        </w:rPr>
        <w:t>Nelson Equity Limited</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2" w:name="page163"/>
    <w:bookmarkEnd w:id="162"/>
    <w:p>
      <w:pPr>
        <w:ind w:left="4500"/>
        <w:spacing w:after="0"/>
        <w:rPr>
          <w:sz w:val="20"/>
          <w:szCs w:val="20"/>
          <w:color w:val="auto"/>
        </w:rPr>
      </w:pPr>
      <w:r>
        <w:rPr>
          <w:rFonts w:ascii="Arial" w:cs="Arial" w:eastAsia="Arial" w:hAnsi="Arial"/>
          <w:sz w:val="17"/>
          <w:szCs w:val="17"/>
          <w:color w:val="auto"/>
        </w:rPr>
        <w:t>JP Jones Holdings Limited</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Name:Peter G. Livanos</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281"/>
        </w:trPr>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0" w:type="dxa"/>
            <w:vAlign w:val="bottom"/>
            <w:gridSpan w:val="2"/>
          </w:tcPr>
          <w:p>
            <w:pPr>
              <w:ind w:left="2100"/>
              <w:spacing w:after="0"/>
              <w:rPr>
                <w:sz w:val="20"/>
                <w:szCs w:val="20"/>
                <w:color w:val="auto"/>
              </w:rPr>
            </w:pPr>
            <w:r>
              <w:rPr>
                <w:rFonts w:ascii="Arial" w:cs="Arial" w:eastAsia="Arial" w:hAnsi="Arial"/>
                <w:sz w:val="22"/>
                <w:szCs w:val="22"/>
                <w:b w:val="1"/>
                <w:bCs w:val="1"/>
                <w:color w:val="auto"/>
                <w:w w:val="90"/>
              </w:rPr>
              <w:t>Exhibit A</w:t>
            </w:r>
          </w:p>
        </w:tc>
      </w:tr>
      <w:tr>
        <w:trPr>
          <w:trHeight w:val="483"/>
        </w:trPr>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43"/>
        </w:trPr>
        <w:tc>
          <w:tcPr>
            <w:tcW w:w="3780" w:type="dxa"/>
            <w:vAlign w:val="bottom"/>
            <w:tcBorders>
              <w:left w:val="single" w:sz="8" w:color="auto"/>
              <w:right w:val="single" w:sz="8" w:color="auto"/>
            </w:tcBorders>
            <w:gridSpan w:val="3"/>
            <w:shd w:val="clear" w:color="auto" w:fill="D9D9D9"/>
          </w:tcPr>
          <w:p>
            <w:pPr>
              <w:ind w:left="100"/>
              <w:spacing w:after="0"/>
              <w:rPr>
                <w:sz w:val="20"/>
                <w:szCs w:val="20"/>
                <w:color w:val="auto"/>
              </w:rPr>
            </w:pPr>
            <w:r>
              <w:rPr>
                <w:rFonts w:ascii="Arial" w:cs="Arial" w:eastAsia="Arial" w:hAnsi="Arial"/>
                <w:sz w:val="18"/>
                <w:szCs w:val="18"/>
                <w:color w:val="auto"/>
              </w:rPr>
              <w:t>Rolling Shareholder</w:t>
            </w:r>
          </w:p>
        </w:tc>
        <w:tc>
          <w:tcPr>
            <w:tcW w:w="780" w:type="dxa"/>
            <w:vAlign w:val="bottom"/>
            <w:shd w:val="clear" w:color="auto" w:fill="D9D9D9"/>
          </w:tcPr>
          <w:p>
            <w:pPr>
              <w:spacing w:after="0"/>
              <w:rPr>
                <w:sz w:val="21"/>
                <w:szCs w:val="21"/>
                <w:color w:val="auto"/>
              </w:rPr>
            </w:pPr>
          </w:p>
        </w:tc>
        <w:tc>
          <w:tcPr>
            <w:tcW w:w="2960" w:type="dxa"/>
            <w:vAlign w:val="bottom"/>
            <w:tcBorders>
              <w:right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Number of Common Shares</w:t>
            </w:r>
          </w:p>
        </w:tc>
        <w:tc>
          <w:tcPr>
            <w:tcW w:w="3720" w:type="dxa"/>
            <w:vAlign w:val="bottom"/>
            <w:tcBorders>
              <w:right w:val="single" w:sz="8" w:color="auto"/>
            </w:tcBorders>
            <w:gridSpan w:val="3"/>
            <w:shd w:val="clear" w:color="auto" w:fill="D9D9D9"/>
          </w:tcPr>
          <w:p>
            <w:pPr>
              <w:ind w:left="720"/>
              <w:spacing w:after="0"/>
              <w:rPr>
                <w:sz w:val="20"/>
                <w:szCs w:val="20"/>
                <w:color w:val="auto"/>
              </w:rPr>
            </w:pPr>
            <w:r>
              <w:rPr>
                <w:rFonts w:ascii="Arial" w:cs="Arial" w:eastAsia="Arial" w:hAnsi="Arial"/>
                <w:sz w:val="18"/>
                <w:szCs w:val="18"/>
                <w:b w:val="1"/>
                <w:bCs w:val="1"/>
                <w:color w:val="auto"/>
              </w:rPr>
              <w:t>Number of Preference Shares</w:t>
            </w:r>
          </w:p>
        </w:tc>
      </w:tr>
      <w:tr>
        <w:trPr>
          <w:trHeight w:val="95"/>
        </w:trPr>
        <w:tc>
          <w:tcPr>
            <w:tcW w:w="100" w:type="dxa"/>
            <w:vAlign w:val="bottom"/>
            <w:tcBorders>
              <w:top w:val="single" w:sz="8" w:color="D9D9D9"/>
              <w:left w:val="single" w:sz="8" w:color="auto"/>
              <w:bottom w:val="single" w:sz="8" w:color="auto"/>
            </w:tcBorders>
            <w:shd w:val="clear" w:color="auto" w:fill="D9D9D9"/>
          </w:tcPr>
          <w:p>
            <w:pPr>
              <w:spacing w:after="0"/>
              <w:rPr>
                <w:sz w:val="8"/>
                <w:szCs w:val="8"/>
                <w:color w:val="auto"/>
              </w:rPr>
            </w:pPr>
          </w:p>
        </w:tc>
        <w:tc>
          <w:tcPr>
            <w:tcW w:w="1460" w:type="dxa"/>
            <w:vAlign w:val="bottom"/>
            <w:tcBorders>
              <w:top w:val="single" w:sz="8" w:color="auto"/>
              <w:bottom w:val="single" w:sz="8" w:color="auto"/>
            </w:tcBorders>
            <w:shd w:val="clear" w:color="auto" w:fill="D9D9D9"/>
          </w:tcPr>
          <w:p>
            <w:pPr>
              <w:spacing w:after="0"/>
              <w:rPr>
                <w:sz w:val="8"/>
                <w:szCs w:val="8"/>
                <w:color w:val="auto"/>
              </w:rPr>
            </w:pPr>
          </w:p>
        </w:tc>
        <w:tc>
          <w:tcPr>
            <w:tcW w:w="222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780" w:type="dxa"/>
            <w:vAlign w:val="bottom"/>
            <w:tcBorders>
              <w:top w:val="single" w:sz="8" w:color="D9D9D9"/>
              <w:bottom w:val="single" w:sz="8" w:color="auto"/>
            </w:tcBorders>
            <w:shd w:val="clear" w:color="auto" w:fill="D9D9D9"/>
          </w:tcPr>
          <w:p>
            <w:pPr>
              <w:spacing w:after="0"/>
              <w:rPr>
                <w:sz w:val="8"/>
                <w:szCs w:val="8"/>
                <w:color w:val="auto"/>
              </w:rPr>
            </w:pPr>
          </w:p>
        </w:tc>
        <w:tc>
          <w:tcPr>
            <w:tcW w:w="2140" w:type="dxa"/>
            <w:vAlign w:val="bottom"/>
            <w:tcBorders>
              <w:top w:val="single" w:sz="8" w:color="auto"/>
              <w:bottom w:val="single" w:sz="8" w:color="auto"/>
            </w:tcBorders>
            <w:shd w:val="clear" w:color="auto" w:fill="D9D9D9"/>
          </w:tcPr>
          <w:p>
            <w:pPr>
              <w:spacing w:after="0"/>
              <w:rPr>
                <w:sz w:val="8"/>
                <w:szCs w:val="8"/>
                <w:color w:val="auto"/>
              </w:rPr>
            </w:pPr>
          </w:p>
        </w:tc>
        <w:tc>
          <w:tcPr>
            <w:tcW w:w="82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720" w:type="dxa"/>
            <w:vAlign w:val="bottom"/>
            <w:tcBorders>
              <w:top w:val="single" w:sz="8" w:color="D9D9D9"/>
              <w:bottom w:val="single" w:sz="8" w:color="auto"/>
            </w:tcBorders>
            <w:shd w:val="clear" w:color="auto" w:fill="D9D9D9"/>
          </w:tcPr>
          <w:p>
            <w:pPr>
              <w:spacing w:after="0"/>
              <w:rPr>
                <w:sz w:val="8"/>
                <w:szCs w:val="8"/>
                <w:color w:val="auto"/>
              </w:rPr>
            </w:pPr>
          </w:p>
        </w:tc>
        <w:tc>
          <w:tcPr>
            <w:tcW w:w="2260" w:type="dxa"/>
            <w:vAlign w:val="bottom"/>
            <w:tcBorders>
              <w:top w:val="single" w:sz="8" w:color="auto"/>
              <w:bottom w:val="single" w:sz="8" w:color="auto"/>
            </w:tcBorders>
            <w:shd w:val="clear" w:color="auto" w:fill="D9D9D9"/>
          </w:tcPr>
          <w:p>
            <w:pPr>
              <w:spacing w:after="0"/>
              <w:rPr>
                <w:sz w:val="8"/>
                <w:szCs w:val="8"/>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Blenheim Holdings Ltd.</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30,800,000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5"/>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Olympic LNG Investments Ltd.</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11,164,904</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358"/>
        </w:trPr>
        <w:tc>
          <w:tcPr>
            <w:tcW w:w="378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Blenheim Special Investments Holding Ltd.</w:t>
            </w:r>
          </w:p>
        </w:tc>
        <w:tc>
          <w:tcPr>
            <w:tcW w:w="292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86"/>
              </w:rPr>
              <w:t>0</w:t>
            </w:r>
            <w:r>
              <w:rPr>
                <w:rFonts w:ascii="Arial" w:cs="Arial" w:eastAsia="Arial" w:hAnsi="Arial"/>
                <w:sz w:val="29"/>
                <w:szCs w:val="29"/>
                <w:color w:val="auto"/>
                <w:w w:val="86"/>
                <w:vertAlign w:val="superscript"/>
              </w:rPr>
              <w:t>1</w:t>
            </w:r>
          </w:p>
        </w:tc>
        <w:tc>
          <w:tcPr>
            <w:tcW w:w="820" w:type="dxa"/>
            <w:vAlign w:val="bottom"/>
            <w:tcBorders>
              <w:bottom w:val="single" w:sz="8" w:color="auto"/>
              <w:right w:val="single" w:sz="8" w:color="auto"/>
            </w:tcBorders>
          </w:tcPr>
          <w:p>
            <w:pPr>
              <w:spacing w:after="0"/>
              <w:rPr>
                <w:sz w:val="24"/>
                <w:szCs w:val="24"/>
                <w:color w:val="auto"/>
              </w:rPr>
            </w:pPr>
          </w:p>
        </w:tc>
        <w:tc>
          <w:tcPr>
            <w:tcW w:w="298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bottom w:val="single" w:sz="8" w:color="auto"/>
              <w:right w:val="single" w:sz="8" w:color="auto"/>
            </w:tcBorders>
          </w:tcPr>
          <w:p>
            <w:pPr>
              <w:spacing w:after="0"/>
              <w:rPr>
                <w:sz w:val="24"/>
                <w:szCs w:val="24"/>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Falconera Navigation Inc.*</w:t>
            </w:r>
          </w:p>
        </w:tc>
        <w:tc>
          <w:tcPr>
            <w:tcW w:w="292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2,602,000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4"/>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Chiara Holdings Inc.*</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181,000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88"/>
              </w:rPr>
              <w:t>9,366</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Maple Tree Holdings Ltd.*</w:t>
            </w:r>
          </w:p>
        </w:tc>
        <w:tc>
          <w:tcPr>
            <w:tcW w:w="292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2,239,044</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4"/>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Ash Tree SA*</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890,000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Acer Tree SA*</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214,500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5"/>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Thatcher Investments Limited*</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623,250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Eleanor Investments Holdings*</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623,250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5"/>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Nelson Equity Limited*</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623,250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4"/>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JP Jones Holdings Limited*</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623,250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Total (Rolling Shareholders)</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50,584,448</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8"/>
              </w:rPr>
              <w:t>9,366</w:t>
            </w:r>
          </w:p>
        </w:tc>
        <w:tc>
          <w:tcPr>
            <w:tcW w:w="740" w:type="dxa"/>
            <w:vAlign w:val="bottom"/>
            <w:tcBorders>
              <w:right w:val="single" w:sz="8" w:color="auto"/>
            </w:tcBorders>
          </w:tcPr>
          <w:p>
            <w:pPr>
              <w:spacing w:after="0"/>
              <w:rPr>
                <w:sz w:val="24"/>
                <w:szCs w:val="24"/>
                <w:color w:val="auto"/>
              </w:rPr>
            </w:pPr>
          </w:p>
        </w:tc>
      </w:tr>
      <w:tr>
        <w:trPr>
          <w:trHeight w:val="74"/>
        </w:trPr>
        <w:tc>
          <w:tcPr>
            <w:tcW w:w="10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6459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8"/>
        <w:spacing w:after="0" w:line="218" w:lineRule="auto"/>
        <w:tabs>
          <w:tab w:leader="none" w:pos="157" w:val="left"/>
        </w:tabs>
        <w:numPr>
          <w:ilvl w:val="0"/>
          <w:numId w:val="189"/>
        </w:numPr>
        <w:rPr>
          <w:rFonts w:ascii="Arial" w:cs="Arial" w:eastAsia="Arial" w:hAnsi="Arial"/>
          <w:sz w:val="35"/>
          <w:szCs w:val="35"/>
          <w:color w:val="auto"/>
          <w:vertAlign w:val="superscript"/>
        </w:rPr>
      </w:pPr>
      <w:r>
        <w:rPr>
          <w:rFonts w:ascii="Arial" w:cs="Arial" w:eastAsia="Arial" w:hAnsi="Arial"/>
          <w:sz w:val="21"/>
          <w:szCs w:val="21"/>
          <w:color w:val="auto"/>
        </w:rPr>
        <w:t xml:space="preserve">Does not include Common Shares to be Transferred by the shareholders indicated with an * to Blenheim Special Investments Holding Ltd. pursuant to </w:t>
      </w:r>
      <w:r>
        <w:rPr>
          <w:rFonts w:ascii="Arial" w:cs="Arial" w:eastAsia="Arial" w:hAnsi="Arial"/>
          <w:sz w:val="21"/>
          <w:szCs w:val="21"/>
          <w:u w:val="single" w:color="auto"/>
          <w:color w:val="auto"/>
        </w:rPr>
        <w:t>Section 5.02(b)</w:t>
      </w:r>
      <w:r>
        <w:rPr>
          <w:rFonts w:ascii="Arial" w:cs="Arial" w:eastAsia="Arial" w:hAnsi="Arial"/>
          <w:sz w:val="21"/>
          <w:szCs w:val="21"/>
          <w:color w:val="auto"/>
        </w:rPr>
        <w:t xml:space="preserve">. Also does not include 1,200,000 Common Shares held by Bruce Blythe, 338,706 Common Shares held by Jean Haramis, 260,998 Common Shares held by Monhegetti Transport Inc., 217,000 Common Shares held by Dimitris Kolias and 23,950 Common Shares held by Stray Shipping Investments, all of which will be Transferred to Blenheim Special Investments Holding Ltd. pursuant to </w:t>
      </w:r>
      <w:r>
        <w:rPr>
          <w:rFonts w:ascii="Arial" w:cs="Arial" w:eastAsia="Arial" w:hAnsi="Arial"/>
          <w:sz w:val="21"/>
          <w:szCs w:val="21"/>
          <w:u w:val="single" w:color="auto"/>
          <w:color w:val="auto"/>
        </w:rPr>
        <w:t>Section 5.02(b)</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gridSpan w:val="3"/>
            <w:shd w:val="clear" w:color="auto" w:fill="D9D9D9"/>
          </w:tcPr>
          <w:p>
            <w:pPr>
              <w:ind w:left="680"/>
              <w:spacing w:after="0"/>
              <w:rPr>
                <w:sz w:val="20"/>
                <w:szCs w:val="20"/>
                <w:color w:val="auto"/>
              </w:rPr>
            </w:pPr>
            <w:r>
              <w:rPr>
                <w:rFonts w:ascii="Arial" w:cs="Arial" w:eastAsia="Arial" w:hAnsi="Arial"/>
                <w:sz w:val="18"/>
                <w:szCs w:val="18"/>
                <w:b w:val="1"/>
                <w:bCs w:val="1"/>
                <w:color w:val="auto"/>
              </w:rPr>
              <w:t>Additional Rolling Shareholder</w:t>
            </w:r>
          </w:p>
        </w:tc>
        <w:tc>
          <w:tcPr>
            <w:tcW w:w="780" w:type="dxa"/>
            <w:vAlign w:val="bottom"/>
            <w:tcBorders>
              <w:top w:val="single" w:sz="8" w:color="auto"/>
            </w:tcBorders>
            <w:shd w:val="clear" w:color="auto" w:fill="D9D9D9"/>
          </w:tcPr>
          <w:p>
            <w:pPr>
              <w:spacing w:after="0"/>
              <w:rPr>
                <w:sz w:val="23"/>
                <w:szCs w:val="23"/>
                <w:color w:val="auto"/>
              </w:rPr>
            </w:pPr>
          </w:p>
        </w:tc>
        <w:tc>
          <w:tcPr>
            <w:tcW w:w="2960" w:type="dxa"/>
            <w:vAlign w:val="bottom"/>
            <w:tcBorders>
              <w:top w:val="single" w:sz="8" w:color="auto"/>
              <w:right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Number of Common Shares</w:t>
            </w:r>
          </w:p>
        </w:tc>
        <w:tc>
          <w:tcPr>
            <w:tcW w:w="3720" w:type="dxa"/>
            <w:vAlign w:val="bottom"/>
            <w:tcBorders>
              <w:top w:val="single" w:sz="8" w:color="auto"/>
              <w:right w:val="single" w:sz="8" w:color="auto"/>
            </w:tcBorders>
            <w:gridSpan w:val="3"/>
            <w:shd w:val="clear" w:color="auto" w:fill="D9D9D9"/>
          </w:tcPr>
          <w:p>
            <w:pPr>
              <w:ind w:left="720"/>
              <w:spacing w:after="0"/>
              <w:rPr>
                <w:sz w:val="20"/>
                <w:szCs w:val="20"/>
                <w:color w:val="auto"/>
              </w:rPr>
            </w:pPr>
            <w:r>
              <w:rPr>
                <w:rFonts w:ascii="Arial" w:cs="Arial" w:eastAsia="Arial" w:hAnsi="Arial"/>
                <w:sz w:val="18"/>
                <w:szCs w:val="18"/>
                <w:b w:val="1"/>
                <w:bCs w:val="1"/>
                <w:color w:val="auto"/>
              </w:rPr>
              <w:t>Number of Preference Shares</w:t>
            </w:r>
          </w:p>
        </w:tc>
      </w:tr>
      <w:tr>
        <w:trPr>
          <w:trHeight w:val="95"/>
        </w:trPr>
        <w:tc>
          <w:tcPr>
            <w:tcW w:w="680" w:type="dxa"/>
            <w:vAlign w:val="bottom"/>
            <w:tcBorders>
              <w:top w:val="single" w:sz="8" w:color="D9D9D9"/>
              <w:left w:val="single" w:sz="8" w:color="auto"/>
              <w:bottom w:val="single" w:sz="8" w:color="auto"/>
            </w:tcBorders>
            <w:shd w:val="clear" w:color="auto" w:fill="D9D9D9"/>
          </w:tcPr>
          <w:p>
            <w:pPr>
              <w:spacing w:after="0"/>
              <w:rPr>
                <w:sz w:val="8"/>
                <w:szCs w:val="8"/>
                <w:color w:val="auto"/>
              </w:rPr>
            </w:pPr>
          </w:p>
        </w:tc>
        <w:tc>
          <w:tcPr>
            <w:tcW w:w="2420" w:type="dxa"/>
            <w:vAlign w:val="bottom"/>
            <w:tcBorders>
              <w:top w:val="single" w:sz="8" w:color="auto"/>
              <w:bottom w:val="single" w:sz="8" w:color="auto"/>
            </w:tcBorders>
            <w:shd w:val="clear" w:color="auto" w:fill="D9D9D9"/>
          </w:tcPr>
          <w:p>
            <w:pPr>
              <w:spacing w:after="0"/>
              <w:rPr>
                <w:sz w:val="8"/>
                <w:szCs w:val="8"/>
                <w:color w:val="auto"/>
              </w:rPr>
            </w:pPr>
          </w:p>
        </w:tc>
        <w:tc>
          <w:tcPr>
            <w:tcW w:w="68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780" w:type="dxa"/>
            <w:vAlign w:val="bottom"/>
            <w:tcBorders>
              <w:top w:val="single" w:sz="8" w:color="D9D9D9"/>
              <w:bottom w:val="single" w:sz="8" w:color="auto"/>
            </w:tcBorders>
            <w:shd w:val="clear" w:color="auto" w:fill="D9D9D9"/>
          </w:tcPr>
          <w:p>
            <w:pPr>
              <w:spacing w:after="0"/>
              <w:rPr>
                <w:sz w:val="8"/>
                <w:szCs w:val="8"/>
                <w:color w:val="auto"/>
              </w:rPr>
            </w:pPr>
          </w:p>
        </w:tc>
        <w:tc>
          <w:tcPr>
            <w:tcW w:w="2140" w:type="dxa"/>
            <w:vAlign w:val="bottom"/>
            <w:tcBorders>
              <w:top w:val="single" w:sz="8" w:color="auto"/>
              <w:bottom w:val="single" w:sz="8" w:color="auto"/>
            </w:tcBorders>
            <w:shd w:val="clear" w:color="auto" w:fill="D9D9D9"/>
          </w:tcPr>
          <w:p>
            <w:pPr>
              <w:spacing w:after="0"/>
              <w:rPr>
                <w:sz w:val="8"/>
                <w:szCs w:val="8"/>
                <w:color w:val="auto"/>
              </w:rPr>
            </w:pPr>
          </w:p>
        </w:tc>
        <w:tc>
          <w:tcPr>
            <w:tcW w:w="82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c>
          <w:tcPr>
            <w:tcW w:w="720" w:type="dxa"/>
            <w:vAlign w:val="bottom"/>
            <w:tcBorders>
              <w:top w:val="single" w:sz="8" w:color="D9D9D9"/>
              <w:bottom w:val="single" w:sz="8" w:color="auto"/>
            </w:tcBorders>
            <w:shd w:val="clear" w:color="auto" w:fill="D9D9D9"/>
          </w:tcPr>
          <w:p>
            <w:pPr>
              <w:spacing w:after="0"/>
              <w:rPr>
                <w:sz w:val="8"/>
                <w:szCs w:val="8"/>
                <w:color w:val="auto"/>
              </w:rPr>
            </w:pPr>
          </w:p>
        </w:tc>
        <w:tc>
          <w:tcPr>
            <w:tcW w:w="2260" w:type="dxa"/>
            <w:vAlign w:val="bottom"/>
            <w:tcBorders>
              <w:top w:val="single" w:sz="8" w:color="auto"/>
              <w:bottom w:val="single" w:sz="8" w:color="auto"/>
            </w:tcBorders>
            <w:shd w:val="clear" w:color="auto" w:fill="D9D9D9"/>
          </w:tcPr>
          <w:p>
            <w:pPr>
              <w:spacing w:after="0"/>
              <w:rPr>
                <w:sz w:val="8"/>
                <w:szCs w:val="8"/>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8"/>
                <w:szCs w:val="8"/>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Bruce Blythe</w:t>
            </w:r>
          </w:p>
        </w:tc>
        <w:tc>
          <w:tcPr>
            <w:tcW w:w="292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1,200,000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4"/>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Jean Haramis</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338,706</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Monhegetti Transport Inc.</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260,998</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5"/>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Dimitris Kolias</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217,000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4"/>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Stray Shipping Investments</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23,950</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Total (Additional Rolling Shareholders)</w:t>
            </w:r>
          </w:p>
        </w:tc>
        <w:tc>
          <w:tcPr>
            <w:tcW w:w="292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9"/>
              </w:rPr>
              <w:t>2,040,654</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79"/>
              </w:rPr>
              <w:t>0</w:t>
            </w:r>
          </w:p>
        </w:tc>
        <w:tc>
          <w:tcPr>
            <w:tcW w:w="740" w:type="dxa"/>
            <w:vAlign w:val="bottom"/>
            <w:tcBorders>
              <w:right w:val="single" w:sz="8" w:color="auto"/>
            </w:tcBorders>
          </w:tcPr>
          <w:p>
            <w:pPr>
              <w:spacing w:after="0"/>
              <w:rPr>
                <w:sz w:val="24"/>
                <w:szCs w:val="24"/>
                <w:color w:val="auto"/>
              </w:rPr>
            </w:pPr>
          </w:p>
        </w:tc>
      </w:tr>
      <w:tr>
        <w:trPr>
          <w:trHeight w:val="74"/>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21"/>
        </w:trPr>
        <w:tc>
          <w:tcPr>
            <w:tcW w:w="680" w:type="dxa"/>
            <w:vAlign w:val="bottom"/>
            <w:tcBorders>
              <w:left w:val="single" w:sz="8" w:color="auto"/>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r>
      <w:tr>
        <w:trPr>
          <w:trHeight w:val="283"/>
        </w:trPr>
        <w:tc>
          <w:tcPr>
            <w:tcW w:w="378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Total</w:t>
            </w:r>
          </w:p>
        </w:tc>
        <w:tc>
          <w:tcPr>
            <w:tcW w:w="29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0"/>
              </w:rPr>
              <w:t>52,625,102</w:t>
            </w:r>
          </w:p>
        </w:tc>
        <w:tc>
          <w:tcPr>
            <w:tcW w:w="820" w:type="dxa"/>
            <w:vAlign w:val="bottom"/>
            <w:tcBorders>
              <w:right w:val="single" w:sz="8" w:color="auto"/>
            </w:tcBorders>
          </w:tcPr>
          <w:p>
            <w:pPr>
              <w:spacing w:after="0"/>
              <w:rPr>
                <w:sz w:val="24"/>
                <w:szCs w:val="24"/>
                <w:color w:val="auto"/>
              </w:rPr>
            </w:pPr>
          </w:p>
        </w:tc>
        <w:tc>
          <w:tcPr>
            <w:tcW w:w="298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88"/>
              </w:rPr>
              <w:t>9,366</w:t>
            </w:r>
          </w:p>
        </w:tc>
        <w:tc>
          <w:tcPr>
            <w:tcW w:w="740" w:type="dxa"/>
            <w:vAlign w:val="bottom"/>
            <w:tcBorders>
              <w:right w:val="single" w:sz="8" w:color="auto"/>
            </w:tcBorders>
          </w:tcPr>
          <w:p>
            <w:pPr>
              <w:spacing w:after="0"/>
              <w:rPr>
                <w:sz w:val="24"/>
                <w:szCs w:val="24"/>
                <w:color w:val="auto"/>
              </w:rPr>
            </w:pPr>
          </w:p>
        </w:tc>
      </w:tr>
      <w:tr>
        <w:trPr>
          <w:trHeight w:val="74"/>
        </w:trPr>
        <w:tc>
          <w:tcPr>
            <w:tcW w:w="680" w:type="dxa"/>
            <w:vAlign w:val="bottom"/>
            <w:tcBorders>
              <w:left w:val="single" w:sz="8" w:color="auto"/>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r>
      <w:tr>
        <w:trPr>
          <w:trHeight w:val="426"/>
        </w:trPr>
        <w:tc>
          <w:tcPr>
            <w:tcW w:w="680" w:type="dxa"/>
            <w:vAlign w:val="bottom"/>
            <w:tcBorders>
              <w:bottom w:val="single" w:sz="8" w:color="BFBFBF"/>
            </w:tcBorders>
          </w:tcPr>
          <w:p>
            <w:pPr>
              <w:spacing w:after="0"/>
              <w:rPr>
                <w:sz w:val="24"/>
                <w:szCs w:val="24"/>
                <w:color w:val="auto"/>
              </w:rPr>
            </w:pPr>
          </w:p>
        </w:tc>
        <w:tc>
          <w:tcPr>
            <w:tcW w:w="242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780" w:type="dxa"/>
            <w:vAlign w:val="bottom"/>
            <w:tcBorders>
              <w:bottom w:val="single" w:sz="8" w:color="BFBFBF"/>
            </w:tcBorders>
          </w:tcPr>
          <w:p>
            <w:pPr>
              <w:spacing w:after="0"/>
              <w:rPr>
                <w:sz w:val="24"/>
                <w:szCs w:val="24"/>
                <w:color w:val="auto"/>
              </w:rPr>
            </w:pPr>
          </w:p>
        </w:tc>
        <w:tc>
          <w:tcPr>
            <w:tcW w:w="2140" w:type="dxa"/>
            <w:vAlign w:val="bottom"/>
            <w:tcBorders>
              <w:bottom w:val="single" w:sz="8" w:color="BFBFBF"/>
            </w:tcBorders>
          </w:tcPr>
          <w:p>
            <w:pPr>
              <w:spacing w:after="0"/>
              <w:rPr>
                <w:sz w:val="24"/>
                <w:szCs w:val="24"/>
                <w:color w:val="auto"/>
              </w:rPr>
            </w:pPr>
          </w:p>
        </w:tc>
        <w:tc>
          <w:tcPr>
            <w:tcW w:w="82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226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349885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SHAREHOLDERS’ AGREEMENT</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Among</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GEPIF III Crown Bidco L.P.,</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BLENHEIM HOLDINGS LTD,</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BLENHEIM SPECIAL INVESTMENTS HOLDING LTD,</w:t>
      </w: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OLYMPIC LNG INVESTMENTS LTD,</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GASLOG LTD.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dated as of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538480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633095</wp:posOffset>
            </wp:positionV>
            <wp:extent cx="713232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1001395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74"/>
        </w:trPr>
        <w:tc>
          <w:tcPr>
            <w:tcW w:w="1040" w:type="dxa"/>
            <w:vAlign w:val="bottom"/>
          </w:tcPr>
          <w:p>
            <w:pPr>
              <w:spacing w:after="0"/>
              <w:rPr>
                <w:sz w:val="23"/>
                <w:szCs w:val="23"/>
                <w:color w:val="auto"/>
              </w:rPr>
            </w:pPr>
          </w:p>
        </w:tc>
        <w:tc>
          <w:tcPr>
            <w:tcW w:w="8360" w:type="dxa"/>
            <w:vAlign w:val="bottom"/>
          </w:tcPr>
          <w:p>
            <w:pPr>
              <w:jc w:val="center"/>
              <w:ind w:left="709"/>
              <w:spacing w:after="0"/>
              <w:rPr>
                <w:sz w:val="20"/>
                <w:szCs w:val="20"/>
                <w:color w:val="auto"/>
              </w:rPr>
            </w:pPr>
            <w:r>
              <w:rPr>
                <w:rFonts w:ascii="Arial" w:cs="Arial" w:eastAsia="Arial" w:hAnsi="Arial"/>
                <w:sz w:val="22"/>
                <w:szCs w:val="22"/>
                <w:color w:val="auto"/>
                <w:w w:val="94"/>
              </w:rPr>
              <w:t>TABLE OF CONTENTS</w:t>
            </w:r>
          </w:p>
        </w:tc>
        <w:tc>
          <w:tcPr>
            <w:tcW w:w="1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10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8360" w:type="dxa"/>
            <w:vAlign w:val="bottom"/>
          </w:tcPr>
          <w:p>
            <w:pPr>
              <w:jc w:val="center"/>
              <w:ind w:left="729"/>
              <w:spacing w:after="0"/>
              <w:rPr>
                <w:sz w:val="20"/>
                <w:szCs w:val="20"/>
                <w:color w:val="auto"/>
              </w:rPr>
            </w:pPr>
            <w:r>
              <w:rPr>
                <w:rFonts w:ascii="Arial" w:cs="Arial" w:eastAsia="Arial" w:hAnsi="Arial"/>
                <w:sz w:val="18"/>
                <w:szCs w:val="18"/>
                <w:color w:val="auto"/>
                <w:w w:val="99"/>
              </w:rPr>
              <w:t>ARTICLE I</w:t>
            </w:r>
          </w:p>
        </w:tc>
        <w:tc>
          <w:tcPr>
            <w:tcW w:w="15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09"/>
              <w:spacing w:after="0"/>
              <w:rPr>
                <w:sz w:val="20"/>
                <w:szCs w:val="20"/>
                <w:color w:val="auto"/>
              </w:rPr>
            </w:pPr>
            <w:r>
              <w:rPr>
                <w:rFonts w:ascii="Arial" w:cs="Arial" w:eastAsia="Arial" w:hAnsi="Arial"/>
                <w:sz w:val="18"/>
                <w:szCs w:val="18"/>
                <w:color w:val="auto"/>
                <w:w w:val="98"/>
              </w:rPr>
              <w:t>DEFINITIONS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1.01.  Certain Defined Terms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1.02.</w:t>
            </w:r>
          </w:p>
        </w:tc>
        <w:tc>
          <w:tcPr>
            <w:tcW w:w="836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1.03.  Effectuating the Intent of the Parties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09"/>
              <w:spacing w:after="0"/>
              <w:rPr>
                <w:sz w:val="20"/>
                <w:szCs w:val="20"/>
                <w:color w:val="auto"/>
              </w:rPr>
            </w:pPr>
            <w:r>
              <w:rPr>
                <w:rFonts w:ascii="Arial" w:cs="Arial" w:eastAsia="Arial" w:hAnsi="Arial"/>
                <w:sz w:val="18"/>
                <w:szCs w:val="18"/>
                <w:color w:val="auto"/>
              </w:rPr>
              <w:t>ARTICLE II</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29"/>
              <w:spacing w:after="0"/>
              <w:rPr>
                <w:sz w:val="20"/>
                <w:szCs w:val="20"/>
                <w:color w:val="auto"/>
              </w:rPr>
            </w:pPr>
            <w:r>
              <w:rPr>
                <w:rFonts w:ascii="Arial" w:cs="Arial" w:eastAsia="Arial" w:hAnsi="Arial"/>
                <w:sz w:val="18"/>
                <w:szCs w:val="18"/>
                <w:color w:val="auto"/>
                <w:w w:val="94"/>
              </w:rPr>
              <w:t>CORPORATE GOVERNANCE</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2.01.  Company Board Representation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2.02.  Company Board Committees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2.03.  Meetings of the Company Board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2.04.  Quorum; Acts of the Company Board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2.05.  Action by Written Consent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2.06.  Conflicts and Competitively Sensitive Information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2.07.  Company Organizational Documents; Conflicting Agreements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2.08.  Termination of Governance Rights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2.09.  Directors’ and Officers’ Insurance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2.10.  No Liability for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0" w:type="dxa"/>
            <w:vAlign w:val="bottom"/>
            <w:shd w:val="clear" w:color="auto" w:fill="CCEEFF"/>
          </w:tcPr>
          <w:p>
            <w:pPr>
              <w:spacing w:after="0"/>
              <w:rPr>
                <w:sz w:val="24"/>
                <w:szCs w:val="24"/>
                <w:color w:val="auto"/>
              </w:rPr>
            </w:pPr>
          </w:p>
        </w:tc>
        <w:tc>
          <w:tcPr>
            <w:tcW w:w="8360" w:type="dxa"/>
            <w:vAlign w:val="bottom"/>
            <w:shd w:val="clear" w:color="auto" w:fill="CCEEFF"/>
          </w:tcPr>
          <w:p>
            <w:pPr>
              <w:jc w:val="center"/>
              <w:ind w:left="729"/>
              <w:spacing w:after="0"/>
              <w:rPr>
                <w:sz w:val="20"/>
                <w:szCs w:val="20"/>
                <w:color w:val="auto"/>
              </w:rPr>
            </w:pPr>
            <w:r>
              <w:rPr>
                <w:rFonts w:ascii="Arial" w:cs="Arial" w:eastAsia="Arial" w:hAnsi="Arial"/>
                <w:sz w:val="18"/>
                <w:szCs w:val="18"/>
                <w:color w:val="auto"/>
              </w:rPr>
              <w:t>ARTICLE III</w:t>
            </w:r>
          </w:p>
        </w:tc>
        <w:tc>
          <w:tcPr>
            <w:tcW w:w="1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shd w:val="clear" w:color="auto" w:fill="CCEEFF"/>
          </w:tcPr>
          <w:p>
            <w:pPr>
              <w:spacing w:after="0"/>
              <w:rPr>
                <w:sz w:val="24"/>
                <w:szCs w:val="24"/>
                <w:color w:val="auto"/>
              </w:rPr>
            </w:pPr>
          </w:p>
        </w:tc>
        <w:tc>
          <w:tcPr>
            <w:tcW w:w="8360" w:type="dxa"/>
            <w:vAlign w:val="bottom"/>
            <w:shd w:val="clear" w:color="auto" w:fill="CCEEFF"/>
          </w:tcPr>
          <w:p>
            <w:pPr>
              <w:jc w:val="center"/>
              <w:ind w:left="709"/>
              <w:spacing w:after="0"/>
              <w:rPr>
                <w:sz w:val="20"/>
                <w:szCs w:val="20"/>
                <w:color w:val="auto"/>
              </w:rPr>
            </w:pPr>
            <w:r>
              <w:rPr>
                <w:rFonts w:ascii="Arial" w:cs="Arial" w:eastAsia="Arial" w:hAnsi="Arial"/>
                <w:sz w:val="18"/>
                <w:szCs w:val="18"/>
                <w:color w:val="auto"/>
                <w:w w:val="96"/>
              </w:rPr>
              <w:t>TRANSFERABILITY OF SHARES; PREEMPTIVE RIGHTS</w:t>
            </w:r>
          </w:p>
        </w:tc>
        <w:tc>
          <w:tcPr>
            <w:tcW w:w="1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Section 3.01.  General Restrictions on Transfer of Shares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3.02.  Right of First Offer</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3.03.</w:t>
            </w:r>
          </w:p>
        </w:tc>
        <w:tc>
          <w:tcPr>
            <w:tcW w:w="8360" w:type="dxa"/>
            <w:vAlign w:val="bottom"/>
          </w:tcPr>
          <w:p>
            <w:pPr>
              <w:ind w:left="100"/>
              <w:spacing w:after="0"/>
              <w:rPr>
                <w:sz w:val="20"/>
                <w:szCs w:val="20"/>
                <w:color w:val="auto"/>
              </w:rPr>
            </w:pPr>
            <w:r>
              <w:rPr>
                <w:rFonts w:ascii="Arial" w:cs="Arial" w:eastAsia="Arial" w:hAnsi="Arial"/>
                <w:sz w:val="18"/>
                <w:szCs w:val="18"/>
                <w:color w:val="auto"/>
              </w:rPr>
              <w:t>Tag-Along Rights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3.04.  Cooperation with Transfer</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29"/>
              <w:spacing w:after="0"/>
              <w:rPr>
                <w:sz w:val="20"/>
                <w:szCs w:val="20"/>
                <w:color w:val="auto"/>
              </w:rPr>
            </w:pPr>
            <w:r>
              <w:rPr>
                <w:rFonts w:ascii="Arial" w:cs="Arial" w:eastAsia="Arial" w:hAnsi="Arial"/>
                <w:sz w:val="18"/>
                <w:szCs w:val="18"/>
                <w:color w:val="auto"/>
                <w:w w:val="99"/>
              </w:rPr>
              <w:t>ARTICLE IV</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360" w:type="dxa"/>
            <w:vAlign w:val="bottom"/>
          </w:tcPr>
          <w:p>
            <w:pPr>
              <w:jc w:val="center"/>
              <w:ind w:left="729"/>
              <w:spacing w:after="0"/>
              <w:rPr>
                <w:sz w:val="20"/>
                <w:szCs w:val="20"/>
                <w:color w:val="auto"/>
              </w:rPr>
            </w:pPr>
            <w:r>
              <w:rPr>
                <w:rFonts w:ascii="Arial" w:cs="Arial" w:eastAsia="Arial" w:hAnsi="Arial"/>
                <w:sz w:val="18"/>
                <w:szCs w:val="18"/>
                <w:color w:val="auto"/>
                <w:w w:val="96"/>
              </w:rPr>
              <w:t>OTHER COVENANTS</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4.01.</w:t>
            </w:r>
          </w:p>
        </w:tc>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Further Assurances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4.02.</w:t>
            </w:r>
          </w:p>
        </w:tc>
        <w:tc>
          <w:tcPr>
            <w:tcW w:w="8360" w:type="dxa"/>
            <w:vAlign w:val="bottom"/>
          </w:tcPr>
          <w:p>
            <w:pPr>
              <w:ind w:left="100"/>
              <w:spacing w:after="0"/>
              <w:rPr>
                <w:sz w:val="20"/>
                <w:szCs w:val="20"/>
                <w:color w:val="auto"/>
              </w:rPr>
            </w:pPr>
            <w:r>
              <w:rPr>
                <w:rFonts w:ascii="Arial" w:cs="Arial" w:eastAsia="Arial" w:hAnsi="Arial"/>
                <w:sz w:val="18"/>
                <w:szCs w:val="18"/>
                <w:color w:val="auto"/>
              </w:rPr>
              <w:t>Information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4.03.</w:t>
            </w:r>
          </w:p>
        </w:tc>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Confidentiality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4.04.</w:t>
            </w:r>
          </w:p>
        </w:tc>
        <w:tc>
          <w:tcPr>
            <w:tcW w:w="8360" w:type="dxa"/>
            <w:vAlign w:val="bottom"/>
          </w:tcPr>
          <w:p>
            <w:pPr>
              <w:ind w:left="100"/>
              <w:spacing w:after="0"/>
              <w:rPr>
                <w:sz w:val="20"/>
                <w:szCs w:val="20"/>
                <w:color w:val="auto"/>
              </w:rPr>
            </w:pPr>
            <w:r>
              <w:rPr>
                <w:rFonts w:ascii="Arial" w:cs="Arial" w:eastAsia="Arial" w:hAnsi="Arial"/>
                <w:sz w:val="18"/>
                <w:szCs w:val="18"/>
                <w:color w:val="auto"/>
              </w:rPr>
              <w:t>Corporate Opportunities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4.05.</w:t>
            </w:r>
          </w:p>
        </w:tc>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 Policy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4.06.</w:t>
            </w:r>
          </w:p>
        </w:tc>
        <w:tc>
          <w:tcPr>
            <w:tcW w:w="8360" w:type="dxa"/>
            <w:vAlign w:val="bottom"/>
          </w:tcPr>
          <w:p>
            <w:pPr>
              <w:ind w:left="100"/>
              <w:spacing w:after="0"/>
              <w:rPr>
                <w:sz w:val="20"/>
                <w:szCs w:val="20"/>
                <w:color w:val="auto"/>
              </w:rPr>
            </w:pPr>
            <w:r>
              <w:rPr>
                <w:rFonts w:ascii="Arial" w:cs="Arial" w:eastAsia="Arial" w:hAnsi="Arial"/>
                <w:sz w:val="18"/>
                <w:szCs w:val="18"/>
                <w:color w:val="auto"/>
              </w:rPr>
              <w:t>Registration Rights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4.07.</w:t>
            </w:r>
          </w:p>
        </w:tc>
        <w:tc>
          <w:tcPr>
            <w:tcW w:w="8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Audit Rights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4.08.</w:t>
            </w:r>
          </w:p>
        </w:tc>
        <w:tc>
          <w:tcPr>
            <w:tcW w:w="3280" w:type="dxa"/>
            <w:vAlign w:val="bottom"/>
          </w:tcPr>
          <w:p>
            <w:pPr>
              <w:ind w:left="100"/>
              <w:spacing w:after="0"/>
              <w:rPr>
                <w:sz w:val="20"/>
                <w:szCs w:val="20"/>
                <w:color w:val="auto"/>
              </w:rPr>
            </w:pPr>
            <w:r>
              <w:rPr>
                <w:rFonts w:ascii="Arial" w:cs="Arial" w:eastAsia="Arial" w:hAnsi="Arial"/>
                <w:sz w:val="18"/>
                <w:szCs w:val="18"/>
                <w:color w:val="auto"/>
              </w:rPr>
              <w:t>Tax Matters</w:t>
            </w:r>
          </w:p>
        </w:tc>
        <w:tc>
          <w:tcPr>
            <w:tcW w:w="69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4.09.</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Emergency Funding</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40" w:type="dxa"/>
            <w:vAlign w:val="bottom"/>
            <w:gridSpan w:val="2"/>
          </w:tcPr>
          <w:p>
            <w:pPr>
              <w:jc w:val="right"/>
              <w:ind w:right="5180"/>
              <w:spacing w:after="0"/>
              <w:rPr>
                <w:sz w:val="20"/>
                <w:szCs w:val="20"/>
                <w:color w:val="auto"/>
              </w:rPr>
            </w:pPr>
            <w:r>
              <w:rPr>
                <w:rFonts w:ascii="Arial" w:cs="Arial" w:eastAsia="Arial" w:hAnsi="Arial"/>
                <w:sz w:val="18"/>
                <w:szCs w:val="18"/>
                <w:color w:val="auto"/>
              </w:rPr>
              <w:t>ARTICLE V</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40" w:type="dxa"/>
            <w:vAlign w:val="bottom"/>
            <w:gridSpan w:val="2"/>
          </w:tcPr>
          <w:p>
            <w:pPr>
              <w:jc w:val="right"/>
              <w:ind w:right="4880"/>
              <w:spacing w:after="0"/>
              <w:rPr>
                <w:sz w:val="20"/>
                <w:szCs w:val="20"/>
                <w:color w:val="auto"/>
              </w:rPr>
            </w:pPr>
            <w:r>
              <w:rPr>
                <w:rFonts w:ascii="Arial" w:cs="Arial" w:eastAsia="Arial" w:hAnsi="Arial"/>
                <w:sz w:val="18"/>
                <w:szCs w:val="18"/>
                <w:color w:val="auto"/>
              </w:rPr>
              <w:t>MISCELLANEOUS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5.01.</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Termination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Section 5.02.  Amendments and Waivers</w:t>
            </w:r>
          </w:p>
        </w:tc>
        <w:tc>
          <w:tcPr>
            <w:tcW w:w="69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5.03.  Successors, Assigns and Transferees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5.04.</w:t>
            </w:r>
          </w:p>
        </w:tc>
        <w:tc>
          <w:tcPr>
            <w:tcW w:w="3280" w:type="dxa"/>
            <w:vAlign w:val="bottom"/>
          </w:tcPr>
          <w:p>
            <w:pPr>
              <w:ind w:left="100"/>
              <w:spacing w:after="0"/>
              <w:rPr>
                <w:sz w:val="20"/>
                <w:szCs w:val="20"/>
                <w:color w:val="auto"/>
              </w:rPr>
            </w:pPr>
            <w:r>
              <w:rPr>
                <w:rFonts w:ascii="Arial" w:cs="Arial" w:eastAsia="Arial" w:hAnsi="Arial"/>
                <w:sz w:val="18"/>
                <w:szCs w:val="18"/>
                <w:color w:val="auto"/>
              </w:rPr>
              <w:t>Notices</w:t>
            </w:r>
          </w:p>
        </w:tc>
        <w:tc>
          <w:tcPr>
            <w:tcW w:w="69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5.05.</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Entire Agreement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5.06.</w:t>
            </w:r>
          </w:p>
        </w:tc>
        <w:tc>
          <w:tcPr>
            <w:tcW w:w="328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9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5.07.</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Specific Enforcement</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7"/>
              </w:rPr>
              <w:t>Section 5.08.</w:t>
            </w:r>
          </w:p>
        </w:tc>
        <w:tc>
          <w:tcPr>
            <w:tcW w:w="328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9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7"/>
              </w:rPr>
              <w:t>Section 5.09.</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Severability</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7"/>
              </w:rPr>
              <w:t>Section 5.10.</w:t>
            </w:r>
          </w:p>
        </w:tc>
        <w:tc>
          <w:tcPr>
            <w:tcW w:w="3280" w:type="dxa"/>
            <w:vAlign w:val="bottom"/>
          </w:tcPr>
          <w:p>
            <w:pPr>
              <w:ind w:left="100"/>
              <w:spacing w:after="0"/>
              <w:rPr>
                <w:sz w:val="20"/>
                <w:szCs w:val="20"/>
                <w:color w:val="auto"/>
              </w:rPr>
            </w:pPr>
            <w:r>
              <w:rPr>
                <w:rFonts w:ascii="Arial" w:cs="Arial" w:eastAsia="Arial" w:hAnsi="Arial"/>
                <w:sz w:val="18"/>
                <w:szCs w:val="18"/>
                <w:color w:val="auto"/>
              </w:rPr>
              <w:t>Existing Shareholders</w:t>
            </w:r>
          </w:p>
        </w:tc>
        <w:tc>
          <w:tcPr>
            <w:tcW w:w="69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6"/>
          <w:szCs w:val="16"/>
          <w:color w:val="auto"/>
        </w:rPr>
        <w:t>Approval Rights of the New Investor and BHL</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 and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Schedule I</w:t>
            </w:r>
          </w:p>
        </w:tc>
        <w:tc>
          <w:tcPr>
            <w:tcW w:w="10220" w:type="dxa"/>
            <w:vAlign w:val="bottom"/>
          </w:tcPr>
          <w:p>
            <w:pPr>
              <w:ind w:left="120"/>
              <w:spacing w:after="0"/>
              <w:rPr>
                <w:sz w:val="20"/>
                <w:szCs w:val="20"/>
                <w:color w:val="auto"/>
              </w:rPr>
            </w:pPr>
            <w:r>
              <w:rPr>
                <w:rFonts w:ascii="Arial" w:cs="Arial" w:eastAsia="Arial" w:hAnsi="Arial"/>
                <w:sz w:val="18"/>
                <w:szCs w:val="18"/>
                <w:color w:val="auto"/>
              </w:rPr>
              <w:t>Share Ownership</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Schedule II</w:t>
            </w:r>
          </w:p>
        </w:tc>
        <w:tc>
          <w:tcPr>
            <w:tcW w:w="10220" w:type="dxa"/>
            <w:vAlign w:val="bottom"/>
          </w:tcPr>
          <w:p>
            <w:pPr>
              <w:ind w:left="120"/>
              <w:spacing w:after="0"/>
              <w:rPr>
                <w:sz w:val="20"/>
                <w:szCs w:val="20"/>
                <w:color w:val="auto"/>
              </w:rPr>
            </w:pPr>
            <w:r>
              <w:rPr>
                <w:rFonts w:ascii="Arial" w:cs="Arial" w:eastAsia="Arial" w:hAnsi="Arial"/>
                <w:sz w:val="18"/>
                <w:szCs w:val="18"/>
                <w:color w:val="auto"/>
              </w:rPr>
              <w:t>Initial Directors and New Investor Board Observer of the Company Board</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Schedule III</w:t>
            </w:r>
          </w:p>
        </w:tc>
        <w:tc>
          <w:tcPr>
            <w:tcW w:w="10220" w:type="dxa"/>
            <w:vAlign w:val="bottom"/>
          </w:tcPr>
          <w:p>
            <w:pPr>
              <w:ind w:left="120"/>
              <w:spacing w:after="0"/>
              <w:rPr>
                <w:sz w:val="20"/>
                <w:szCs w:val="20"/>
                <w:color w:val="auto"/>
              </w:rPr>
            </w:pPr>
            <w:r>
              <w:rPr>
                <w:rFonts w:ascii="Arial" w:cs="Arial" w:eastAsia="Arial" w:hAnsi="Arial"/>
                <w:sz w:val="18"/>
                <w:szCs w:val="18"/>
                <w:color w:val="auto"/>
              </w:rPr>
              <w:t>Competitors</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Exhibit A</w:t>
            </w:r>
          </w:p>
        </w:tc>
        <w:tc>
          <w:tcPr>
            <w:tcW w:w="10220" w:type="dxa"/>
            <w:vAlign w:val="bottom"/>
          </w:tcPr>
          <w:p>
            <w:pPr>
              <w:ind w:left="120"/>
              <w:spacing w:after="0"/>
              <w:rPr>
                <w:sz w:val="20"/>
                <w:szCs w:val="20"/>
                <w:color w:val="auto"/>
              </w:rPr>
            </w:pPr>
            <w:r>
              <w:rPr>
                <w:rFonts w:ascii="Arial" w:cs="Arial" w:eastAsia="Arial" w:hAnsi="Arial"/>
                <w:sz w:val="18"/>
                <w:szCs w:val="18"/>
                <w:color w:val="auto"/>
              </w:rPr>
              <w:t>Company Organizational Documents</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B</w:t>
            </w:r>
          </w:p>
        </w:tc>
        <w:tc>
          <w:tcPr>
            <w:tcW w:w="10220" w:type="dxa"/>
            <w:vAlign w:val="bottom"/>
          </w:tcPr>
          <w:p>
            <w:pPr>
              <w:ind w:left="120"/>
              <w:spacing w:after="0"/>
              <w:rPr>
                <w:sz w:val="20"/>
                <w:szCs w:val="20"/>
                <w:color w:val="auto"/>
              </w:rPr>
            </w:pPr>
            <w:r>
              <w:rPr>
                <w:rFonts w:ascii="Arial" w:cs="Arial" w:eastAsia="Arial" w:hAnsi="Arial"/>
                <w:sz w:val="18"/>
                <w:szCs w:val="18"/>
                <w:color w:val="auto"/>
              </w:rPr>
              <w:t>Form of Joinder Agreement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Exhibit C</w:t>
            </w:r>
          </w:p>
        </w:tc>
        <w:tc>
          <w:tcPr>
            <w:tcW w:w="10220" w:type="dxa"/>
            <w:vAlign w:val="bottom"/>
          </w:tcPr>
          <w:p>
            <w:pPr>
              <w:ind w:left="120"/>
              <w:spacing w:after="0"/>
              <w:rPr>
                <w:sz w:val="20"/>
                <w:szCs w:val="20"/>
                <w:color w:val="auto"/>
              </w:rPr>
            </w:pPr>
            <w:r>
              <w:rPr>
                <w:rFonts w:ascii="Arial" w:cs="Arial" w:eastAsia="Arial" w:hAnsi="Arial"/>
                <w:sz w:val="18"/>
                <w:szCs w:val="18"/>
                <w:color w:val="auto"/>
              </w:rPr>
              <w:t>Form of Emergency Funding Loan</w:t>
            </w:r>
          </w:p>
        </w:tc>
      </w:tr>
      <w:tr>
        <w:trPr>
          <w:trHeight w:val="582"/>
        </w:trPr>
        <w:tc>
          <w:tcPr>
            <w:tcW w:w="1020" w:type="dxa"/>
            <w:vAlign w:val="bottom"/>
          </w:tcPr>
          <w:p>
            <w:pPr>
              <w:spacing w:after="0"/>
              <w:rPr>
                <w:sz w:val="24"/>
                <w:szCs w:val="24"/>
                <w:color w:val="auto"/>
              </w:rPr>
            </w:pPr>
          </w:p>
        </w:tc>
        <w:tc>
          <w:tcPr>
            <w:tcW w:w="10220" w:type="dxa"/>
            <w:vAlign w:val="bottom"/>
          </w:tcPr>
          <w:p>
            <w:pPr>
              <w:ind w:left="4560"/>
              <w:spacing w:after="0"/>
              <w:rPr>
                <w:sz w:val="20"/>
                <w:szCs w:val="20"/>
                <w:color w:val="auto"/>
              </w:rPr>
            </w:pPr>
            <w:r>
              <w:rPr>
                <w:rFonts w:ascii="Arial" w:cs="Arial" w:eastAsia="Arial" w:hAnsi="Arial"/>
                <w:sz w:val="14"/>
                <w:szCs w:val="14"/>
                <w:color w:val="auto"/>
              </w:rPr>
              <w:t>ii</w:t>
            </w:r>
          </w:p>
        </w:tc>
      </w:tr>
      <w:tr>
        <w:trPr>
          <w:trHeight w:val="46"/>
        </w:trPr>
        <w:tc>
          <w:tcPr>
            <w:tcW w:w="1020" w:type="dxa"/>
            <w:vAlign w:val="bottom"/>
            <w:tcBorders>
              <w:bottom w:val="single" w:sz="8" w:color="BFBFBF"/>
            </w:tcBorders>
          </w:tcPr>
          <w:p>
            <w:pPr>
              <w:spacing w:after="0"/>
              <w:rPr>
                <w:sz w:val="4"/>
                <w:szCs w:val="4"/>
                <w:color w:val="auto"/>
              </w:rPr>
            </w:pPr>
          </w:p>
        </w:tc>
        <w:tc>
          <w:tcPr>
            <w:tcW w:w="10220" w:type="dxa"/>
            <w:vAlign w:val="bottom"/>
            <w:tcBorders>
              <w:bottom w:val="single" w:sz="8" w:color="BFBFBF"/>
            </w:tcBorders>
          </w:tcPr>
          <w:p>
            <w:pPr>
              <w:spacing w:after="0"/>
              <w:rPr>
                <w:sz w:val="4"/>
                <w:szCs w:val="4"/>
                <w:color w:val="auto"/>
              </w:rPr>
            </w:pPr>
          </w:p>
        </w:tc>
      </w:tr>
    </w:tbl>
    <w:p>
      <w:pPr>
        <w:sectPr>
          <w:pgSz w:w="11900" w:h="16838" w:orient="portrait"/>
          <w:cols w:equalWidth="0" w:num="1">
            <w:col w:w="11240"/>
          </w:cols>
          <w:pgMar w:left="320" w:top="368" w:right="339" w:bottom="1440" w:gutter="0" w:footer="0" w:header="0"/>
        </w:sectPr>
      </w:pPr>
    </w:p>
    <w:bookmarkStart w:id="168" w:name="page169"/>
    <w:bookmarkEnd w:id="168"/>
    <w:p>
      <w:pPr>
        <w:jc w:val="both"/>
        <w:ind w:firstLine="1296"/>
        <w:spacing w:after="0" w:line="235" w:lineRule="auto"/>
        <w:rPr>
          <w:sz w:val="20"/>
          <w:szCs w:val="20"/>
          <w:color w:val="auto"/>
        </w:rPr>
      </w:pPr>
      <w:r>
        <w:rPr>
          <w:rFonts w:ascii="Arial" w:cs="Arial" w:eastAsia="Arial" w:hAnsi="Arial"/>
          <w:sz w:val="22"/>
          <w:szCs w:val="22"/>
          <w:color w:val="auto"/>
        </w:rPr>
        <w:t>This SHAREHOLDERS’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 ● ], 2021, among GasLog Ltd., a Bermuda exempted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GEPIF III Crown Bidco L.P., a Cayman Islands exempted limited partnership (the “</w:t>
      </w:r>
      <w:r>
        <w:rPr>
          <w:rFonts w:ascii="Arial" w:cs="Arial" w:eastAsia="Arial" w:hAnsi="Arial"/>
          <w:sz w:val="22"/>
          <w:szCs w:val="22"/>
          <w:u w:val="single" w:color="auto"/>
          <w:color w:val="auto"/>
        </w:rPr>
        <w:t>New Investor</w:t>
      </w:r>
      <w:r>
        <w:rPr>
          <w:rFonts w:ascii="Arial" w:cs="Arial" w:eastAsia="Arial" w:hAnsi="Arial"/>
          <w:sz w:val="22"/>
          <w:szCs w:val="22"/>
          <w:color w:val="auto"/>
        </w:rPr>
        <w:t xml:space="preserve">”), and each of those existing shareholders of the Company that are listed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Shareholders</w:t>
      </w:r>
      <w:r>
        <w:rPr>
          <w:rFonts w:ascii="Arial" w:cs="Arial" w:eastAsia="Arial" w:hAnsi="Arial"/>
          <w:sz w:val="22"/>
          <w:szCs w:val="22"/>
          <w:color w:val="auto"/>
        </w:rPr>
        <w:t>” and, together with the New Investor and any other shareholders of the Company who become party to this Agreement from time to time pursuant to and in accordance with the terms hereof, the “</w:t>
      </w:r>
      <w:r>
        <w:rPr>
          <w:rFonts w:ascii="Arial" w:cs="Arial" w:eastAsia="Arial" w:hAnsi="Arial"/>
          <w:sz w:val="22"/>
          <w:szCs w:val="22"/>
          <w:u w:val="single" w:color="auto"/>
          <w:color w:val="auto"/>
        </w:rPr>
        <w:t>Shareholders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Shareholder</w:t>
      </w:r>
      <w:r>
        <w:rPr>
          <w:rFonts w:ascii="Arial" w:cs="Arial" w:eastAsia="Arial" w:hAnsi="Arial"/>
          <w:sz w:val="22"/>
          <w:szCs w:val="22"/>
          <w:color w:val="auto"/>
        </w:rPr>
        <w:t>”).</w:t>
      </w:r>
    </w:p>
    <w:p>
      <w:pPr>
        <w:spacing w:after="0" w:line="21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the Company, the New Investor and GEPIF III Crown MergerCo Limited, a Bermuda exempted company (“</w:t>
      </w:r>
      <w:r>
        <w:rPr>
          <w:rFonts w:ascii="Arial" w:cs="Arial" w:eastAsia="Arial" w:hAnsi="Arial"/>
          <w:sz w:val="22"/>
          <w:szCs w:val="22"/>
          <w:u w:val="single" w:color="auto"/>
          <w:color w:val="auto"/>
        </w:rPr>
        <w:t>Merger Sub</w:t>
      </w:r>
      <w:r>
        <w:rPr>
          <w:rFonts w:ascii="Arial" w:cs="Arial" w:eastAsia="Arial" w:hAnsi="Arial"/>
          <w:sz w:val="22"/>
          <w:szCs w:val="22"/>
          <w:color w:val="auto"/>
        </w:rPr>
        <w:t>”), entered into an Agreement and Plan of Merger, dated as of February 21, 2021 (the “</w:t>
      </w:r>
      <w:r>
        <w:rPr>
          <w:rFonts w:ascii="Arial" w:cs="Arial" w:eastAsia="Arial" w:hAnsi="Arial"/>
          <w:sz w:val="22"/>
          <w:szCs w:val="22"/>
          <w:u w:val="single" w:color="auto"/>
          <w:color w:val="auto"/>
        </w:rPr>
        <w:t>Merger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which, among other things, Merger Sub merged with and into the Company, with the Company surviving such merger (the “</w:t>
      </w:r>
      <w:r>
        <w:rPr>
          <w:rFonts w:ascii="Arial" w:cs="Arial" w:eastAsia="Arial" w:hAnsi="Arial"/>
          <w:sz w:val="22"/>
          <w:szCs w:val="22"/>
          <w:u w:val="single" w:color="auto"/>
          <w:color w:val="auto"/>
        </w:rPr>
        <w:t>Merger</w:t>
      </w:r>
      <w:r>
        <w:rPr>
          <w:rFonts w:ascii="Arial" w:cs="Arial" w:eastAsia="Arial" w:hAnsi="Arial"/>
          <w:sz w:val="22"/>
          <w:szCs w:val="22"/>
          <w:color w:val="auto"/>
        </w:rPr>
        <w:t>”);</w:t>
      </w:r>
    </w:p>
    <w:p>
      <w:pPr>
        <w:spacing w:after="0" w:line="21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WHEREAS, immediately following and as a result of the Merger, the New Investor and the Existing Shareholders beneficially own and own as of record the respective amounts of the issued and outstanding common shares, par value $0.01 per share, of the Company (“</w:t>
      </w:r>
      <w:r>
        <w:rPr>
          <w:rFonts w:ascii="Arial" w:cs="Arial" w:eastAsia="Arial" w:hAnsi="Arial"/>
          <w:sz w:val="21"/>
          <w:szCs w:val="21"/>
          <w:u w:val="single" w:color="auto"/>
          <w:color w:val="auto"/>
        </w:rPr>
        <w:t>Common Shares</w:t>
      </w:r>
      <w:r>
        <w:rPr>
          <w:rFonts w:ascii="Arial" w:cs="Arial" w:eastAsia="Arial" w:hAnsi="Arial"/>
          <w:sz w:val="21"/>
          <w:szCs w:val="21"/>
          <w:color w:val="auto"/>
        </w:rPr>
        <w:t xml:space="preserve">”) set forth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this Agreement; and</w:t>
      </w:r>
    </w:p>
    <w:p>
      <w:pPr>
        <w:spacing w:after="0" w:line="19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WHEREAS, the Company and each of the Shareholders desire to enter into this Agreement to set forth certain corporate governance and other matters with respect to the Company and the Common Shares and certain other agreements between the Company and each of the Shareholders.</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NOW, THEREFORE, in consideration of the premises and of the covenants and obligations hereinafter set forth, and for other good and valuable consideration, the receipt and sufficiency of which are hereby acknowledged, intending to be legally bound, the parties hereto hereby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33" w:lineRule="exact"/>
        <w:rPr>
          <w:sz w:val="20"/>
          <w:szCs w:val="20"/>
          <w:color w:val="auto"/>
        </w:rPr>
      </w:pPr>
    </w:p>
    <w:p>
      <w:pPr>
        <w:ind w:left="1300"/>
        <w:spacing w:after="0"/>
        <w:tabs>
          <w:tab w:leader="none" w:pos="3360" w:val="left"/>
          <w:tab w:leader="none" w:pos="5640" w:val="left"/>
        </w:tabs>
        <w:rPr>
          <w:sz w:val="20"/>
          <w:szCs w:val="20"/>
          <w:color w:val="auto"/>
        </w:rPr>
      </w:pPr>
      <w:r>
        <w:rPr>
          <w:rFonts w:ascii="Arial" w:cs="Arial" w:eastAsia="Arial" w:hAnsi="Arial"/>
          <w:sz w:val="22"/>
          <w:szCs w:val="22"/>
          <w:color w:val="010000"/>
        </w:rPr>
        <w:t>Section 1.01.</w:t>
      </w:r>
      <w:r>
        <w:rPr>
          <w:sz w:val="20"/>
          <w:szCs w:val="20"/>
          <w:color w:val="auto"/>
        </w:rPr>
        <w:tab/>
      </w:r>
      <w:r>
        <w:rPr>
          <w:rFonts w:ascii="Arial" w:cs="Arial" w:eastAsia="Arial" w:hAnsi="Arial"/>
          <w:sz w:val="22"/>
          <w:szCs w:val="22"/>
          <w:u w:val="single" w:color="auto"/>
          <w:color w:val="auto"/>
        </w:rPr>
        <w:t>Certain Defined Terms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As used herein, the following terms shall have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meanings: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legal or administrative proceeding, suit, investigation, arbitration or action.</w:t>
      </w:r>
    </w:p>
    <w:p>
      <w:pPr>
        <w:spacing w:after="0" w:line="23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jc w:val="both"/>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 Transaction</w:t>
      </w:r>
      <w:r>
        <w:rPr>
          <w:rFonts w:ascii="Arial" w:cs="Arial" w:eastAsia="Arial" w:hAnsi="Arial"/>
          <w:sz w:val="21"/>
          <w:szCs w:val="21"/>
          <w:color w:val="auto"/>
        </w:rPr>
        <w:t>” means any contract, agreement or transaction (including any amendment, restatement, renewal, extension, modification or termination of any existing contract, agreement or transaction) between the Company or a Subsidiary of the Company, on the one hand, and a Shareholder, an Affiliate of a Shareholder (other than the Company or any Subsidiary of the Company), or their respective employees or officers, on the other hand.</w:t>
      </w:r>
    </w:p>
    <w:p>
      <w:pPr>
        <w:spacing w:after="0" w:line="20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Fund</w:t>
      </w:r>
      <w:r>
        <w:rPr>
          <w:rFonts w:ascii="Arial" w:cs="Arial" w:eastAsia="Arial" w:hAnsi="Arial"/>
          <w:sz w:val="22"/>
          <w:szCs w:val="22"/>
          <w:color w:val="auto"/>
        </w:rPr>
        <w:t>” means, with respect to any specified Person, any Fund or co-investment vehicle that is an Affiliate of such Person or that is advised by the same investment advisor as such Person or by an Affiliate of such investment advisor or such Person.</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4.08(b)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Anti-Bribery Laws</w:t>
      </w:r>
      <w:r>
        <w:rPr>
          <w:rFonts w:ascii="Arial" w:cs="Arial" w:eastAsia="Arial" w:hAnsi="Arial"/>
          <w:sz w:val="21"/>
          <w:szCs w:val="21"/>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attempted meeting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Cash</w:t>
      </w:r>
      <w:r>
        <w:rPr>
          <w:rFonts w:ascii="Arial" w:cs="Arial" w:eastAsia="Arial" w:hAnsi="Arial"/>
          <w:sz w:val="21"/>
          <w:szCs w:val="21"/>
          <w:color w:val="auto"/>
        </w:rPr>
        <w:t xml:space="preserve">” means, without duplication, (a) the sum of all cash and cash equivalents of the Company and its wholly-owned Subsidiaries on hand and freely distributable at the time of determination, </w:t>
      </w:r>
      <w:r>
        <w:rPr>
          <w:rFonts w:ascii="Arial" w:cs="Arial" w:eastAsia="Arial" w:hAnsi="Arial"/>
          <w:sz w:val="21"/>
          <w:szCs w:val="21"/>
          <w:i w:val="1"/>
          <w:iCs w:val="1"/>
          <w:color w:val="auto"/>
        </w:rPr>
        <w:t>less</w:t>
      </w:r>
      <w:r>
        <w:rPr>
          <w:rFonts w:ascii="Arial" w:cs="Arial" w:eastAsia="Arial" w:hAnsi="Arial"/>
          <w:sz w:val="21"/>
          <w:szCs w:val="21"/>
          <w:color w:val="auto"/>
        </w:rPr>
        <w:t xml:space="preserve"> (b) the amount of any cash reserves that is necessary or appropriate in the reasonable discretion and good faith of the Company Board (i) to provide for the proper conduct of the business of the Company and its Subsidiaries (including reserves for future maintenance and capital expenditures, for accounting purposes and for anticipated expenses, liabilities and future credit needs of the Company or its Subsidiaries, in each case to the extent reflected in the Company’s then-applicable budget for the remaining portion of the applicable fiscal year) and (ii) to comply with applicable Law or any credit or loan agreement, security agreement, mortgage, debt instrument or other agreement or obligation to which the Company or any of its Subsidiaries is a party or by which it is bound or its assets are subject.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BHL</w:t>
      </w:r>
      <w:r>
        <w:rPr>
          <w:rFonts w:ascii="Arial" w:cs="Arial" w:eastAsia="Arial" w:hAnsi="Arial"/>
          <w:sz w:val="22"/>
          <w:szCs w:val="22"/>
          <w:color w:val="auto"/>
        </w:rPr>
        <w:t>” means Blenheim Holdings Ltd.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Blenheim</w:t>
      </w:r>
      <w:r>
        <w:rPr>
          <w:rFonts w:ascii="Arial" w:cs="Arial" w:eastAsia="Arial" w:hAnsi="Arial"/>
          <w:sz w:val="22"/>
          <w:szCs w:val="22"/>
          <w:color w:val="auto"/>
        </w:rPr>
        <w:t>” means BHL and BSIH together.</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means the business of (a) operating an owned and bareboat fleet of vessels for the transportation of energy producing or related gases (including LNGs, hydrogen and carbon dioxide), (b) operating floating storage units and floating storage regasification units and (c) short-term storage of energy producing or related gases (including LNGs, hydrogen and carbon dioxide).</w:t>
      </w:r>
    </w:p>
    <w:p>
      <w:pPr>
        <w:spacing w:after="0" w:line="21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except a Saturday, a Sunday or other day on which the banks in the City of New York or Bermuda are authorized or required by Law to be closed.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BSIH</w:t>
      </w:r>
      <w:r>
        <w:rPr>
          <w:rFonts w:ascii="Arial" w:cs="Arial" w:eastAsia="Arial" w:hAnsi="Arial"/>
          <w:sz w:val="22"/>
          <w:szCs w:val="22"/>
          <w:color w:val="auto"/>
        </w:rPr>
        <w:t>” means Blenheim Special Investments Holding Ltd.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Chairperson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Shares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Board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the Company, its Subsidiaries, and any other entities controlled by the Company from time to time including, for the avoidance of doubt, any trusts and limited liability partnerships in which the Company or one of its Subsidiaries holds a controlling interest.</w:t>
      </w:r>
    </w:p>
    <w:p>
      <w:pPr>
        <w:spacing w:after="0" w:line="21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Organizational Documents</w:t>
      </w:r>
      <w:r>
        <w:rPr>
          <w:rFonts w:ascii="Arial" w:cs="Arial" w:eastAsia="Arial" w:hAnsi="Arial"/>
          <w:sz w:val="22"/>
          <w:szCs w:val="22"/>
          <w:color w:val="auto"/>
        </w:rPr>
        <w:t xml:space="preserve">” means the Company’s Altered Memorandum of Association and Bye-Laws, as the same may be amended, restated, modified, supplemented or replaced from time to time in accordance with the terms of this Agreement. Copies of the Company Organizational Documents in effect as of the date of this Agreement are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xml:space="preserve">” means the Persons listed in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and their respective successors, which list may be updated not more than once per calendar year, if requested by BHL, with the consent of the New Investor, such consent not to be unreasonably withheld or delayed, except that without the consent of the New Investor (which consent may be withheld in its sole discretion) such list may not be updated (i) to add more than one Person during any calendar year (unless Person(s) are removed from such list in which case (a) one Person may be proposed to be added for each Person so removed, (b) New Investor’s consent in relation to the identity of the Person to be added shall not be unreasonably withheld or delayed and (c) BHL shall have sole discretion as to the identity of the Person(s) to be removed) or (ii) following delivery of an Offering Shareholder Notice pursuant to Section 3.02 until such time as the Transfer of the Offered Shares is consummated or the ROFO Transfer Period ends without the consummation of the Transfer of the Offered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definition of “Competitor” shall not include a Fund or other financial institution solely by virtue of holding an investment or economic interest in a Person engaged, directly or indirectly, in the Business.</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non-public, proprietary or confidential documents or information (irrespective of the form of communication, and irrespective of whether obtained prior to or after the date hereof) regarding the Company or its Subsidiaries, obtained by or on behalf of a party hereto or its Representatives either from the Company or its Representatives or from the other parties hereto or their respective Representatives, through the transactions contemplated by the Merger Agreement, the beneficial ownership of Shares, or through the rights granted pursuant hereto, pursuant to the Company Organizational Documents or pursuant to any contract with the Company or any of its Subsidiaries, other than information which</w:t>
      </w:r>
    </w:p>
    <w:p>
      <w:pPr>
        <w:spacing w:after="0" w:line="1" w:lineRule="exact"/>
        <w:rPr>
          <w:sz w:val="20"/>
          <w:szCs w:val="20"/>
          <w:color w:val="auto"/>
        </w:rPr>
      </w:pPr>
    </w:p>
    <w:p>
      <w:pPr>
        <w:jc w:val="both"/>
        <w:ind w:firstLine="8"/>
        <w:spacing w:after="0" w:line="280" w:lineRule="auto"/>
        <w:tabs>
          <w:tab w:leader="none" w:pos="299"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was or becomes generally available to the public other than as a result of a breach of this Agreement by such party or such of its Representatives, (b) was or becomes available on a non-confidential basis to such party or such of its Representatives from a source other than the Company or its Representatives, or the other parties hereto or their respective Representatives,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that the source thereof is not known by such party or such of its Representatives to be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1" w:name="page172"/>
    <w:bookmarkEnd w:id="171"/>
    <w:p>
      <w:pPr>
        <w:jc w:val="both"/>
        <w:spacing w:after="0" w:line="271" w:lineRule="auto"/>
        <w:rPr>
          <w:sz w:val="20"/>
          <w:szCs w:val="20"/>
          <w:color w:val="auto"/>
        </w:rPr>
      </w:pPr>
      <w:r>
        <w:rPr>
          <w:rFonts w:ascii="Arial" w:cs="Arial" w:eastAsia="Arial" w:hAnsi="Arial"/>
          <w:sz w:val="19"/>
          <w:szCs w:val="19"/>
          <w:color w:val="auto"/>
        </w:rPr>
        <w:t xml:space="preserve">bound by an obligation of confidentiality or other legal, contractual or fiduciary obligation, (c) was known by or in the possession of such party or its Representatives prior to the date of this Agreement which was not known by such party or such of its Representatives to be subject to an obligation of confidentiality or other legal, contractual or fiduciary obligation (except for any documents or information provided to it or its Representatives by a party hereto (or its Representatives) in contemplation of the transactions contemplated by the Merger Agreement), or (d) is independently developed by or on behalf of such party or such of its Representatives without the use of any such information that would otherwise be Confidential Information hereunder. Subject to </w:t>
      </w:r>
      <w:r>
        <w:rPr>
          <w:rFonts w:ascii="Arial" w:cs="Arial" w:eastAsia="Arial" w:hAnsi="Arial"/>
          <w:sz w:val="19"/>
          <w:szCs w:val="19"/>
          <w:u w:val="single" w:color="auto"/>
          <w:color w:val="auto"/>
        </w:rPr>
        <w:t>clauses (a)-(d)</w:t>
      </w:r>
      <w:r>
        <w:rPr>
          <w:rFonts w:ascii="Arial" w:cs="Arial" w:eastAsia="Arial" w:hAnsi="Arial"/>
          <w:sz w:val="19"/>
          <w:szCs w:val="19"/>
          <w:color w:val="auto"/>
        </w:rPr>
        <w:t xml:space="preserve"> above, Confidential Information also includes all (i) non-public, proprietary or confidential documents or information previously provided by the parties hereto or their respective Representatives under the provisions of any confidentiality agreement between the Company, the other parties hereto or their respective Affiliates or Representatives, including all information, documents, reports, analyses, compilations, records, notes, summaries, studies and other materials (in whatever form maintained) referred to thereunder, (ii) all non-public, proprietary or confidential understandings, agreements and other arrangements between and among the Company and the Shareholders and (iii) all other non-public, proprietary or confidential documents or information received from, or otherwise relating to, the Company, any of its Subsidiaries, any Shareholder or its Affiliates or any other investor in any of the foregoing.</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4.08(a)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Company Board.</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Economic Sanctions</w:t>
      </w:r>
      <w:r>
        <w:rPr>
          <w:rFonts w:ascii="Arial" w:cs="Arial" w:eastAsia="Arial" w:hAnsi="Arial"/>
          <w:sz w:val="22"/>
          <w:szCs w:val="22"/>
          <w:color w:val="auto"/>
        </w:rPr>
        <w:t>” means sanctions or trade embargoes imposed, enforced or administered by the Office of Foreign Assets Control of the United States Treasury Department, the U.S. Department of State, and the U.S. Department of Commerce, the United Nations Security Council, the European Union or the United Kingdom.</w:t>
      </w:r>
    </w:p>
    <w:p>
      <w:pPr>
        <w:spacing w:after="0" w:line="21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Emergency</w:t>
      </w:r>
      <w:r>
        <w:rPr>
          <w:rFonts w:ascii="Arial" w:cs="Arial" w:eastAsia="Arial" w:hAnsi="Arial"/>
          <w:sz w:val="21"/>
          <w:szCs w:val="21"/>
          <w:color w:val="auto"/>
        </w:rPr>
        <w:t xml:space="preserve">” means (a) a sudden, unexpected event that causes, or risks imminently causing, (i) damage to any Person, property, natural resources (including wildlife) or the environment, (ii) death of or bodily injury to any individual or (iii) material violation of applicable Law in respect of health, safety or the environment, (b) an action which if not taken would cause or risk causing the matters described in clause (a) above to occur or (c) an action required to prevent an imminent default by the Company or any of its Subsidiaries, or to cure a material default on, any material contract (other than an Affiliate Transaction) to which the Company or any of its Subsidiaries is a party, in each case, which the Company does not have Available Cash to remedy such Emergency event and has not raised, and would not be reasonably expected to be able to raise, from external sources of financing on terms that are more favorable to the Company than those contemplated by </w:t>
      </w:r>
      <w:r>
        <w:rPr>
          <w:rFonts w:ascii="Arial" w:cs="Arial" w:eastAsia="Arial" w:hAnsi="Arial"/>
          <w:sz w:val="21"/>
          <w:szCs w:val="21"/>
          <w:u w:val="single" w:color="auto"/>
          <w:color w:val="auto"/>
        </w:rPr>
        <w:t>Section 4.06</w:t>
      </w:r>
      <w:r>
        <w:rPr>
          <w:rFonts w:ascii="Arial" w:cs="Arial" w:eastAsia="Arial" w:hAnsi="Arial"/>
          <w:sz w:val="21"/>
          <w:szCs w:val="21"/>
          <w:color w:val="auto"/>
        </w:rPr>
        <w:t xml:space="preserve"> within the timeframe necessary remedy such Emergency event.</w:t>
      </w:r>
    </w:p>
    <w:p>
      <w:pPr>
        <w:spacing w:after="0" w:line="21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Enterprise Value</w:t>
      </w:r>
      <w:r>
        <w:rPr>
          <w:rFonts w:ascii="Arial" w:cs="Arial" w:eastAsia="Arial" w:hAnsi="Arial"/>
          <w:sz w:val="21"/>
          <w:szCs w:val="21"/>
          <w:color w:val="auto"/>
        </w:rPr>
        <w:t>” means (a) in the case of any acquisition or investment, the total fair market value of the assets (including Equity Interests) being acquired, including the amount of Indebtedness incurred, paid off or assumed, as applicable, in connection with such acquisition or investment less the amount of any unrestricted cash acquired in such acquisition or investment and (b) in the case of any sale or disposal, the total fair market value of the assets (including Equity Interests) being sold or disposed, including the amount of any Indebtedness being paid off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spacing w:after="0" w:line="250" w:lineRule="auto"/>
        <w:rPr>
          <w:sz w:val="20"/>
          <w:szCs w:val="20"/>
          <w:color w:val="auto"/>
        </w:rPr>
      </w:pPr>
      <w:r>
        <w:rPr>
          <w:rFonts w:ascii="Arial" w:cs="Arial" w:eastAsia="Arial" w:hAnsi="Arial"/>
          <w:sz w:val="22"/>
          <w:szCs w:val="22"/>
          <w:color w:val="auto"/>
        </w:rPr>
        <w:t>assumed, as applicable, in connection with such sale or disposal less the amount of any unrestricted cash being sold or disposed of in such sale.</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when used with respect to any Person, means (a) any capital stock, partnership or limited liability company interests or other share capital of, or other equity or voting interests in, such Person, (b) any other securities directly or indirectly convertible into or exchangeable for any shares of capital stock, partnership or limited liability company interests or other share capital of, or equity or voting interests in, such Person or (c) any options, warrants, rights or other commitments or agreements to acquire from such Person, or that obligate such Person to issue, any capital stock, partnership or limited liability company interests or other share capital of or other equity or voting interests in, or any securities convertible into or exchangeable for shares of capital stock, partnership or limited liability company interests or other share capital of, or other equity or voting interests in, such Person.</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and the rules and regulations promulgated thereunder.</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Shareholder Designated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Shareholders</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Shareholders’ Agreement</w:t>
      </w:r>
      <w:r>
        <w:rPr>
          <w:rFonts w:ascii="Arial" w:cs="Arial" w:eastAsia="Arial" w:hAnsi="Arial"/>
          <w:sz w:val="22"/>
          <w:szCs w:val="22"/>
          <w:color w:val="auto"/>
        </w:rPr>
        <w:t>” means the shareholders’ agreement between the Existing Shareholders in relation to the Company, dated on or around the date of this Agreement, in the form disclosed to Representatives of GEPIF Fund Group prior to execution of the Merger Agreement.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4.08(a)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 private equity, infrastructure or other investment fund (including a co-invest vehicle).</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GEPIF Fund</w:t>
      </w:r>
      <w:r>
        <w:rPr>
          <w:rFonts w:ascii="Arial" w:cs="Arial" w:eastAsia="Arial" w:hAnsi="Arial"/>
          <w:sz w:val="22"/>
          <w:szCs w:val="22"/>
          <w:color w:val="auto"/>
        </w:rPr>
        <w:t>” means Global Energy and Power Infrastructure Fund III, L.P.</w:t>
      </w:r>
    </w:p>
    <w:p>
      <w:pPr>
        <w:spacing w:after="0" w:line="23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GEPIF Fund Group</w:t>
      </w:r>
      <w:r>
        <w:rPr>
          <w:rFonts w:ascii="Arial" w:cs="Arial" w:eastAsia="Arial" w:hAnsi="Arial"/>
          <w:sz w:val="19"/>
          <w:szCs w:val="19"/>
          <w:color w:val="auto"/>
        </w:rPr>
        <w:t>” means (a) GEPIF Fund or any successor thereof, (b) any Affiliates of GEPIF Fund Group as to which beneficial ownership of Shares, directly or indirectly, is shared with GEPIF Fund, (c) the then-current officers, directors or managing members (or Persons serving in equivalent capacities) of any Person described in the foregoing clauses (a) or (b),</w:t>
      </w:r>
    </w:p>
    <w:p>
      <w:pPr>
        <w:spacing w:after="0" w:line="1" w:lineRule="exact"/>
        <w:rPr>
          <w:sz w:val="20"/>
          <w:szCs w:val="20"/>
          <w:color w:val="auto"/>
        </w:rPr>
      </w:pPr>
    </w:p>
    <w:p>
      <w:pPr>
        <w:jc w:val="both"/>
        <w:ind w:firstLine="8"/>
        <w:spacing w:after="0" w:line="287" w:lineRule="auto"/>
        <w:tabs>
          <w:tab w:leader="none" w:pos="33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any Affiliated Fund of the New Investor or a portfolio company thereof for which any Person described in the foregoing clause (c) serves as an officer, director or managing member (or in an equivalent capacity), but solely to the extent that such Affiliated Fund or portfolio company actually receives Confidential Information (provided, that such Affiliated Fund or portfolio</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jc w:val="both"/>
        <w:spacing w:after="0" w:line="238" w:lineRule="auto"/>
        <w:rPr>
          <w:sz w:val="20"/>
          <w:szCs w:val="20"/>
          <w:color w:val="auto"/>
        </w:rPr>
      </w:pPr>
      <w:r>
        <w:rPr>
          <w:rFonts w:ascii="Arial" w:cs="Arial" w:eastAsia="Arial" w:hAnsi="Arial"/>
          <w:sz w:val="22"/>
          <w:szCs w:val="22"/>
          <w:color w:val="auto"/>
        </w:rPr>
        <w:t>company shall not be deemed to have received Confidential Information solely due to the service of any such officer, director or managing member (or equivalent), so long as such officer, director or managing member (or equivalent) does not provide any Confidential Information to such Affiliated Fund or portfolio company), or (e) any Subsidiary of any of the foregoing clauses (a) or (b).</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21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(a) any Person that was a Shareholder immediately prior to the Initial Public Offering owning Registrable Securities that have not been sold to the public and (b) any transferee of Registrable Securities in a private transaction after the Initial Public Offering.</w:t>
      </w:r>
    </w:p>
    <w:p>
      <w:pPr>
        <w:spacing w:after="0" w:line="21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for any Person, without duplication, (a) moneys borrowed and debit balances at banks or other financial institutions, and obligations in respect of the advance of credit (including the face amount of any letter of credit supporting the repayment of indebtedness for borrowed money issued for the account of such Person and obligations under letters of credit and agreements relating to the issuance of letters of credit or acceptance of financing); (b) any amount raised by acceptance under any acceptance credit or bill discounting facility (or dematerialised equivalent); (c) any amount raised pursuant to any note purchase facility or the issue of bonds, notes, debentures, loan stock or any similar instrument, or by warrants or other rights to acquire any debt instruments or debt securities, including surety, appeal or performance bonds; (d) the amount of any liability in respect of any purchase money indebtedness or lease or hire purchase contract which would, in accordance with IFRS or applicable GAAP, be treated as a balance sheet liability; (e) receivables sold or discounted (other than any receivables to the extent they are sold on a non-recourse basis); (f) any derivative transaction or other hedging arrangement; (g) any counter-indemnity obligation in respect of a guarantee, indemnity, bond, standby or documentary letter of credit or any other instrument issued by a bank or financial institution; (h) any amount of any liability in respect of any advance or deferred purchase price of property or services (including (i) obligations that are non-recourse to the credit of the Company and its Subsidiaries but are secured by the assets of the Company or its Subsidiaries, (ii) deferred compensation payable to directors, officer or employees of the Company or its Subsidiaries and (iii) any purchase price adjustment or earnout); (i) any amount raised under any other transaction (including any forward sale or purchase agreement) having the commercial effect of a borrowing or otherwise classified as borrowings under IFRS or applicable GAAP; and (j) the amount of any liability in respect of any guarantee or indemnity (or other arrangements having the economic effect of a guarantee or indemnity) for any of the items referred to in paragraphs (a) to (i) above.</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Public Offering</w:t>
      </w:r>
      <w:r>
        <w:rPr>
          <w:rFonts w:ascii="Arial" w:cs="Arial" w:eastAsia="Arial" w:hAnsi="Arial"/>
          <w:sz w:val="22"/>
          <w:szCs w:val="22"/>
          <w:color w:val="auto"/>
        </w:rPr>
        <w:t>” means any offering of Shares pursuant to a registration statement filed in accordance with the Securities Act after the date hereof.</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IRC</w:t>
      </w:r>
      <w:r>
        <w:rPr>
          <w:rFonts w:ascii="Arial" w:cs="Arial" w:eastAsia="Arial" w:hAnsi="Arial"/>
          <w:sz w:val="22"/>
          <w:szCs w:val="22"/>
          <w:color w:val="auto"/>
        </w:rPr>
        <w:t>” means the U.S. Internal Revenue Code of 1986, as amended from time to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any federal, national, provincial, state, local or multinational laws statutes, common laws, ordinances, codes, rules and regulations.</w:t>
      </w:r>
    </w:p>
    <w:p>
      <w:pPr>
        <w:spacing w:after="0" w:line="20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means any and all liabilities, obligations, losses, damages, penalties, actions, judgments, suits, proceedings, costs, expenses and disbursements of any kind or nature whatsoever (including all reasonable costs and expenses of attorneys and the reasonable defense, appeal and settlement of any and all Actions instituted or threatened) and all costs of investigation in connection therewith.</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Agreement</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Money Laundering Laws</w:t>
      </w:r>
      <w:r>
        <w:rPr>
          <w:rFonts w:ascii="Arial" w:cs="Arial" w:eastAsia="Arial" w:hAnsi="Arial"/>
          <w:sz w:val="22"/>
          <w:szCs w:val="22"/>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Negotiation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Investor</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Investor Board Observer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Investor Designated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Newbuildings</w:t>
      </w:r>
      <w:r>
        <w:rPr>
          <w:rFonts w:ascii="Arial" w:cs="Arial" w:eastAsia="Arial" w:hAnsi="Arial"/>
          <w:sz w:val="22"/>
          <w:szCs w:val="22"/>
          <w:color w:val="auto"/>
        </w:rPr>
        <w:t>” means any vessel contracted to be constructed, under construction or newly constructed for, but not yet delivered to, the Company or any of its Subsidiaries.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Non-Conflicted Directors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2.06(c)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Non-Offering Shareholder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Shareholder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Shareholder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3.02(b)(i)</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w:t>
      </w:r>
      <w:r>
        <w:rPr>
          <w:rFonts w:ascii="Arial" w:cs="Arial" w:eastAsia="Arial" w:hAnsi="Arial"/>
          <w:sz w:val="22"/>
          <w:szCs w:val="22"/>
          <w:color w:val="auto"/>
        </w:rPr>
        <w:t>” means GasLog Partners LP.</w:t>
      </w:r>
    </w:p>
    <w:p>
      <w:pPr>
        <w:spacing w:after="0" w:line="23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Transferee</w:t>
      </w:r>
      <w:r>
        <w:rPr>
          <w:rFonts w:ascii="Arial" w:cs="Arial" w:eastAsia="Arial" w:hAnsi="Arial"/>
          <w:sz w:val="19"/>
          <w:szCs w:val="19"/>
          <w:color w:val="auto"/>
        </w:rPr>
        <w:t xml:space="preserve">” means, (a) with respect to any Shareholder, (i) any wholly owned Subsidiary of such Shareholder, (ii) any Affiliate that alone or together with one or more other Affiliates directly or indirectly wholly owns such Shareholder, (iii) any Affiliated Fund of such Shareholder and (iv) any successor entity of such Shareholder;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ownership of such successor entity is substantially the same as the ownership of such Shareholder immediately prior to the reorganization or similar action resulting in the Transfer to such successor entity, and (b) with respect to any Existing Shareholder, any other Existing Shareholder ( </w:t>
      </w:r>
      <w:r>
        <w:rPr>
          <w:rFonts w:ascii="Arial" w:cs="Arial" w:eastAsia="Arial" w:hAnsi="Arial"/>
          <w:sz w:val="19"/>
          <w:szCs w:val="19"/>
          <w:u w:val="single" w:color="auto"/>
          <w:color w:val="auto"/>
        </w:rPr>
        <w:t>provided</w:t>
      </w:r>
      <w:r>
        <w:rPr>
          <w:rFonts w:ascii="Arial" w:cs="Arial" w:eastAsia="Arial" w:hAnsi="Arial"/>
          <w:sz w:val="19"/>
          <w:szCs w:val="19"/>
          <w:color w:val="auto"/>
        </w:rPr>
        <w:t>, that the other Existing Shareholders shall not be a “Permitted Transferee” of BHL for purposes of any Transfer by BHL at any time or from time to time, in one or more transactions, which would result in the Transfer in the aggregate for all such Transfers by BHL or its Permitted Transferees to any other Existing Shareholder of more than 5% of the issued and outstanding Shares on the date of this Agreement).</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PFIC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4.02(f)</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Acquisition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3.02(c)(i)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Transferee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Purchasing Shareholder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3.02(c)(i)</w:t>
      </w:r>
      <w:r>
        <w:rPr>
          <w:rFonts w:ascii="Arial" w:cs="Arial" w:eastAsia="Arial" w:hAnsi="Arial"/>
          <w:sz w:val="22"/>
          <w:szCs w:val="22"/>
          <w:color w:val="auto"/>
        </w:rPr>
        <w:t>.</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Exchange</w:t>
      </w:r>
      <w:r>
        <w:rPr>
          <w:rFonts w:ascii="Arial" w:cs="Arial" w:eastAsia="Arial" w:hAnsi="Arial"/>
          <w:sz w:val="22"/>
          <w:szCs w:val="22"/>
          <w:color w:val="auto"/>
        </w:rPr>
        <w:t>” means the New York Stock Exchange, the Nasdaq Global Market, the London Stock Exchange, Euronext or any replacement or successor stock exchange of any of the foregoing.</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Registrable Securities</w:t>
      </w:r>
      <w:r>
        <w:rPr>
          <w:rFonts w:ascii="Arial" w:cs="Arial" w:eastAsia="Arial" w:hAnsi="Arial"/>
          <w:sz w:val="22"/>
          <w:szCs w:val="22"/>
          <w:color w:val="auto"/>
        </w:rPr>
        <w:t>” means Equity Interests of the Company owned by a Holder which are the same class as the Equity Interests sold in the Initial Public Offering.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ROFO 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3.02(c)(i)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ROFO Offer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3.02(c)(i)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ROFO Pro Rata Portion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ROFO Transfer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3.03(b)</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6" w:name="page177"/>
    <w:bookmarkEnd w:id="176"/>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any Person that is on the list of Specially Designated Nationals and Blocked Persons, any other sanctioned persons list issued by the Office of Foreign Assets Control of the U.S. Treasury Department or any comparable sanctioned persons list issued by the United States, the United Nations, the European Union or the United Kingdom.</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and the rules and regulations promulgated thereunder.</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Offering Shareholder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ROFO 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3.02(d)</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Shareholder(s)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 Affiliate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4.03(a)(i)</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 means the Common Shares, and any securities issued in respect thereof, or in substitution or exchange therefor, in connection with any share split, conversion, dividend or combination, or any reclassification, recapitalization, merger, consolidation, exchange or other similar reorganization.</w:t>
      </w:r>
    </w:p>
    <w:p>
      <w:pPr>
        <w:spacing w:after="0" w:line="21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means a registration statement of the Company filed with the United States Securities and Exchange Commission on Form F-3 (or any successor form or other appropriate form under the Securities Act) for an offering to be made on a continuous basis pursuant to Rule 415 under the Securities Act (or any similar rule that may be adopted by the United States Securities and Exchange Commission) covering the Registrable Securities, as applicable.</w:t>
      </w:r>
    </w:p>
    <w:p>
      <w:pPr>
        <w:spacing w:after="0" w:line="170"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Shareholder</w:t>
      </w:r>
      <w:r>
        <w:rPr>
          <w:rFonts w:ascii="Arial" w:cs="Arial" w:eastAsia="Arial" w:hAnsi="Arial"/>
          <w:sz w:val="22"/>
          <w:szCs w:val="22"/>
          <w:color w:val="auto"/>
        </w:rPr>
        <w:t>” means, as of any date of measurement, any Shareholder that holds 5% or more of the then-issued and outstanding Shares.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Subscription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3.04(a)</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when used with respect to any party, means (a)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 such party and one or more Subsidiaries of such party has the power to elect a least one-half of the board of directors or similar governing body of any corporation, limited liability company, partnership, association, trust or other entity. For the avoidance of doubt, the Partnership and its Subsidiaries shall be considered Subsidiaries of the Company for so long as the Company owns, directly or indirectly, more than 50% of the equity or more than 50% of the ordinary voting power of the general partner of the Partnership.</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3.03(c)(i)</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Pro Rata Portion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3.03(c)(ii)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Tag-Along Shareholder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Tag-Eligible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4.08(b)</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or “</w:t>
      </w:r>
      <w:r>
        <w:rPr>
          <w:rFonts w:ascii="Arial" w:cs="Arial" w:eastAsia="Arial" w:hAnsi="Arial"/>
          <w:sz w:val="21"/>
          <w:szCs w:val="21"/>
          <w:u w:val="single" w:color="auto"/>
          <w:color w:val="auto"/>
        </w:rPr>
        <w:t>Transferred</w:t>
      </w:r>
      <w:r>
        <w:rPr>
          <w:rFonts w:ascii="Arial" w:cs="Arial" w:eastAsia="Arial" w:hAnsi="Arial"/>
          <w:sz w:val="21"/>
          <w:szCs w:val="21"/>
          <w:color w:val="auto"/>
        </w:rPr>
        <w:t>” means (a) any direct or indirect transfer, sale, gift, assignment, exchange or any other disposition (whether voluntary or involuntary or by operation of law) of any Shares (or any interest (pecuniary or otherwise) therein or rights thereto) beneficially owned by any Shareholder, including pursuant to the creation of a derivative security or (b) in respect of any such Shares or interest therein, to enter into any swap or any other agreement, transaction or series of transactions that hedges or transfers, in whole or in part, directly or indirectly, the economic consequence of ownership of such Shares or interest, whether any such swap, agreement, transaction or series of transactions is to be settled by delivery of securities, in cash or otherwise. For the avoidance of doubt, a grant of or existence of a security interest or Lien over any Shares which is required by any bank or financial institution, and any enforcement of remedies in respect thereof, shall not be deemed to be a “Transfer” 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Transaction</w:t>
      </w:r>
      <w:r>
        <w:rPr>
          <w:rFonts w:ascii="Arial" w:cs="Arial" w:eastAsia="Arial" w:hAnsi="Arial"/>
          <w:sz w:val="22"/>
          <w:szCs w:val="22"/>
          <w:color w:val="auto"/>
        </w:rPr>
        <w:t>” has the meaning set forth in the definition of Indebtedness.</w:t>
      </w:r>
    </w:p>
    <w:p>
      <w:pPr>
        <w:spacing w:after="0" w:line="2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Treasury Regulations</w:t>
      </w:r>
      <w:r>
        <w:rPr>
          <w:rFonts w:ascii="Arial" w:cs="Arial" w:eastAsia="Arial" w:hAnsi="Arial"/>
          <w:sz w:val="22"/>
          <w:szCs w:val="22"/>
          <w:color w:val="auto"/>
        </w:rPr>
        <w:t>” means the U.S. federal income tax regulations promulgated under the IRC, as amended from time to time.</w:t>
      </w:r>
    </w:p>
    <w:p>
      <w:pPr>
        <w:spacing w:after="0" w:line="20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means, with respect to any vessel, the fair market value of such vessel, as determined in good faith by the Company Board.</w:t>
      </w:r>
    </w:p>
    <w:p>
      <w:pPr>
        <w:spacing w:after="0" w:line="20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010000"/>
        </w:rPr>
        <w:t xml:space="preserve">Section 1.02. </w:t>
      </w:r>
      <w:r>
        <w:rPr>
          <w:rFonts w:ascii="Arial" w:cs="Arial" w:eastAsia="Arial" w:hAnsi="Arial"/>
          <w:sz w:val="21"/>
          <w:szCs w:val="21"/>
          <w:u w:val="single" w:color="auto"/>
          <w:color w:val="000000"/>
        </w:rPr>
        <w:t>Construction</w:t>
      </w:r>
      <w:r>
        <w:rPr>
          <w:rFonts w:ascii="Arial" w:cs="Arial" w:eastAsia="Arial" w:hAnsi="Arial"/>
          <w:sz w:val="21"/>
          <w:szCs w:val="21"/>
          <w:color w:val="000000"/>
        </w:rPr>
        <w:t>. When a reference is made in this Agreement to an Article, a Section, an Annex,</w:t>
      </w:r>
      <w:r>
        <w:rPr>
          <w:rFonts w:ascii="Arial" w:cs="Arial" w:eastAsia="Arial" w:hAnsi="Arial"/>
          <w:sz w:val="21"/>
          <w:szCs w:val="21"/>
          <w:color w:val="010000"/>
        </w:rPr>
        <w:t xml:space="preserve"> </w:t>
      </w:r>
      <w:r>
        <w:rPr>
          <w:rFonts w:ascii="Arial" w:cs="Arial" w:eastAsia="Arial" w:hAnsi="Arial"/>
          <w:sz w:val="21"/>
          <w:szCs w:val="21"/>
          <w:color w:val="000000"/>
        </w:rPr>
        <w:t>a Schedule or an Exhibit, such reference shall be to an Article of, a Section of, an Annex of, a Schedule to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8" w:name="page179"/>
    <w:bookmarkEnd w:id="178"/>
    <w:p>
      <w:pPr>
        <w:jc w:val="both"/>
        <w:spacing w:after="0" w:line="282" w:lineRule="auto"/>
        <w:rPr>
          <w:sz w:val="20"/>
          <w:szCs w:val="20"/>
          <w:color w:val="auto"/>
        </w:rPr>
      </w:pPr>
      <w:r>
        <w:rPr>
          <w:rFonts w:ascii="Arial" w:cs="Arial" w:eastAsia="Arial" w:hAnsi="Arial"/>
          <w:sz w:val="19"/>
          <w:szCs w:val="19"/>
          <w:color w:val="auto"/>
        </w:rPr>
        <w:t>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shall refer to the lawful money of the United States. References to a Person are also to its permitted assigns and successors.</w:t>
      </w:r>
    </w:p>
    <w:p>
      <w:pPr>
        <w:spacing w:after="0" w:line="17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Section 1.03. </w:t>
      </w:r>
      <w:r>
        <w:rPr>
          <w:rFonts w:ascii="Arial" w:cs="Arial" w:eastAsia="Arial" w:hAnsi="Arial"/>
          <w:sz w:val="19"/>
          <w:szCs w:val="19"/>
          <w:u w:val="single" w:color="auto"/>
          <w:color w:val="000000"/>
        </w:rPr>
        <w:t>Effectuating the Intent of the Parties</w:t>
      </w:r>
      <w:r>
        <w:rPr>
          <w:rFonts w:ascii="Arial" w:cs="Arial" w:eastAsia="Arial" w:hAnsi="Arial"/>
          <w:sz w:val="19"/>
          <w:szCs w:val="19"/>
          <w:color w:val="000000"/>
        </w:rPr>
        <w:t>. The Company and each Shareholder shall take all actions</w:t>
      </w:r>
      <w:r>
        <w:rPr>
          <w:rFonts w:ascii="Arial" w:cs="Arial" w:eastAsia="Arial" w:hAnsi="Arial"/>
          <w:sz w:val="19"/>
          <w:szCs w:val="19"/>
          <w:color w:val="010000"/>
        </w:rPr>
        <w:t xml:space="preserve"> </w:t>
      </w:r>
      <w:r>
        <w:rPr>
          <w:rFonts w:ascii="Arial" w:cs="Arial" w:eastAsia="Arial" w:hAnsi="Arial"/>
          <w:sz w:val="19"/>
          <w:szCs w:val="19"/>
          <w:color w:val="000000"/>
        </w:rPr>
        <w:t>necessary to give effect to and to preserve the intent of the parties hereto as set out herein, including, with respect to each Shareholder, (a) voting its Shares and taking any and all other action in its power and authority as a shareholder of the Company and (b) if applicable, to the fullest extent permitted by applicable Law (including in relation to fiduciary duties), instructing Directors and members of any committees designated by such Shareholder to exercise their voting rights on each such body in a manner consistent with the rights and obligations of the parties hereto under this Agreement, in each case so as to give effect to and preserve the intent of the parties hereto as set out herein. Notwithstanding anything to the contrary herein, the Company’s obligation to cause the Partnership and its Subsidiaries to take or omit to take any action pursuant to this Agreement shall be deemed to be performed in full so long as the Company directs, and takes all reasonable actions in its power to cause, the Partnership and its Subsidiaries to take or omit to take any such actions; provided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CORPORATE GOVERNANCE</w:t>
      </w:r>
    </w:p>
    <w:p>
      <w:pPr>
        <w:spacing w:after="0" w:line="233"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2.01.</w:t>
      </w:r>
      <w:r>
        <w:rPr>
          <w:sz w:val="20"/>
          <w:szCs w:val="20"/>
          <w:color w:val="auto"/>
        </w:rPr>
        <w:tab/>
      </w:r>
      <w:r>
        <w:rPr>
          <w:rFonts w:ascii="Arial" w:cs="Arial" w:eastAsia="Arial" w:hAnsi="Arial"/>
          <w:sz w:val="19"/>
          <w:szCs w:val="19"/>
          <w:u w:val="single" w:color="auto"/>
          <w:color w:val="auto"/>
        </w:rPr>
        <w:t>Company Board Representation</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6" w:lineRule="auto"/>
        <w:tabs>
          <w:tab w:leader="none" w:pos="2305" w:val="left"/>
        </w:tabs>
        <w:numPr>
          <w:ilvl w:val="0"/>
          <w:numId w:val="192"/>
        </w:numPr>
        <w:rPr>
          <w:rFonts w:ascii="Arial" w:cs="Arial" w:eastAsia="Arial" w:hAnsi="Arial"/>
          <w:sz w:val="22"/>
          <w:szCs w:val="22"/>
          <w:color w:val="010000"/>
        </w:rPr>
      </w:pPr>
      <w:r>
        <w:rPr>
          <w:rFonts w:ascii="Arial" w:cs="Arial" w:eastAsia="Arial" w:hAnsi="Arial"/>
          <w:sz w:val="22"/>
          <w:szCs w:val="22"/>
          <w:u w:val="single" w:color="auto"/>
          <w:color w:val="auto"/>
        </w:rPr>
        <w:t>Company Board Size</w:t>
      </w:r>
      <w:r>
        <w:rPr>
          <w:rFonts w:ascii="Arial" w:cs="Arial" w:eastAsia="Arial" w:hAnsi="Arial"/>
          <w:sz w:val="22"/>
          <w:szCs w:val="22"/>
          <w:color w:val="auto"/>
        </w:rPr>
        <w:t>. From and after the date hereof, (i) unless the New Investor and the Existing Shareholders otherwise agree in writing or (ii) except to the extent expressly set forth in and required by the Company Organizational Documents with respect to the rights of the holders of Preference Shares to designate a director in the circumstances and for the duration set forth therein, the board of directors of the Company (the “</w:t>
      </w:r>
      <w:r>
        <w:rPr>
          <w:rFonts w:ascii="Arial" w:cs="Arial" w:eastAsia="Arial" w:hAnsi="Arial"/>
          <w:sz w:val="22"/>
          <w:szCs w:val="22"/>
          <w:u w:val="single" w:color="auto"/>
          <w:color w:val="auto"/>
        </w:rPr>
        <w:t>Company Board</w:t>
      </w:r>
      <w:r>
        <w:rPr>
          <w:rFonts w:ascii="Arial" w:cs="Arial" w:eastAsia="Arial" w:hAnsi="Arial"/>
          <w:sz w:val="22"/>
          <w:szCs w:val="22"/>
          <w:color w:val="auto"/>
        </w:rPr>
        <w:t>”) shall consist of five Directors.</w:t>
      </w:r>
    </w:p>
    <w:p>
      <w:pPr>
        <w:spacing w:after="0" w:line="214" w:lineRule="exact"/>
        <w:rPr>
          <w:rFonts w:ascii="Arial" w:cs="Arial" w:eastAsia="Arial" w:hAnsi="Arial"/>
          <w:sz w:val="22"/>
          <w:szCs w:val="22"/>
          <w:color w:val="010000"/>
        </w:rPr>
      </w:pPr>
    </w:p>
    <w:p>
      <w:pPr>
        <w:jc w:val="both"/>
        <w:ind w:firstLine="1304"/>
        <w:spacing w:after="0" w:line="277" w:lineRule="auto"/>
        <w:tabs>
          <w:tab w:leader="none" w:pos="2196" w:val="left"/>
        </w:tabs>
        <w:numPr>
          <w:ilvl w:val="0"/>
          <w:numId w:val="192"/>
        </w:numPr>
        <w:rPr>
          <w:rFonts w:ascii="Arial" w:cs="Arial" w:eastAsia="Arial" w:hAnsi="Arial"/>
          <w:sz w:val="19"/>
          <w:szCs w:val="19"/>
          <w:color w:val="010000"/>
        </w:rPr>
      </w:pPr>
      <w:r>
        <w:rPr>
          <w:rFonts w:ascii="Arial" w:cs="Arial" w:eastAsia="Arial" w:hAnsi="Arial"/>
          <w:sz w:val="19"/>
          <w:szCs w:val="19"/>
          <w:u w:val="single" w:color="auto"/>
          <w:color w:val="auto"/>
        </w:rPr>
        <w:t>Company Board Composition</w:t>
      </w:r>
      <w:r>
        <w:rPr>
          <w:rFonts w:ascii="Arial" w:cs="Arial" w:eastAsia="Arial" w:hAnsi="Arial"/>
          <w:sz w:val="19"/>
          <w:szCs w:val="19"/>
          <w:color w:val="auto"/>
        </w:rPr>
        <w:t xml:space="preserve">. From and after the date hereof, subject to </w:t>
      </w:r>
      <w:r>
        <w:rPr>
          <w:rFonts w:ascii="Arial" w:cs="Arial" w:eastAsia="Arial" w:hAnsi="Arial"/>
          <w:sz w:val="19"/>
          <w:szCs w:val="19"/>
          <w:u w:val="single" w:color="auto"/>
          <w:color w:val="auto"/>
        </w:rPr>
        <w:t>Section 2.08</w:t>
      </w:r>
      <w:r>
        <w:rPr>
          <w:rFonts w:ascii="Arial" w:cs="Arial" w:eastAsia="Arial" w:hAnsi="Arial"/>
          <w:sz w:val="19"/>
          <w:szCs w:val="19"/>
          <w:color w:val="auto"/>
        </w:rPr>
        <w:t>, (i) the Existing Shareholders shall be entitled to designate three individuals (each, an “</w:t>
      </w:r>
      <w:r>
        <w:rPr>
          <w:rFonts w:ascii="Arial" w:cs="Arial" w:eastAsia="Arial" w:hAnsi="Arial"/>
          <w:sz w:val="19"/>
          <w:szCs w:val="19"/>
          <w:u w:val="single" w:color="auto"/>
          <w:color w:val="auto"/>
        </w:rPr>
        <w:t>Existing Shareholder Designated Director</w:t>
      </w:r>
      <w:r>
        <w:rPr>
          <w:rFonts w:ascii="Arial" w:cs="Arial" w:eastAsia="Arial" w:hAnsi="Arial"/>
          <w:sz w:val="19"/>
          <w:szCs w:val="19"/>
          <w:color w:val="auto"/>
        </w:rPr>
        <w:t>”) to serve as Directors and (ii) the New Investor shall be entitled to designate two individuals (each, a “</w:t>
      </w:r>
      <w:r>
        <w:rPr>
          <w:rFonts w:ascii="Arial" w:cs="Arial" w:eastAsia="Arial" w:hAnsi="Arial"/>
          <w:sz w:val="19"/>
          <w:szCs w:val="19"/>
          <w:u w:val="single" w:color="auto"/>
          <w:color w:val="auto"/>
        </w:rPr>
        <w:t>New Investor Designated Director</w:t>
      </w:r>
      <w:r>
        <w:rPr>
          <w:rFonts w:ascii="Arial" w:cs="Arial" w:eastAsia="Arial" w:hAnsi="Arial"/>
          <w:sz w:val="19"/>
          <w:szCs w:val="19"/>
          <w:color w:val="auto"/>
        </w:rPr>
        <w:t xml:space="preserve">”) to serve as Directors;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any Equity Interests of the Company are listed on a Qualified Exchange, at least two Existing Shareholder Designated Directors must satisfy all independence requirements under the listing rules of such Qualified Exchange and other applicable Laws. Any such designations shall be made in writing to the Company and to the other Shareholders in accordance with </w:t>
      </w:r>
      <w:r>
        <w:rPr>
          <w:rFonts w:ascii="Arial" w:cs="Arial" w:eastAsia="Arial" w:hAnsi="Arial"/>
          <w:sz w:val="19"/>
          <w:szCs w:val="19"/>
          <w:u w:val="single" w:color="auto"/>
          <w:color w:val="auto"/>
        </w:rPr>
        <w:t>Section 5.04</w:t>
      </w:r>
      <w:r>
        <w:rPr>
          <w:rFonts w:ascii="Arial" w:cs="Arial" w:eastAsia="Arial" w:hAnsi="Arial"/>
          <w:sz w:val="19"/>
          <w:szCs w:val="19"/>
          <w:color w:val="auto"/>
        </w:rPr>
        <w:t>. The initial Existing Shareholder Designated Directors and the initial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jc w:val="both"/>
        <w:spacing w:after="0" w:line="297" w:lineRule="auto"/>
        <w:rPr>
          <w:sz w:val="20"/>
          <w:szCs w:val="20"/>
          <w:color w:val="auto"/>
        </w:rPr>
      </w:pPr>
      <w:r>
        <w:rPr>
          <w:rFonts w:ascii="Arial" w:cs="Arial" w:eastAsia="Arial" w:hAnsi="Arial"/>
          <w:sz w:val="19"/>
          <w:szCs w:val="19"/>
          <w:color w:val="auto"/>
        </w:rPr>
        <w:t xml:space="preserve">New Investor Designated Directors, in each case as of the date hereof, are identified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For the avoidance of doubt and in accordance with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the Company and the Shareholders agree to take all actions necessary from time to time to ensure that any individuals validly designated pursuant to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are promptly elected to the Company Board.</w:t>
      </w:r>
    </w:p>
    <w:p>
      <w:pPr>
        <w:spacing w:after="0" w:line="161" w:lineRule="exact"/>
        <w:rPr>
          <w:sz w:val="20"/>
          <w:szCs w:val="20"/>
          <w:color w:val="auto"/>
        </w:rPr>
      </w:pPr>
    </w:p>
    <w:p>
      <w:pPr>
        <w:jc w:val="both"/>
        <w:ind w:firstLine="1304"/>
        <w:spacing w:after="0" w:line="297" w:lineRule="auto"/>
        <w:tabs>
          <w:tab w:leader="none" w:pos="2116" w:val="left"/>
        </w:tabs>
        <w:numPr>
          <w:ilvl w:val="0"/>
          <w:numId w:val="193"/>
        </w:numPr>
        <w:rPr>
          <w:rFonts w:ascii="Arial" w:cs="Arial" w:eastAsia="Arial" w:hAnsi="Arial"/>
          <w:sz w:val="19"/>
          <w:szCs w:val="19"/>
          <w:color w:val="010000"/>
        </w:rPr>
      </w:pPr>
      <w:r>
        <w:rPr>
          <w:rFonts w:ascii="Arial" w:cs="Arial" w:eastAsia="Arial" w:hAnsi="Arial"/>
          <w:sz w:val="19"/>
          <w:szCs w:val="19"/>
          <w:u w:val="single" w:color="auto"/>
          <w:color w:val="auto"/>
        </w:rPr>
        <w:t>Chairperson</w:t>
      </w:r>
      <w:r>
        <w:rPr>
          <w:rFonts w:ascii="Arial" w:cs="Arial" w:eastAsia="Arial" w:hAnsi="Arial"/>
          <w:sz w:val="19"/>
          <w:szCs w:val="19"/>
          <w:color w:val="auto"/>
        </w:rPr>
        <w:t>. From and after the date hereof, the Existing Shareholders shall be entitled to designate one of the Existing Shareholder Designated Directors to serve as the Chairperson of the Company Board (the “</w:t>
      </w:r>
      <w:r>
        <w:rPr>
          <w:rFonts w:ascii="Arial" w:cs="Arial" w:eastAsia="Arial" w:hAnsi="Arial"/>
          <w:sz w:val="19"/>
          <w:szCs w:val="19"/>
          <w:u w:val="single" w:color="auto"/>
          <w:color w:val="auto"/>
        </w:rPr>
        <w:t>Chairperson</w:t>
      </w:r>
      <w:r>
        <w:rPr>
          <w:rFonts w:ascii="Arial" w:cs="Arial" w:eastAsia="Arial" w:hAnsi="Arial"/>
          <w:sz w:val="19"/>
          <w:szCs w:val="19"/>
          <w:color w:val="auto"/>
        </w:rPr>
        <w:t xml:space="preserve">”). Any such designation shall be made in writing to the Company and to the other Shareholders in accordance with </w:t>
      </w:r>
      <w:r>
        <w:rPr>
          <w:rFonts w:ascii="Arial" w:cs="Arial" w:eastAsia="Arial" w:hAnsi="Arial"/>
          <w:sz w:val="19"/>
          <w:szCs w:val="19"/>
          <w:u w:val="single" w:color="auto"/>
          <w:color w:val="auto"/>
        </w:rPr>
        <w:t>Section 5.04</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jc w:val="both"/>
        <w:ind w:firstLine="1304"/>
        <w:spacing w:after="0" w:line="246" w:lineRule="auto"/>
        <w:tabs>
          <w:tab w:leader="none" w:pos="2101" w:val="left"/>
        </w:tabs>
        <w:numPr>
          <w:ilvl w:val="0"/>
          <w:numId w:val="193"/>
        </w:numPr>
        <w:rPr>
          <w:rFonts w:ascii="Arial" w:cs="Arial" w:eastAsia="Arial" w:hAnsi="Arial"/>
          <w:sz w:val="21"/>
          <w:szCs w:val="21"/>
          <w:color w:val="010000"/>
        </w:rPr>
      </w:pPr>
      <w:r>
        <w:rPr>
          <w:rFonts w:ascii="Arial" w:cs="Arial" w:eastAsia="Arial" w:hAnsi="Arial"/>
          <w:sz w:val="21"/>
          <w:szCs w:val="21"/>
          <w:u w:val="single" w:color="auto"/>
          <w:color w:val="auto"/>
        </w:rPr>
        <w:t>Removal</w:t>
      </w:r>
      <w:r>
        <w:rPr>
          <w:rFonts w:ascii="Arial" w:cs="Arial" w:eastAsia="Arial" w:hAnsi="Arial"/>
          <w:sz w:val="21"/>
          <w:szCs w:val="21"/>
          <w:color w:val="auto"/>
        </w:rPr>
        <w:t xml:space="preserve">. Each Shareholder agrees that it shall not vote any of its Shares in favor of the removal of any Director designated by another Shareholder pursuant to this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unless the Shareholder or Shareholders entitled to designate such Director shall have consented to such removal in writing;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the New Investor shall have the right to cause any New Investor Designated Director to be removed from the Company Board at any time and (ii) the Existing Shareholders shall have the right to cause any Existing Shareholder Designated Director to be removed from the Company Board at any time, and in each case at the applicable Shareholders’ sole discretion by delivery of notice thereof to the Company and to the other Shareholders in accordance with </w:t>
      </w:r>
      <w:r>
        <w:rPr>
          <w:rFonts w:ascii="Arial" w:cs="Arial" w:eastAsia="Arial" w:hAnsi="Arial"/>
          <w:sz w:val="21"/>
          <w:szCs w:val="21"/>
          <w:u w:val="single" w:color="auto"/>
          <w:color w:val="auto"/>
        </w:rPr>
        <w:t>Section 5.04</w:t>
      </w:r>
      <w:r>
        <w:rPr>
          <w:rFonts w:ascii="Arial" w:cs="Arial" w:eastAsia="Arial" w:hAnsi="Arial"/>
          <w:sz w:val="21"/>
          <w:szCs w:val="21"/>
          <w:color w:val="auto"/>
        </w:rPr>
        <w:t>.</w:t>
      </w:r>
    </w:p>
    <w:p>
      <w:pPr>
        <w:spacing w:after="0" w:line="211" w:lineRule="exact"/>
        <w:rPr>
          <w:rFonts w:ascii="Arial" w:cs="Arial" w:eastAsia="Arial" w:hAnsi="Arial"/>
          <w:sz w:val="21"/>
          <w:szCs w:val="21"/>
          <w:color w:val="010000"/>
        </w:rPr>
      </w:pPr>
    </w:p>
    <w:p>
      <w:pPr>
        <w:jc w:val="both"/>
        <w:ind w:firstLine="1304"/>
        <w:spacing w:after="0" w:line="279" w:lineRule="auto"/>
        <w:tabs>
          <w:tab w:leader="none" w:pos="2224" w:val="left"/>
        </w:tabs>
        <w:numPr>
          <w:ilvl w:val="0"/>
          <w:numId w:val="193"/>
        </w:numPr>
        <w:rPr>
          <w:rFonts w:ascii="Arial" w:cs="Arial" w:eastAsia="Arial" w:hAnsi="Arial"/>
          <w:sz w:val="19"/>
          <w:szCs w:val="19"/>
          <w:color w:val="010000"/>
        </w:rPr>
      </w:pPr>
      <w:r>
        <w:rPr>
          <w:rFonts w:ascii="Arial" w:cs="Arial" w:eastAsia="Arial" w:hAnsi="Arial"/>
          <w:sz w:val="19"/>
          <w:szCs w:val="19"/>
          <w:u w:val="single" w:color="auto"/>
          <w:color w:val="auto"/>
        </w:rPr>
        <w:t>Vacancies</w:t>
      </w:r>
      <w:r>
        <w:rPr>
          <w:rFonts w:ascii="Arial" w:cs="Arial" w:eastAsia="Arial" w:hAnsi="Arial"/>
          <w:sz w:val="19"/>
          <w:szCs w:val="19"/>
          <w:color w:val="auto"/>
        </w:rPr>
        <w:t xml:space="preserve">. If a vacancy on the Company Board occurs at any time as a result of the death, disability, resignation or removal in accordance with </w:t>
      </w:r>
      <w:r>
        <w:rPr>
          <w:rFonts w:ascii="Arial" w:cs="Arial" w:eastAsia="Arial" w:hAnsi="Arial"/>
          <w:sz w:val="19"/>
          <w:szCs w:val="19"/>
          <w:u w:val="single" w:color="auto"/>
          <w:color w:val="auto"/>
        </w:rPr>
        <w:t>Section 2.01(d)</w:t>
      </w:r>
      <w:r>
        <w:rPr>
          <w:rFonts w:ascii="Arial" w:cs="Arial" w:eastAsia="Arial" w:hAnsi="Arial"/>
          <w:sz w:val="19"/>
          <w:szCs w:val="19"/>
          <w:color w:val="auto"/>
        </w:rPr>
        <w:t xml:space="preserve"> or other cause, the Shareholder or Shareholders that were entitled to designate the Director whose death, disability, resignation or removal in accordance with </w:t>
      </w:r>
      <w:r>
        <w:rPr>
          <w:rFonts w:ascii="Arial" w:cs="Arial" w:eastAsia="Arial" w:hAnsi="Arial"/>
          <w:sz w:val="19"/>
          <w:szCs w:val="19"/>
          <w:u w:val="single" w:color="auto"/>
          <w:color w:val="auto"/>
        </w:rPr>
        <w:t>Section 2.01(d)</w:t>
      </w:r>
      <w:r>
        <w:rPr>
          <w:rFonts w:ascii="Arial" w:cs="Arial" w:eastAsia="Arial" w:hAnsi="Arial"/>
          <w:sz w:val="19"/>
          <w:szCs w:val="19"/>
          <w:color w:val="auto"/>
        </w:rPr>
        <w:t xml:space="preserve"> or other cause caused such vacancy shall have the sole right to designate a replacement Director for appointment or election to fill the vacancy. For the avoidance of doubt, the Company Board may continue to conduct business subject to and in accordance with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notwithstanding that there are one or more vacancies on the Company Board.</w:t>
      </w:r>
    </w:p>
    <w:p>
      <w:pPr>
        <w:spacing w:after="0" w:line="177" w:lineRule="exact"/>
        <w:rPr>
          <w:rFonts w:ascii="Arial" w:cs="Arial" w:eastAsia="Arial" w:hAnsi="Arial"/>
          <w:sz w:val="19"/>
          <w:szCs w:val="19"/>
          <w:color w:val="010000"/>
        </w:rPr>
      </w:pPr>
    </w:p>
    <w:p>
      <w:pPr>
        <w:jc w:val="both"/>
        <w:ind w:firstLine="1304"/>
        <w:spacing w:after="0" w:line="246" w:lineRule="auto"/>
        <w:tabs>
          <w:tab w:leader="none" w:pos="2349" w:val="left"/>
        </w:tabs>
        <w:numPr>
          <w:ilvl w:val="0"/>
          <w:numId w:val="193"/>
        </w:numPr>
        <w:rPr>
          <w:rFonts w:ascii="Arial" w:cs="Arial" w:eastAsia="Arial" w:hAnsi="Arial"/>
          <w:sz w:val="21"/>
          <w:szCs w:val="21"/>
          <w:color w:val="010000"/>
        </w:rPr>
      </w:pPr>
      <w:r>
        <w:rPr>
          <w:rFonts w:ascii="Arial" w:cs="Arial" w:eastAsia="Arial" w:hAnsi="Arial"/>
          <w:sz w:val="21"/>
          <w:szCs w:val="21"/>
          <w:u w:val="single" w:color="auto"/>
          <w:color w:val="auto"/>
        </w:rPr>
        <w:t>Immediate Effect</w:t>
      </w:r>
      <w:r>
        <w:rPr>
          <w:rFonts w:ascii="Arial" w:cs="Arial" w:eastAsia="Arial" w:hAnsi="Arial"/>
          <w:sz w:val="21"/>
          <w:szCs w:val="21"/>
          <w:color w:val="auto"/>
        </w:rPr>
        <w:t xml:space="preserve">. To the fullest extent permitted by applicable Law, (i) a valid designation of an individual to serve as an Existing Shareholder Designated Director, a New Investor Designated Director or the Chairperson in accordance with </w:t>
      </w:r>
      <w:r>
        <w:rPr>
          <w:rFonts w:ascii="Arial" w:cs="Arial" w:eastAsia="Arial" w:hAnsi="Arial"/>
          <w:sz w:val="21"/>
          <w:szCs w:val="21"/>
          <w:u w:val="single" w:color="auto"/>
          <w:color w:val="auto"/>
        </w:rPr>
        <w:t>Sections 2.01(b)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2.01(e)</w:t>
      </w:r>
      <w:r>
        <w:rPr>
          <w:rFonts w:ascii="Arial" w:cs="Arial" w:eastAsia="Arial" w:hAnsi="Arial"/>
          <w:sz w:val="21"/>
          <w:szCs w:val="21"/>
          <w:color w:val="auto"/>
        </w:rPr>
        <w:t xml:space="preserve"> shall be effective to appoint such individual to such role and (ii) a delivery of a valid notice of removal of an Existing Shareholder Designated Director or a New Investor Designated Director in accordance with </w:t>
      </w:r>
      <w:r>
        <w:rPr>
          <w:rFonts w:ascii="Arial" w:cs="Arial" w:eastAsia="Arial" w:hAnsi="Arial"/>
          <w:sz w:val="21"/>
          <w:szCs w:val="21"/>
          <w:u w:val="single" w:color="auto"/>
          <w:color w:val="auto"/>
        </w:rPr>
        <w:t>Section 2.01(d)</w:t>
      </w:r>
      <w:r>
        <w:rPr>
          <w:rFonts w:ascii="Arial" w:cs="Arial" w:eastAsia="Arial" w:hAnsi="Arial"/>
          <w:sz w:val="21"/>
          <w:szCs w:val="21"/>
          <w:color w:val="auto"/>
        </w:rPr>
        <w:t xml:space="preserve"> shall be effective to remove such director from such role, in each case (A) with immediate effect upon the valid delivery of such designation or notice to the Company, (B) without any requirement for a meeting or vote of the shareholders or the Company Board and (C) without notice to any other Person other than as set forth in </w:t>
      </w:r>
      <w:r>
        <w:rPr>
          <w:rFonts w:ascii="Arial" w:cs="Arial" w:eastAsia="Arial" w:hAnsi="Arial"/>
          <w:sz w:val="21"/>
          <w:szCs w:val="21"/>
          <w:u w:val="single" w:color="auto"/>
          <w:color w:val="auto"/>
        </w:rPr>
        <w:t>Sections 2.01(b)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2.01(c)</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2.01(d)</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2.01(e)</w:t>
      </w:r>
      <w:r>
        <w:rPr>
          <w:rFonts w:ascii="Arial" w:cs="Arial" w:eastAsia="Arial" w:hAnsi="Arial"/>
          <w:sz w:val="21"/>
          <w:szCs w:val="21"/>
          <w:color w:val="auto"/>
        </w:rPr>
        <w:t>, as applicable.</w:t>
      </w:r>
    </w:p>
    <w:p>
      <w:pPr>
        <w:spacing w:after="0" w:line="206" w:lineRule="exact"/>
        <w:rPr>
          <w:rFonts w:ascii="Arial" w:cs="Arial" w:eastAsia="Arial" w:hAnsi="Arial"/>
          <w:sz w:val="21"/>
          <w:szCs w:val="21"/>
          <w:color w:val="010000"/>
        </w:rPr>
      </w:pPr>
    </w:p>
    <w:p>
      <w:pPr>
        <w:jc w:val="both"/>
        <w:ind w:firstLine="1304"/>
        <w:spacing w:after="0" w:line="257" w:lineRule="auto"/>
        <w:tabs>
          <w:tab w:leader="none" w:pos="2128" w:val="left"/>
        </w:tabs>
        <w:numPr>
          <w:ilvl w:val="0"/>
          <w:numId w:val="193"/>
        </w:numPr>
        <w:rPr>
          <w:rFonts w:ascii="Arial" w:cs="Arial" w:eastAsia="Arial" w:hAnsi="Arial"/>
          <w:sz w:val="21"/>
          <w:szCs w:val="21"/>
          <w:color w:val="010000"/>
        </w:rPr>
      </w:pPr>
      <w:r>
        <w:rPr>
          <w:rFonts w:ascii="Arial" w:cs="Arial" w:eastAsia="Arial" w:hAnsi="Arial"/>
          <w:sz w:val="21"/>
          <w:szCs w:val="21"/>
          <w:u w:val="single" w:color="auto"/>
          <w:color w:val="auto"/>
        </w:rPr>
        <w:t>Expenses</w:t>
      </w:r>
      <w:r>
        <w:rPr>
          <w:rFonts w:ascii="Arial" w:cs="Arial" w:eastAsia="Arial" w:hAnsi="Arial"/>
          <w:sz w:val="21"/>
          <w:szCs w:val="21"/>
          <w:color w:val="auto"/>
        </w:rPr>
        <w:t>. The Company shall reimburse the Directors for all reasonable and documented out-of-pocket expenses incurred by each of them in attending meetings of the Company Board (or any committee thereof) and as necessary to oversee the Company’s business consistent with this Agreement and the Company Board’s direction.</w:t>
      </w:r>
    </w:p>
    <w:p>
      <w:pPr>
        <w:spacing w:after="0" w:line="196"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2.02.</w:t>
      </w:r>
      <w:r>
        <w:rPr>
          <w:sz w:val="20"/>
          <w:szCs w:val="20"/>
          <w:color w:val="auto"/>
        </w:rPr>
        <w:tab/>
      </w:r>
      <w:r>
        <w:rPr>
          <w:rFonts w:ascii="Arial" w:cs="Arial" w:eastAsia="Arial" w:hAnsi="Arial"/>
          <w:sz w:val="19"/>
          <w:szCs w:val="19"/>
          <w:u w:val="single" w:color="auto"/>
          <w:color w:val="auto"/>
        </w:rPr>
        <w:t>Company Board Committees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jc w:val="both"/>
        <w:ind w:firstLine="1304"/>
        <w:spacing w:after="0" w:line="245" w:lineRule="auto"/>
        <w:tabs>
          <w:tab w:leader="none" w:pos="2197" w:val="left"/>
        </w:tabs>
        <w:numPr>
          <w:ilvl w:val="0"/>
          <w:numId w:val="194"/>
        </w:numPr>
        <w:rPr>
          <w:rFonts w:ascii="Arial" w:cs="Arial" w:eastAsia="Arial" w:hAnsi="Arial"/>
          <w:sz w:val="21"/>
          <w:szCs w:val="21"/>
          <w:color w:val="010000"/>
        </w:rPr>
      </w:pPr>
      <w:r>
        <w:rPr>
          <w:rFonts w:ascii="Arial" w:cs="Arial" w:eastAsia="Arial" w:hAnsi="Arial"/>
          <w:sz w:val="21"/>
          <w:szCs w:val="21"/>
          <w:color w:val="auto"/>
        </w:rPr>
        <w:t xml:space="preserve">The Company Board may establish one or more committees of the Company Board, with such powers and rights, and such composition, as may be determined by the Company Board from time to time, in each case acting pursuant to and in compliance with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otherwise agreed to by the New Investor Designated Directors, each committee of the Company Board shall include at least one New Investor Designated Director;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so long as any Equity Interests of the Company are listed on a Qualified Exchange, the immediately preceding proviso is subject to at least one New Investor Designated Director meeting the applicable eligibility requirements for such committee mandated under the listing rules of such Qualified Exchange or other applicable Law. For the avoidance of doubt, and notwithstanding anything in this Agreement to the contrary, no committee may approve or otherwise consent to any matter, or take any other action, that would require the approval of the New Investor pursuant to the terms of this Agreement without such approval of the New Investor.</w:t>
      </w:r>
    </w:p>
    <w:p>
      <w:pPr>
        <w:spacing w:after="0" w:line="207" w:lineRule="exact"/>
        <w:rPr>
          <w:rFonts w:ascii="Arial" w:cs="Arial" w:eastAsia="Arial" w:hAnsi="Arial"/>
          <w:sz w:val="21"/>
          <w:szCs w:val="21"/>
          <w:color w:val="010000"/>
        </w:rPr>
      </w:pPr>
    </w:p>
    <w:p>
      <w:pPr>
        <w:jc w:val="both"/>
        <w:ind w:firstLine="1304"/>
        <w:spacing w:after="0" w:line="238" w:lineRule="auto"/>
        <w:tabs>
          <w:tab w:leader="none" w:pos="2115" w:val="left"/>
        </w:tabs>
        <w:numPr>
          <w:ilvl w:val="0"/>
          <w:numId w:val="194"/>
        </w:numPr>
        <w:rPr>
          <w:rFonts w:ascii="Arial" w:cs="Arial" w:eastAsia="Arial" w:hAnsi="Arial"/>
          <w:sz w:val="22"/>
          <w:szCs w:val="22"/>
          <w:color w:val="010000"/>
        </w:rPr>
      </w:pPr>
      <w:r>
        <w:rPr>
          <w:rFonts w:ascii="Arial" w:cs="Arial" w:eastAsia="Arial" w:hAnsi="Arial"/>
          <w:sz w:val="22"/>
          <w:szCs w:val="22"/>
          <w:color w:val="auto"/>
        </w:rPr>
        <w:t>Each Director shall be entitled to attend each meeting of any committee of the Company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211" w:lineRule="exact"/>
        <w:rPr>
          <w:rFonts w:ascii="Arial" w:cs="Arial" w:eastAsia="Arial" w:hAnsi="Arial"/>
          <w:sz w:val="22"/>
          <w:szCs w:val="22"/>
          <w:color w:val="010000"/>
        </w:rPr>
      </w:pPr>
    </w:p>
    <w:p>
      <w:pPr>
        <w:jc w:val="both"/>
        <w:ind w:firstLine="1304"/>
        <w:spacing w:after="0" w:line="245" w:lineRule="auto"/>
        <w:tabs>
          <w:tab w:leader="none" w:pos="2346" w:val="left"/>
        </w:tabs>
        <w:numPr>
          <w:ilvl w:val="0"/>
          <w:numId w:val="194"/>
        </w:numPr>
        <w:rPr>
          <w:rFonts w:ascii="Arial" w:cs="Arial" w:eastAsia="Arial" w:hAnsi="Arial"/>
          <w:sz w:val="21"/>
          <w:szCs w:val="21"/>
          <w:color w:val="010000"/>
        </w:rPr>
      </w:pPr>
      <w:r>
        <w:rPr>
          <w:rFonts w:ascii="Arial" w:cs="Arial" w:eastAsia="Arial" w:hAnsi="Arial"/>
          <w:sz w:val="21"/>
          <w:szCs w:val="21"/>
          <w:color w:val="auto"/>
        </w:rPr>
        <w:t xml:space="preserve">So long as the New Investor has the right to appoint a Director pursuant to </w:t>
      </w:r>
      <w:r>
        <w:rPr>
          <w:rFonts w:ascii="Arial" w:cs="Arial" w:eastAsia="Arial" w:hAnsi="Arial"/>
          <w:sz w:val="21"/>
          <w:szCs w:val="21"/>
          <w:u w:val="single" w:color="auto"/>
          <w:color w:val="auto"/>
        </w:rPr>
        <w:t>Section 2.01</w:t>
      </w:r>
      <w:r>
        <w:rPr>
          <w:rFonts w:ascii="Arial" w:cs="Arial" w:eastAsia="Arial" w:hAnsi="Arial"/>
          <w:sz w:val="21"/>
          <w:szCs w:val="21"/>
          <w:color w:val="auto"/>
        </w:rPr>
        <w:t>, the New Investor shall have the right to designate one additional representative (the “</w:t>
      </w:r>
      <w:r>
        <w:rPr>
          <w:rFonts w:ascii="Arial" w:cs="Arial" w:eastAsia="Arial" w:hAnsi="Arial"/>
          <w:sz w:val="21"/>
          <w:szCs w:val="21"/>
          <w:u w:val="single" w:color="auto"/>
          <w:color w:val="auto"/>
        </w:rPr>
        <w:t>New Investor Board Observer</w:t>
      </w:r>
      <w:r>
        <w:rPr>
          <w:rFonts w:ascii="Arial" w:cs="Arial" w:eastAsia="Arial" w:hAnsi="Arial"/>
          <w:sz w:val="21"/>
          <w:szCs w:val="21"/>
          <w:color w:val="auto"/>
        </w:rPr>
        <w:t xml:space="preserve">”) who shall be entitled to attend each meeting of the Company Board and any committee of the Company Board and, upon request, to receive the same documentation (including agenda, minutes, committee reports and any other documentation) for such meeting as are given to the Directors who are members of the Company Board or such committee,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New Investor Board Observer shall have no voting rights with respect to actions taken or elected not to be taken by the Company Board or any committee of the Company Board. The New Investor Board Observer shall be subject to the same confidentiality obligations as the New Investor Designated Directors. The initial New Investor Board Observer as of the date hereof is identified on </w:t>
      </w:r>
      <w:r>
        <w:rPr>
          <w:rFonts w:ascii="Arial" w:cs="Arial" w:eastAsia="Arial" w:hAnsi="Arial"/>
          <w:sz w:val="21"/>
          <w:szCs w:val="21"/>
          <w:u w:val="single" w:color="auto"/>
          <w:color w:val="auto"/>
        </w:rPr>
        <w:t>Schedule II</w:t>
      </w:r>
      <w:r>
        <w:rPr>
          <w:rFonts w:ascii="Arial" w:cs="Arial" w:eastAsia="Arial" w:hAnsi="Arial"/>
          <w:sz w:val="21"/>
          <w:szCs w:val="21"/>
          <w:color w:val="auto"/>
        </w:rPr>
        <w:t>.</w:t>
      </w:r>
    </w:p>
    <w:p>
      <w:pPr>
        <w:spacing w:after="0" w:line="21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010000"/>
        </w:rPr>
        <w:t xml:space="preserve">Section 2.03. </w:t>
      </w:r>
      <w:r>
        <w:rPr>
          <w:rFonts w:ascii="Arial" w:cs="Arial" w:eastAsia="Arial" w:hAnsi="Arial"/>
          <w:sz w:val="19"/>
          <w:szCs w:val="19"/>
          <w:u w:val="single" w:color="auto"/>
          <w:color w:val="000000"/>
        </w:rPr>
        <w:t>Meetings of the Company Board</w:t>
      </w:r>
      <w:r>
        <w:rPr>
          <w:rFonts w:ascii="Arial" w:cs="Arial" w:eastAsia="Arial" w:hAnsi="Arial"/>
          <w:sz w:val="19"/>
          <w:szCs w:val="19"/>
          <w:color w:val="000000"/>
        </w:rPr>
        <w:t>. The Company Board shall hold meetings at such times and at</w:t>
      </w:r>
      <w:r>
        <w:rPr>
          <w:rFonts w:ascii="Arial" w:cs="Arial" w:eastAsia="Arial" w:hAnsi="Arial"/>
          <w:sz w:val="19"/>
          <w:szCs w:val="19"/>
          <w:color w:val="010000"/>
        </w:rPr>
        <w:t xml:space="preserve"> </w:t>
      </w:r>
      <w:r>
        <w:rPr>
          <w:rFonts w:ascii="Arial" w:cs="Arial" w:eastAsia="Arial" w:hAnsi="Arial"/>
          <w:sz w:val="19"/>
          <w:szCs w:val="19"/>
          <w:color w:val="000000"/>
        </w:rPr>
        <w:t xml:space="preserve">such places as shall from time to time be determined by the Chairperson, and shall be called on at least five business days’ notice to each Director; </w:t>
      </w:r>
      <w:r>
        <w:rPr>
          <w:rFonts w:ascii="Arial" w:cs="Arial" w:eastAsia="Arial" w:hAnsi="Arial"/>
          <w:sz w:val="19"/>
          <w:szCs w:val="19"/>
          <w:u w:val="single" w:color="auto"/>
          <w:color w:val="000000"/>
        </w:rPr>
        <w:t>provided</w:t>
      </w:r>
      <w:r>
        <w:rPr>
          <w:rFonts w:ascii="Arial" w:cs="Arial" w:eastAsia="Arial" w:hAnsi="Arial"/>
          <w:sz w:val="19"/>
          <w:szCs w:val="19"/>
          <w:color w:val="000000"/>
        </w:rPr>
        <w:t>, that (a) the Company Board shall hold a meeting at least once per calendar quarter and (b) a meeting of the Company Board shall be called by the Chairperson at the request of any Director. Notice of any meeting of the Company Board may be delivered to each Director personally in writing, by mail, by email or by any other means of written communication reasonably calculated to give notice. Notice of a meeting of the Company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ind w:left="1300"/>
        <w:spacing w:after="0"/>
        <w:tabs>
          <w:tab w:leader="none" w:pos="2960" w:val="left"/>
        </w:tabs>
        <w:rPr>
          <w:sz w:val="20"/>
          <w:szCs w:val="20"/>
          <w:color w:val="auto"/>
        </w:rPr>
      </w:pPr>
      <w:r>
        <w:rPr>
          <w:rFonts w:ascii="Arial" w:cs="Arial" w:eastAsia="Arial" w:hAnsi="Arial"/>
          <w:sz w:val="22"/>
          <w:szCs w:val="22"/>
          <w:color w:val="010000"/>
        </w:rPr>
        <w:t>Section 2.04.</w:t>
      </w:r>
      <w:r>
        <w:rPr>
          <w:sz w:val="20"/>
          <w:szCs w:val="20"/>
          <w:color w:val="auto"/>
        </w:rPr>
        <w:tab/>
      </w:r>
      <w:r>
        <w:rPr>
          <w:rFonts w:ascii="Arial" w:cs="Arial" w:eastAsia="Arial" w:hAnsi="Arial"/>
          <w:sz w:val="19"/>
          <w:szCs w:val="19"/>
          <w:u w:val="single" w:color="auto"/>
          <w:color w:val="auto"/>
        </w:rPr>
        <w:t>Quorum; Acts of the Company Board</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46" w:lineRule="exact"/>
        <w:tabs>
          <w:tab w:leader="none" w:pos="2278"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 xml:space="preserve">At all duly called meetings of the Company Board (or a committee thereof), a majority of all of the Directors (including at least one New Investor Designated Director, subject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shall constitute a quorum for the transaction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of the New Investor Designated Directors fail to attend at least two attempted meetings (including special meetings) which are called consecutively and without overlapping the notice periods required by this Agreement, then at the next attempted meeting only, the presence of all of the Existing Shareholder Designated Directors in person or by written proxy may constitute a quorum for the transaction of business for purposes of considering only those matters that were included on the agenda for the two attempted meetings immediately preceding such meeting. For purposes of this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an “attempted meeting” means a meeting duly called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for which a quorum was not present. Directors may participate in any meeting of the Company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agreed by the Directors and subject to applicable Law, at least one meeting of the Company Board per year will be held in</w:t>
      </w:r>
      <w:r>
        <w:rPr>
          <w:rFonts w:ascii="MS PGothic" w:cs="MS PGothic" w:eastAsia="MS PGothic" w:hAnsi="MS PGothic"/>
          <w:sz w:val="19"/>
          <w:szCs w:val="19"/>
          <w:color w:val="auto"/>
        </w:rPr>
        <w:t>‑</w:t>
      </w:r>
      <w:r>
        <w:rPr>
          <w:rFonts w:ascii="Arial" w:cs="Arial" w:eastAsia="Arial" w:hAnsi="Arial"/>
          <w:sz w:val="19"/>
          <w:szCs w:val="19"/>
          <w:color w:val="auto"/>
        </w:rPr>
        <w:t xml:space="preserve">person at the Company’s principal executive office. Each Director is expected to use reasonable best efforts to attend each meeting of the Company Board. As used in this Agreement, the phrase “all of the Directors” means, with respect to the Company Board, the entire Company Board then in office (and does not include any vacancies on the Company Board) and, with respect to any committee of the Company, all of the Directors then comprising the members of such committee in accordance with </w:t>
      </w:r>
      <w:r>
        <w:rPr>
          <w:rFonts w:ascii="Arial" w:cs="Arial" w:eastAsia="Arial" w:hAnsi="Arial"/>
          <w:sz w:val="19"/>
          <w:szCs w:val="19"/>
          <w:u w:val="single" w:color="auto"/>
          <w:color w:val="auto"/>
        </w:rPr>
        <w:t>Section 2.02(a)</w:t>
      </w:r>
      <w:r>
        <w:rPr>
          <w:rFonts w:ascii="Arial" w:cs="Arial" w:eastAsia="Arial" w:hAnsi="Arial"/>
          <w:sz w:val="19"/>
          <w:szCs w:val="19"/>
          <w:color w:val="auto"/>
        </w:rPr>
        <w:t>.</w:t>
      </w:r>
    </w:p>
    <w:p>
      <w:pPr>
        <w:spacing w:after="0" w:line="200" w:lineRule="exact"/>
        <w:rPr>
          <w:rFonts w:ascii="Arial" w:cs="Arial" w:eastAsia="Arial" w:hAnsi="Arial"/>
          <w:sz w:val="19"/>
          <w:szCs w:val="19"/>
          <w:color w:val="010000"/>
        </w:rPr>
      </w:pPr>
    </w:p>
    <w:p>
      <w:pPr>
        <w:spacing w:after="0" w:line="241" w:lineRule="exact"/>
        <w:rPr>
          <w:rFonts w:ascii="Arial" w:cs="Arial" w:eastAsia="Arial" w:hAnsi="Arial"/>
          <w:sz w:val="19"/>
          <w:szCs w:val="19"/>
          <w:color w:val="010000"/>
        </w:rPr>
      </w:pPr>
    </w:p>
    <w:p>
      <w:pPr>
        <w:jc w:val="both"/>
        <w:ind w:firstLine="1304"/>
        <w:spacing w:after="0" w:line="238" w:lineRule="auto"/>
        <w:tabs>
          <w:tab w:leader="none" w:pos="2263" w:val="left"/>
        </w:tabs>
        <w:numPr>
          <w:ilvl w:val="0"/>
          <w:numId w:val="195"/>
        </w:numPr>
        <w:rPr>
          <w:rFonts w:ascii="Arial" w:cs="Arial" w:eastAsia="Arial" w:hAnsi="Arial"/>
          <w:sz w:val="22"/>
          <w:szCs w:val="22"/>
          <w:color w:val="010000"/>
        </w:rPr>
      </w:pPr>
      <w:r>
        <w:rPr>
          <w:rFonts w:ascii="Arial" w:cs="Arial" w:eastAsia="Arial" w:hAnsi="Arial"/>
          <w:sz w:val="22"/>
          <w:szCs w:val="22"/>
          <w:color w:val="auto"/>
        </w:rPr>
        <w:t xml:space="preserve">If a quorum shall not be present at any meeting of the Company Board (or a committee thereof), the Directors present thereat may adjourn the meeting from time to time, without notice other than announcement at the meeting, until a quorum shall be present;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notice shall be required to be given as to any reconvened meeting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11" w:lineRule="exact"/>
        <w:rPr>
          <w:rFonts w:ascii="Arial" w:cs="Arial" w:eastAsia="Arial" w:hAnsi="Arial"/>
          <w:sz w:val="22"/>
          <w:szCs w:val="22"/>
          <w:color w:val="010000"/>
        </w:rPr>
      </w:pPr>
    </w:p>
    <w:p>
      <w:pPr>
        <w:jc w:val="both"/>
        <w:ind w:firstLine="1304"/>
        <w:spacing w:after="0" w:line="279" w:lineRule="auto"/>
        <w:tabs>
          <w:tab w:leader="none" w:pos="2103" w:val="left"/>
        </w:tabs>
        <w:numPr>
          <w:ilvl w:val="0"/>
          <w:numId w:val="195"/>
        </w:numPr>
        <w:rPr>
          <w:rFonts w:ascii="Arial" w:cs="Arial" w:eastAsia="Arial" w:hAnsi="Arial"/>
          <w:sz w:val="19"/>
          <w:szCs w:val="19"/>
          <w:color w:val="010000"/>
        </w:rPr>
      </w:pPr>
      <w:r>
        <w:rPr>
          <w:rFonts w:ascii="Arial" w:cs="Arial" w:eastAsia="Arial" w:hAnsi="Arial"/>
          <w:sz w:val="19"/>
          <w:szCs w:val="19"/>
          <w:color w:val="auto"/>
        </w:rPr>
        <w:t xml:space="preserve">Each Director shall be entitled to one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New Investor Designated Director shall be entitled to vote on behalf of another New Investor Designated Director if such other New Investor Designated Director is not present at a meeting of the Company Board. No action shall be taken by the Company Board (or a committee thereof) without the affirmative vote of a majority of the Directors present in person or by proxy at any meeting of the Company Board at which a quorum is present;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taking by the Company Board or the Company or any of its Subsidiaries of any of the actions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shall also require the affirmative prior written consent of the New Investor and BHL.</w:t>
      </w:r>
    </w:p>
    <w:p>
      <w:pPr>
        <w:spacing w:after="0" w:line="177" w:lineRule="exact"/>
        <w:rPr>
          <w:rFonts w:ascii="Arial" w:cs="Arial" w:eastAsia="Arial" w:hAnsi="Arial"/>
          <w:sz w:val="19"/>
          <w:szCs w:val="19"/>
          <w:color w:val="010000"/>
        </w:rPr>
      </w:pPr>
    </w:p>
    <w:p>
      <w:pPr>
        <w:jc w:val="both"/>
        <w:ind w:firstLine="1304"/>
        <w:spacing w:after="0"/>
        <w:tabs>
          <w:tab w:leader="none" w:pos="2452" w:val="left"/>
        </w:tabs>
        <w:numPr>
          <w:ilvl w:val="0"/>
          <w:numId w:val="195"/>
        </w:numPr>
        <w:rPr>
          <w:rFonts w:ascii="Arial" w:cs="Arial" w:eastAsia="Arial" w:hAnsi="Arial"/>
          <w:sz w:val="22"/>
          <w:szCs w:val="22"/>
          <w:color w:val="010000"/>
        </w:rPr>
      </w:pPr>
      <w:r>
        <w:rPr>
          <w:rFonts w:ascii="Arial" w:cs="Arial" w:eastAsia="Arial" w:hAnsi="Arial"/>
          <w:sz w:val="22"/>
          <w:szCs w:val="22"/>
          <w:color w:val="auto"/>
        </w:rPr>
        <w:t>Any Director shall have the right to appoint any other Director as its proxy and attorney-in-fact (including for purposes of determining quorum), with full power of substitution and resubstitution, to vote or act by written consent.</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Section 2.05. </w:t>
      </w:r>
      <w:r>
        <w:rPr>
          <w:rFonts w:ascii="Arial" w:cs="Arial" w:eastAsia="Arial" w:hAnsi="Arial"/>
          <w:sz w:val="22"/>
          <w:szCs w:val="22"/>
          <w:u w:val="single" w:color="auto"/>
          <w:color w:val="000000"/>
        </w:rPr>
        <w:t>Action by Written Consent</w:t>
      </w:r>
      <w:r>
        <w:rPr>
          <w:rFonts w:ascii="Arial" w:cs="Arial" w:eastAsia="Arial" w:hAnsi="Arial"/>
          <w:sz w:val="22"/>
          <w:szCs w:val="22"/>
          <w:color w:val="000000"/>
        </w:rPr>
        <w:t>. Any action required or permitted to be taken at a meeting of the</w:t>
      </w:r>
      <w:r>
        <w:rPr>
          <w:rFonts w:ascii="Arial" w:cs="Arial" w:eastAsia="Arial" w:hAnsi="Arial"/>
          <w:sz w:val="22"/>
          <w:szCs w:val="22"/>
          <w:color w:val="010000"/>
        </w:rPr>
        <w:t xml:space="preserve"> </w:t>
      </w:r>
      <w:r>
        <w:rPr>
          <w:rFonts w:ascii="Arial" w:cs="Arial" w:eastAsia="Arial" w:hAnsi="Arial"/>
          <w:sz w:val="22"/>
          <w:szCs w:val="22"/>
          <w:color w:val="000000"/>
        </w:rPr>
        <w:t>Company Board (or a committee thereof) may be taken without a meeting and without a vote, if a consent or consents in writing (including by e-mail) setting forth the action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spacing w:after="0" w:line="250" w:lineRule="auto"/>
        <w:rPr>
          <w:sz w:val="20"/>
          <w:szCs w:val="20"/>
          <w:color w:val="auto"/>
        </w:rPr>
      </w:pPr>
      <w:r>
        <w:rPr>
          <w:rFonts w:ascii="Arial" w:cs="Arial" w:eastAsia="Arial" w:hAnsi="Arial"/>
          <w:sz w:val="22"/>
          <w:szCs w:val="22"/>
          <w:color w:val="auto"/>
        </w:rPr>
        <w:t>so taken shall be given by all of the Directors. A copy of any action taken by written consent shall be promptly furnished to each Director.</w:t>
      </w:r>
    </w:p>
    <w:p>
      <w:pPr>
        <w:spacing w:after="0" w:line="202" w:lineRule="exact"/>
        <w:rPr>
          <w:sz w:val="20"/>
          <w:szCs w:val="20"/>
          <w:color w:val="auto"/>
        </w:rPr>
      </w:pPr>
    </w:p>
    <w:p>
      <w:pPr>
        <w:ind w:left="1300"/>
        <w:spacing w:after="0"/>
        <w:tabs>
          <w:tab w:leader="none" w:pos="3480" w:val="left"/>
        </w:tabs>
        <w:rPr>
          <w:sz w:val="20"/>
          <w:szCs w:val="20"/>
          <w:color w:val="auto"/>
        </w:rPr>
      </w:pPr>
      <w:r>
        <w:rPr>
          <w:rFonts w:ascii="Arial" w:cs="Arial" w:eastAsia="Arial" w:hAnsi="Arial"/>
          <w:sz w:val="22"/>
          <w:szCs w:val="22"/>
          <w:color w:val="010000"/>
        </w:rPr>
        <w:t>Section 2.06.</w:t>
      </w:r>
      <w:r>
        <w:rPr>
          <w:sz w:val="20"/>
          <w:szCs w:val="20"/>
          <w:color w:val="auto"/>
        </w:rPr>
        <w:tab/>
      </w:r>
      <w:r>
        <w:rPr>
          <w:rFonts w:ascii="Arial" w:cs="Arial" w:eastAsia="Arial" w:hAnsi="Arial"/>
          <w:sz w:val="21"/>
          <w:szCs w:val="21"/>
          <w:u w:val="single" w:color="auto"/>
          <w:color w:val="auto"/>
        </w:rPr>
        <w:t>Conflicts and Competitively Sensitive Information</w:t>
      </w:r>
      <w:r>
        <w:rPr>
          <w:rFonts w:ascii="Arial" w:cs="Arial" w:eastAsia="Arial" w:hAnsi="Arial"/>
          <w:sz w:val="21"/>
          <w:szCs w:val="21"/>
          <w:color w:val="auto"/>
        </w:rPr>
        <w:t>. Notwithstanding anything in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to the contrary:</w:t>
      </w:r>
    </w:p>
    <w:p>
      <w:pPr>
        <w:spacing w:after="0" w:line="215" w:lineRule="exact"/>
        <w:rPr>
          <w:sz w:val="20"/>
          <w:szCs w:val="20"/>
          <w:color w:val="auto"/>
        </w:rPr>
      </w:pPr>
    </w:p>
    <w:p>
      <w:pPr>
        <w:jc w:val="both"/>
        <w:ind w:firstLine="1304"/>
        <w:spacing w:after="0" w:line="282" w:lineRule="auto"/>
        <w:tabs>
          <w:tab w:leader="none" w:pos="2143" w:val="left"/>
        </w:tabs>
        <w:numPr>
          <w:ilvl w:val="1"/>
          <w:numId w:val="196"/>
        </w:numPr>
        <w:rPr>
          <w:rFonts w:ascii="Arial" w:cs="Arial" w:eastAsia="Arial" w:hAnsi="Arial"/>
          <w:sz w:val="19"/>
          <w:szCs w:val="19"/>
          <w:color w:val="010000"/>
        </w:rPr>
      </w:pPr>
      <w:r>
        <w:rPr>
          <w:rFonts w:ascii="Arial" w:cs="Arial" w:eastAsia="Arial" w:hAnsi="Arial"/>
          <w:sz w:val="19"/>
          <w:szCs w:val="19"/>
          <w:color w:val="auto"/>
        </w:rPr>
        <w:t>each Existing Shareholder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any Existing Shareholder or any of its Affiliates and (ii) not be entitled to receive, and shall not receive, competitively sensitive information from the Company or any of its Subsidiaries with respect to any business in which any Existing Shareholder or any of its Affiliates compete;</w:t>
      </w:r>
    </w:p>
    <w:p>
      <w:pPr>
        <w:spacing w:after="0" w:line="174" w:lineRule="exact"/>
        <w:rPr>
          <w:rFonts w:ascii="Arial" w:cs="Arial" w:eastAsia="Arial" w:hAnsi="Arial"/>
          <w:sz w:val="19"/>
          <w:szCs w:val="19"/>
          <w:color w:val="010000"/>
        </w:rPr>
      </w:pPr>
    </w:p>
    <w:p>
      <w:pPr>
        <w:jc w:val="both"/>
        <w:ind w:firstLine="1304"/>
        <w:spacing w:after="0" w:line="273" w:lineRule="auto"/>
        <w:tabs>
          <w:tab w:leader="none" w:pos="2209" w:val="left"/>
        </w:tabs>
        <w:numPr>
          <w:ilvl w:val="1"/>
          <w:numId w:val="196"/>
        </w:numPr>
        <w:rPr>
          <w:rFonts w:ascii="Arial" w:cs="Arial" w:eastAsia="Arial" w:hAnsi="Arial"/>
          <w:sz w:val="19"/>
          <w:szCs w:val="19"/>
          <w:color w:val="010000"/>
        </w:rPr>
      </w:pPr>
      <w:r>
        <w:rPr>
          <w:rFonts w:ascii="Arial" w:cs="Arial" w:eastAsia="Arial" w:hAnsi="Arial"/>
          <w:sz w:val="19"/>
          <w:szCs w:val="19"/>
          <w:color w:val="auto"/>
        </w:rPr>
        <w:t>each New Investor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the New Investor or the GEPIF Fund Group and</w:t>
      </w:r>
    </w:p>
    <w:p>
      <w:pPr>
        <w:spacing w:after="0" w:line="1" w:lineRule="exact"/>
        <w:rPr>
          <w:rFonts w:ascii="Arial" w:cs="Arial" w:eastAsia="Arial" w:hAnsi="Arial"/>
          <w:sz w:val="19"/>
          <w:szCs w:val="19"/>
          <w:color w:val="010000"/>
        </w:rPr>
      </w:pPr>
    </w:p>
    <w:p>
      <w:pPr>
        <w:ind w:firstLine="8"/>
        <w:spacing w:after="0" w:line="236" w:lineRule="auto"/>
        <w:tabs>
          <w:tab w:leader="none" w:pos="36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not be entitled to receive, and shall not receive, competitively sensitive information from the Company or any of its Subsidiaries with respect to any business in which the New Investor or the GEPIF Fund Group compete; and</w:t>
      </w:r>
    </w:p>
    <w:p>
      <w:pPr>
        <w:spacing w:after="0" w:line="213" w:lineRule="exact"/>
        <w:rPr>
          <w:rFonts w:ascii="Arial" w:cs="Arial" w:eastAsia="Arial" w:hAnsi="Arial"/>
          <w:sz w:val="22"/>
          <w:szCs w:val="22"/>
          <w:color w:val="auto"/>
        </w:rPr>
      </w:pPr>
    </w:p>
    <w:p>
      <w:pPr>
        <w:jc w:val="both"/>
        <w:ind w:firstLine="1304"/>
        <w:spacing w:after="0" w:line="271" w:lineRule="auto"/>
        <w:tabs>
          <w:tab w:leader="none" w:pos="2184" w:val="left"/>
        </w:tabs>
        <w:numPr>
          <w:ilvl w:val="1"/>
          <w:numId w:val="197"/>
        </w:numPr>
        <w:rPr>
          <w:rFonts w:ascii="Arial" w:cs="Arial" w:eastAsia="Arial" w:hAnsi="Arial"/>
          <w:sz w:val="19"/>
          <w:szCs w:val="19"/>
          <w:color w:val="010000"/>
        </w:rPr>
      </w:pPr>
      <w:r>
        <w:rPr>
          <w:rFonts w:ascii="Arial" w:cs="Arial" w:eastAsia="Arial" w:hAnsi="Arial"/>
          <w:sz w:val="19"/>
          <w:szCs w:val="19"/>
          <w:color w:val="auto"/>
        </w:rPr>
        <w:t>the taking of any action, or failure to take any action, by the Company or any of its Subsidiaries in the Company’s or such Subsidiary’s capacity as a party to an Affiliate Transaction in connection with any breach, default, indemnity or other Action or Loss (or alleged breach, default, indemnity or other Action or Loss) by the Company or any of its Subsidiaries against the counterparty to an Affiliate Transaction or by the counterparty to an Affiliate Transaction against the Company or any of its Subsidiaries (including a waiver of the breach or default, notice of breach or default or notice of termination for breach or default in accordance with the terms of the Affiliate Transaction) or enforcement or exercise of, or failure to enforce or exercise, any of the Company’s, any of its Subsidiaries’ or the counterparty’s rights or remedies in respect to such election, notice or consent, or breach, default, indemnity or other Action or Loss (or alleged breach, default, indemnity or other Action or Loss) or otherwise under such Affiliate Transaction or in connection with such Affiliate Transaction shall be conducted solely by or under the direction of the Directors appointed by the Shareholders who are not conflicted by such Affiliate Transaction (the “</w:t>
      </w:r>
      <w:r>
        <w:rPr>
          <w:rFonts w:ascii="Arial" w:cs="Arial" w:eastAsia="Arial" w:hAnsi="Arial"/>
          <w:sz w:val="19"/>
          <w:szCs w:val="19"/>
          <w:u w:val="single" w:color="auto"/>
          <w:color w:val="auto"/>
        </w:rPr>
        <w:t>Non-Conflicted Directors</w:t>
      </w:r>
      <w:r>
        <w:rPr>
          <w:rFonts w:ascii="Arial" w:cs="Arial" w:eastAsia="Arial" w:hAnsi="Arial"/>
          <w:sz w:val="19"/>
          <w:szCs w:val="19"/>
          <w:color w:val="auto"/>
        </w:rPr>
        <w:t xml:space="preserve">”), and neither the Company nor any of its Subsidiaries shall, and the Company Board shall not cause the Company or any of its Subsidiaries to, take or fail to take any actions in respect of any of the foregoing without the consent of the Non-Conflicted Directors. Furthermore, notwithstanding anything to the contrary in this Agreement, the Non-Conflicted Directors shall have the right in connection with the matters contemplated by this </w:t>
      </w:r>
      <w:r>
        <w:rPr>
          <w:rFonts w:ascii="Arial" w:cs="Arial" w:eastAsia="Arial" w:hAnsi="Arial"/>
          <w:sz w:val="19"/>
          <w:szCs w:val="19"/>
          <w:u w:val="single" w:color="auto"/>
          <w:color w:val="auto"/>
        </w:rPr>
        <w:t>Section 2.06(c)</w:t>
      </w:r>
      <w:r>
        <w:rPr>
          <w:rFonts w:ascii="Arial" w:cs="Arial" w:eastAsia="Arial" w:hAnsi="Arial"/>
          <w:sz w:val="19"/>
          <w:szCs w:val="19"/>
          <w:color w:val="auto"/>
        </w:rPr>
        <w:t xml:space="preserve"> to cause to be hired on the Company’s behalf advisors, consultants and other representatives to the Company and the Company shall be responsible for all fees, costs and expenses of any of the foregoing.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ind w:left="1300"/>
        <w:spacing w:after="0"/>
        <w:tabs>
          <w:tab w:leader="none" w:pos="2960" w:val="left"/>
        </w:tabs>
        <w:rPr>
          <w:sz w:val="20"/>
          <w:szCs w:val="20"/>
          <w:color w:val="auto"/>
        </w:rPr>
      </w:pPr>
      <w:r>
        <w:rPr>
          <w:rFonts w:ascii="Arial" w:cs="Arial" w:eastAsia="Arial" w:hAnsi="Arial"/>
          <w:sz w:val="22"/>
          <w:szCs w:val="22"/>
          <w:color w:val="010000"/>
        </w:rPr>
        <w:t>Section 2.07.</w:t>
      </w:r>
      <w:r>
        <w:rPr>
          <w:sz w:val="20"/>
          <w:szCs w:val="20"/>
          <w:color w:val="auto"/>
        </w:rPr>
        <w:tab/>
      </w:r>
      <w:r>
        <w:rPr>
          <w:rFonts w:ascii="Arial" w:cs="Arial" w:eastAsia="Arial" w:hAnsi="Arial"/>
          <w:sz w:val="19"/>
          <w:szCs w:val="19"/>
          <w:u w:val="single" w:color="auto"/>
          <w:color w:val="auto"/>
        </w:rPr>
        <w:t>Company Organizational Documents; Conflicting Agreements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36" w:lineRule="auto"/>
        <w:tabs>
          <w:tab w:leader="none" w:pos="2130" w:val="left"/>
        </w:tabs>
        <w:numPr>
          <w:ilvl w:val="0"/>
          <w:numId w:val="198"/>
        </w:numPr>
        <w:rPr>
          <w:rFonts w:ascii="Arial" w:cs="Arial" w:eastAsia="Arial" w:hAnsi="Arial"/>
          <w:sz w:val="22"/>
          <w:szCs w:val="22"/>
          <w:color w:val="010000"/>
        </w:rPr>
      </w:pPr>
      <w:r>
        <w:rPr>
          <w:rFonts w:ascii="Arial" w:cs="Arial" w:eastAsia="Arial" w:hAnsi="Arial"/>
          <w:sz w:val="22"/>
          <w:szCs w:val="22"/>
          <w:color w:val="auto"/>
        </w:rPr>
        <w:t xml:space="preserve">To the fullest extent permitted by applicable Law and in accordance with </w:t>
      </w:r>
      <w:r>
        <w:rPr>
          <w:rFonts w:ascii="Arial" w:cs="Arial" w:eastAsia="Arial" w:hAnsi="Arial"/>
          <w:sz w:val="22"/>
          <w:szCs w:val="22"/>
          <w:u w:val="single" w:color="auto"/>
          <w:color w:val="auto"/>
        </w:rPr>
        <w:t>Section 1.03</w:t>
      </w:r>
      <w:r>
        <w:rPr>
          <w:rFonts w:ascii="Arial" w:cs="Arial" w:eastAsia="Arial" w:hAnsi="Arial"/>
          <w:sz w:val="22"/>
          <w:szCs w:val="22"/>
          <w:color w:val="auto"/>
        </w:rPr>
        <w:t>, the Shareholders and the Company shall take, or cause to be taken, all necessary action as may be required to cause the Company Organizational Documents and the organizational documents of the Subsidiaries of the Company to be amended, as necessary, so that they do not at any time conflict with any provision of this Agreement and they permit each Shareholder to receive the benefits to which each such Shareholder is entitled under this Agreement.</w:t>
      </w:r>
    </w:p>
    <w:p>
      <w:pPr>
        <w:spacing w:after="0" w:line="214" w:lineRule="exact"/>
        <w:rPr>
          <w:rFonts w:ascii="Arial" w:cs="Arial" w:eastAsia="Arial" w:hAnsi="Arial"/>
          <w:sz w:val="22"/>
          <w:szCs w:val="22"/>
          <w:color w:val="010000"/>
        </w:rPr>
      </w:pPr>
    </w:p>
    <w:p>
      <w:pPr>
        <w:jc w:val="both"/>
        <w:ind w:firstLine="1304"/>
        <w:spacing w:after="0" w:line="236" w:lineRule="auto"/>
        <w:tabs>
          <w:tab w:leader="none" w:pos="2209" w:val="left"/>
        </w:tabs>
        <w:numPr>
          <w:ilvl w:val="0"/>
          <w:numId w:val="198"/>
        </w:numPr>
        <w:rPr>
          <w:rFonts w:ascii="Arial" w:cs="Arial" w:eastAsia="Arial" w:hAnsi="Arial"/>
          <w:sz w:val="22"/>
          <w:szCs w:val="22"/>
          <w:color w:val="010000"/>
        </w:rPr>
      </w:pPr>
      <w:r>
        <w:rPr>
          <w:rFonts w:ascii="Arial" w:cs="Arial" w:eastAsia="Arial" w:hAnsi="Arial"/>
          <w:sz w:val="22"/>
          <w:szCs w:val="22"/>
          <w:color w:val="auto"/>
        </w:rPr>
        <w:t xml:space="preserve">To the fullest extent permitted by applicable Law, in the event of any conflict between this Agreement and the Company Organizational Documents or the organizational documents of any Subsidiary of the Company, this Agreement shall control;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any such case, the Shareholders and the Company shall take, or cause to be taken, all necessary action pursuant to </w:t>
      </w:r>
      <w:r>
        <w:rPr>
          <w:rFonts w:ascii="Arial" w:cs="Arial" w:eastAsia="Arial" w:hAnsi="Arial"/>
          <w:sz w:val="22"/>
          <w:szCs w:val="22"/>
          <w:u w:val="single" w:color="auto"/>
          <w:color w:val="auto"/>
        </w:rPr>
        <w:t>Section 2.07(a)</w:t>
      </w:r>
      <w:r>
        <w:rPr>
          <w:rFonts w:ascii="Arial" w:cs="Arial" w:eastAsia="Arial" w:hAnsi="Arial"/>
          <w:sz w:val="22"/>
          <w:szCs w:val="22"/>
          <w:color w:val="auto"/>
        </w:rPr>
        <w:t xml:space="preserve"> to remove such conflict from the Company Organizational Documents or the organizational documents of the applicable Subsidiary.</w:t>
      </w:r>
    </w:p>
    <w:p>
      <w:pPr>
        <w:spacing w:after="0" w:line="214" w:lineRule="exact"/>
        <w:rPr>
          <w:rFonts w:ascii="Arial" w:cs="Arial" w:eastAsia="Arial" w:hAnsi="Arial"/>
          <w:sz w:val="22"/>
          <w:szCs w:val="22"/>
          <w:color w:val="010000"/>
        </w:rPr>
      </w:pPr>
    </w:p>
    <w:p>
      <w:pPr>
        <w:jc w:val="both"/>
        <w:ind w:right="20" w:firstLine="1304"/>
        <w:spacing w:after="0" w:line="257" w:lineRule="auto"/>
        <w:tabs>
          <w:tab w:leader="none" w:pos="2170" w:val="left"/>
        </w:tabs>
        <w:numPr>
          <w:ilvl w:val="0"/>
          <w:numId w:val="198"/>
        </w:numPr>
        <w:rPr>
          <w:rFonts w:ascii="Arial" w:cs="Arial" w:eastAsia="Arial" w:hAnsi="Arial"/>
          <w:sz w:val="21"/>
          <w:szCs w:val="21"/>
          <w:color w:val="010000"/>
        </w:rPr>
      </w:pPr>
      <w:r>
        <w:rPr>
          <w:rFonts w:ascii="Arial" w:cs="Arial" w:eastAsia="Arial" w:hAnsi="Arial"/>
          <w:sz w:val="21"/>
          <w:szCs w:val="21"/>
          <w:color w:val="auto"/>
        </w:rPr>
        <w:t>The Company shall not adopt, and shall not permit any Subsidiary to adopt, any governance document, including any committee charters and any corporate governance or other similar board or committee policies, or enter into any agreements, contracts or other instruments inconsistent with the provisions of this Agreement.</w:t>
      </w:r>
    </w:p>
    <w:p>
      <w:pPr>
        <w:spacing w:after="0" w:line="196"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2.08.</w:t>
      </w:r>
      <w:r>
        <w:rPr>
          <w:sz w:val="20"/>
          <w:szCs w:val="20"/>
          <w:color w:val="auto"/>
        </w:rPr>
        <w:tab/>
      </w:r>
      <w:r>
        <w:rPr>
          <w:rFonts w:ascii="Arial" w:cs="Arial" w:eastAsia="Arial" w:hAnsi="Arial"/>
          <w:sz w:val="19"/>
          <w:szCs w:val="19"/>
          <w:u w:val="single" w:color="auto"/>
          <w:color w:val="auto"/>
        </w:rPr>
        <w:t>Termination of Governance Rights</w:t>
      </w:r>
      <w:r>
        <w:rPr>
          <w:rFonts w:ascii="Arial" w:cs="Arial" w:eastAsia="Arial" w:hAnsi="Arial"/>
          <w:sz w:val="19"/>
          <w:szCs w:val="19"/>
          <w:color w:val="auto"/>
        </w:rPr>
        <w:t>.</w:t>
      </w:r>
    </w:p>
    <w:p>
      <w:pPr>
        <w:spacing w:after="0" w:line="233" w:lineRule="exact"/>
        <w:rPr>
          <w:sz w:val="20"/>
          <w:szCs w:val="20"/>
          <w:color w:val="auto"/>
        </w:rPr>
      </w:pPr>
    </w:p>
    <w:p>
      <w:pPr>
        <w:ind w:left="2160" w:hanging="856"/>
        <w:spacing w:after="0"/>
        <w:tabs>
          <w:tab w:leader="none" w:pos="2160" w:val="left"/>
        </w:tabs>
        <w:numPr>
          <w:ilvl w:val="1"/>
          <w:numId w:val="199"/>
        </w:numPr>
        <w:rPr>
          <w:rFonts w:ascii="Arial" w:cs="Arial" w:eastAsia="Arial" w:hAnsi="Arial"/>
          <w:sz w:val="19"/>
          <w:szCs w:val="19"/>
          <w:color w:val="010000"/>
        </w:rPr>
      </w:pPr>
      <w:r>
        <w:rPr>
          <w:rFonts w:ascii="Arial" w:cs="Arial" w:eastAsia="Arial" w:hAnsi="Arial"/>
          <w:sz w:val="19"/>
          <w:szCs w:val="19"/>
          <w:color w:val="auto"/>
        </w:rPr>
        <w:t>In the event that the Existing Shareholders (together with their Permitted Transferees) collectively cease</w:t>
      </w:r>
    </w:p>
    <w:p>
      <w:pPr>
        <w:spacing w:after="0" w:line="42" w:lineRule="exact"/>
        <w:rPr>
          <w:rFonts w:ascii="Arial" w:cs="Arial" w:eastAsia="Arial" w:hAnsi="Arial"/>
          <w:sz w:val="19"/>
          <w:szCs w:val="19"/>
          <w:color w:val="010000"/>
        </w:rPr>
      </w:pPr>
    </w:p>
    <w:p>
      <w:pPr>
        <w:jc w:val="both"/>
        <w:spacing w:after="0" w:line="266" w:lineRule="auto"/>
        <w:rPr>
          <w:rFonts w:ascii="Arial" w:cs="Arial" w:eastAsia="Arial" w:hAnsi="Arial"/>
          <w:sz w:val="19"/>
          <w:szCs w:val="19"/>
          <w:color w:val="010000"/>
        </w:rPr>
      </w:pPr>
      <w:r>
        <w:rPr>
          <w:rFonts w:ascii="Arial" w:cs="Arial" w:eastAsia="Arial" w:hAnsi="Arial"/>
          <w:sz w:val="19"/>
          <w:szCs w:val="19"/>
          <w:color w:val="auto"/>
        </w:rPr>
        <w:t xml:space="preserve">to own: (i) an aggregate number of Shares equal to at least 35% of the Shares issued and outstanding on the date of this Agreement, then the Existing Shareholders shall cause one Existing Shareholder Designated Director to resign and notwithstanding </w:t>
      </w:r>
      <w:r>
        <w:rPr>
          <w:rFonts w:ascii="Arial" w:cs="Arial" w:eastAsia="Arial" w:hAnsi="Arial"/>
          <w:sz w:val="19"/>
          <w:szCs w:val="19"/>
          <w:u w:val="single" w:color="auto"/>
          <w:color w:val="auto"/>
        </w:rPr>
        <w:t>Section 2.01(b)</w:t>
      </w:r>
      <w:r>
        <w:rPr>
          <w:rFonts w:ascii="Arial" w:cs="Arial" w:eastAsia="Arial" w:hAnsi="Arial"/>
          <w:sz w:val="19"/>
          <w:szCs w:val="19"/>
          <w:color w:val="auto"/>
        </w:rPr>
        <w:t>, shall lose its designation rights with respect to one Existing Shareholder Designated Director;</w:t>
      </w:r>
    </w:p>
    <w:p>
      <w:pPr>
        <w:spacing w:after="0" w:line="2" w:lineRule="exact"/>
        <w:rPr>
          <w:rFonts w:ascii="Arial" w:cs="Arial" w:eastAsia="Arial" w:hAnsi="Arial"/>
          <w:sz w:val="19"/>
          <w:szCs w:val="19"/>
          <w:color w:val="010000"/>
        </w:rPr>
      </w:pPr>
    </w:p>
    <w:p>
      <w:pPr>
        <w:ind w:left="340" w:hanging="332"/>
        <w:spacing w:after="0"/>
        <w:tabs>
          <w:tab w:leader="none" w:pos="3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an aggregate number of Shares equal to at least 20% of the issued and outstanding shares on the date of this Agreement, then</w:t>
      </w:r>
    </w:p>
    <w:p>
      <w:pPr>
        <w:spacing w:after="0" w:line="24" w:lineRule="exact"/>
        <w:rPr>
          <w:rFonts w:ascii="Arial" w:cs="Arial" w:eastAsia="Arial" w:hAnsi="Arial"/>
          <w:sz w:val="19"/>
          <w:szCs w:val="19"/>
          <w:color w:val="auto"/>
        </w:rPr>
      </w:pPr>
    </w:p>
    <w:p>
      <w:pPr>
        <w:jc w:val="both"/>
        <w:spacing w:after="0" w:line="266" w:lineRule="auto"/>
        <w:rPr>
          <w:rFonts w:ascii="Arial" w:cs="Arial" w:eastAsia="Arial" w:hAnsi="Arial"/>
          <w:sz w:val="19"/>
          <w:szCs w:val="19"/>
          <w:color w:val="auto"/>
        </w:rPr>
      </w:pPr>
      <w:r>
        <w:rPr>
          <w:rFonts w:ascii="Arial" w:cs="Arial" w:eastAsia="Arial" w:hAnsi="Arial"/>
          <w:sz w:val="19"/>
          <w:szCs w:val="19"/>
          <w:color w:val="auto"/>
        </w:rPr>
        <w:t xml:space="preserve">(A) notwithstanding anything to the contrary herein, the taking by the Company Board (or any committee thereof) or the Company or any of its Subsidiaries of any of the actions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(other than clauses (a), (b), (c), (j)(i)(B), (k) and</w:t>
      </w:r>
    </w:p>
    <w:p>
      <w:pPr>
        <w:spacing w:after="0" w:line="1" w:lineRule="exact"/>
        <w:rPr>
          <w:rFonts w:ascii="Arial" w:cs="Arial" w:eastAsia="Arial" w:hAnsi="Arial"/>
          <w:sz w:val="19"/>
          <w:szCs w:val="19"/>
          <w:color w:val="auto"/>
        </w:rPr>
      </w:pPr>
    </w:p>
    <w:p>
      <w:pPr>
        <w:jc w:val="both"/>
        <w:ind w:firstLine="8"/>
        <w:spacing w:after="0" w:line="243" w:lineRule="auto"/>
        <w:tabs>
          <w:tab w:leader="none" w:pos="322"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thereof) shall no longer require the affirmative prior written consent of BHL and (B) the Existing Shareholders shall cause, without duplication of the foregoing clause (i), two Existing Shareholder Designated Directors to resign, and notwithstanding </w:t>
      </w:r>
      <w:r>
        <w:rPr>
          <w:rFonts w:ascii="Arial" w:cs="Arial" w:eastAsia="Arial" w:hAnsi="Arial"/>
          <w:sz w:val="21"/>
          <w:szCs w:val="21"/>
          <w:u w:val="single" w:color="auto"/>
          <w:color w:val="auto"/>
        </w:rPr>
        <w:t>Section 2.01(b)</w:t>
      </w:r>
      <w:r>
        <w:rPr>
          <w:rFonts w:ascii="Arial" w:cs="Arial" w:eastAsia="Arial" w:hAnsi="Arial"/>
          <w:sz w:val="21"/>
          <w:szCs w:val="21"/>
          <w:color w:val="auto"/>
        </w:rPr>
        <w:t xml:space="preserve">, shall lose its designation rights with respect to two Existing Shareholder Designated Directors; and (iii) an aggregate number of Shares equal to at least 10% of the aggregate Shares issued and outstanding on the date of this Agreement, then the Existing Shareholders shall cause, without duplication of the foregoing clauses (i) and (ii), three Existing Shareholder Designated Directors to resign and, notwithstanding </w:t>
      </w:r>
      <w:r>
        <w:rPr>
          <w:rFonts w:ascii="Arial" w:cs="Arial" w:eastAsia="Arial" w:hAnsi="Arial"/>
          <w:sz w:val="21"/>
          <w:szCs w:val="21"/>
          <w:u w:val="single" w:color="auto"/>
          <w:color w:val="auto"/>
        </w:rPr>
        <w:t>Section 2.01(b)</w:t>
      </w:r>
      <w:r>
        <w:rPr>
          <w:rFonts w:ascii="Arial" w:cs="Arial" w:eastAsia="Arial" w:hAnsi="Arial"/>
          <w:sz w:val="21"/>
          <w:szCs w:val="21"/>
          <w:color w:val="auto"/>
        </w:rPr>
        <w:t>, shall lose its designation rights with respect to three Existing Shareholder Designated Directors.</w:t>
      </w:r>
    </w:p>
    <w:p>
      <w:pPr>
        <w:spacing w:after="0" w:line="214" w:lineRule="exact"/>
        <w:rPr>
          <w:rFonts w:ascii="Arial" w:cs="Arial" w:eastAsia="Arial" w:hAnsi="Arial"/>
          <w:sz w:val="21"/>
          <w:szCs w:val="21"/>
          <w:color w:val="auto"/>
        </w:rPr>
      </w:pPr>
    </w:p>
    <w:p>
      <w:pPr>
        <w:jc w:val="both"/>
        <w:ind w:firstLine="1304"/>
        <w:spacing w:after="0" w:line="287" w:lineRule="auto"/>
        <w:tabs>
          <w:tab w:leader="none" w:pos="2398"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 xml:space="preserve">In the event that the New Investor (together with its Permitted Transferees) ceases to own: (i) an aggregate number of Shares equal to at least 25% of the Shares issued and outstanding on the date of this Agreement, then the New Investor shall cause one New Investor Designated Director to resign, and notwithstanding </w:t>
      </w:r>
      <w:r>
        <w:rPr>
          <w:rFonts w:ascii="Arial" w:cs="Arial" w:eastAsia="Arial" w:hAnsi="Arial"/>
          <w:sz w:val="19"/>
          <w:szCs w:val="19"/>
          <w:u w:val="single" w:color="auto"/>
          <w:color w:val="auto"/>
        </w:rPr>
        <w:t>Section 2.01(b)</w:t>
      </w:r>
      <w:r>
        <w:rPr>
          <w:rFonts w:ascii="Arial" w:cs="Arial" w:eastAsia="Arial" w:hAnsi="Arial"/>
          <w:sz w:val="19"/>
          <w:szCs w:val="19"/>
          <w:color w:val="auto"/>
        </w:rPr>
        <w:t>, shall lose its designation rights with respect to one New Investor Designated Director; (ii) an aggregate number of Shares equal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4" w:name="page185"/>
    <w:bookmarkEnd w:id="184"/>
    <w:p>
      <w:pPr>
        <w:jc w:val="both"/>
        <w:spacing w:after="0" w:line="246" w:lineRule="auto"/>
        <w:rPr>
          <w:sz w:val="20"/>
          <w:szCs w:val="20"/>
          <w:color w:val="auto"/>
        </w:rPr>
      </w:pPr>
      <w:r>
        <w:rPr>
          <w:rFonts w:ascii="Arial" w:cs="Arial" w:eastAsia="Arial" w:hAnsi="Arial"/>
          <w:sz w:val="21"/>
          <w:szCs w:val="21"/>
          <w:color w:val="auto"/>
        </w:rPr>
        <w:t xml:space="preserve">to at least 20% of the Shares issued and outstanding on the date of this Agreement, then notwithstanding anything to the contrary herein, the taking by the Company Board (or any committee thereof) or the Company or any of its Subsidiaries of any of the actions set forth on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(other than clauses (a), (b), (c), (j)(i)(B), (k) and (v) thereof) shall no longer require the affirmative prior written consent of the New Investor; and (iii) an aggregate number of Shares equal to at least 10% of the Shares issued and outstanding on the date of this Agreement, then the New Investor shall cause, without duplication of the foregoing clause (i), two New Investor Designated Directors to resign, and notwithstanding </w:t>
      </w:r>
      <w:r>
        <w:rPr>
          <w:rFonts w:ascii="Arial" w:cs="Arial" w:eastAsia="Arial" w:hAnsi="Arial"/>
          <w:sz w:val="21"/>
          <w:szCs w:val="21"/>
          <w:u w:val="single" w:color="auto"/>
          <w:color w:val="auto"/>
        </w:rPr>
        <w:t>Section 2.01(b)</w:t>
      </w:r>
      <w:r>
        <w:rPr>
          <w:rFonts w:ascii="Arial" w:cs="Arial" w:eastAsia="Arial" w:hAnsi="Arial"/>
          <w:sz w:val="21"/>
          <w:szCs w:val="21"/>
          <w:color w:val="auto"/>
        </w:rPr>
        <w:t>, shall lose its designation rights with respect to two New Investor Designated Directors.</w:t>
      </w:r>
    </w:p>
    <w:p>
      <w:pPr>
        <w:spacing w:after="0" w:line="211" w:lineRule="exact"/>
        <w:rPr>
          <w:sz w:val="20"/>
          <w:szCs w:val="20"/>
          <w:color w:val="auto"/>
        </w:rPr>
      </w:pPr>
    </w:p>
    <w:p>
      <w:pPr>
        <w:jc w:val="both"/>
        <w:ind w:firstLine="1304"/>
        <w:spacing w:after="0" w:line="246" w:lineRule="auto"/>
        <w:tabs>
          <w:tab w:leader="none" w:pos="2346" w:val="left"/>
        </w:tabs>
        <w:numPr>
          <w:ilvl w:val="0"/>
          <w:numId w:val="202"/>
        </w:numPr>
        <w:rPr>
          <w:rFonts w:ascii="Arial" w:cs="Arial" w:eastAsia="Arial" w:hAnsi="Arial"/>
          <w:sz w:val="21"/>
          <w:szCs w:val="21"/>
          <w:color w:val="010000"/>
        </w:rPr>
      </w:pPr>
      <w:r>
        <w:rPr>
          <w:rFonts w:ascii="Arial" w:cs="Arial" w:eastAsia="Arial" w:hAnsi="Arial"/>
          <w:sz w:val="21"/>
          <w:szCs w:val="21"/>
          <w:color w:val="auto"/>
        </w:rPr>
        <w:t xml:space="preserve">Upon any resignation by an Existing Shareholder Designated Director or New Investor Designated Director pursuant to </w:t>
      </w:r>
      <w:r>
        <w:rPr>
          <w:rFonts w:ascii="Arial" w:cs="Arial" w:eastAsia="Arial" w:hAnsi="Arial"/>
          <w:sz w:val="21"/>
          <w:szCs w:val="21"/>
          <w:u w:val="single" w:color="auto"/>
          <w:color w:val="auto"/>
        </w:rPr>
        <w:t>Section 2.08(a)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2.08(b)</w:t>
      </w:r>
      <w:r>
        <w:rPr>
          <w:rFonts w:ascii="Arial" w:cs="Arial" w:eastAsia="Arial" w:hAnsi="Arial"/>
          <w:sz w:val="21"/>
          <w:szCs w:val="21"/>
          <w:color w:val="auto"/>
        </w:rPr>
        <w:t xml:space="preserve">, as applicable, the Company Board shall continue to consist of five Directors (or such other number as the New Investor and the Existing Shareholders otherwise agree in writing, subject to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and any vacancies resulting therefrom shall be filled, notwithstanding anything to the contrary in </w:t>
      </w:r>
      <w:r>
        <w:rPr>
          <w:rFonts w:ascii="Arial" w:cs="Arial" w:eastAsia="Arial" w:hAnsi="Arial"/>
          <w:sz w:val="21"/>
          <w:szCs w:val="21"/>
          <w:u w:val="single" w:color="auto"/>
          <w:color w:val="auto"/>
        </w:rPr>
        <w:t>Section 2.01(e)</w:t>
      </w:r>
      <w:r>
        <w:rPr>
          <w:rFonts w:ascii="Arial" w:cs="Arial" w:eastAsia="Arial" w:hAnsi="Arial"/>
          <w:sz w:val="21"/>
          <w:szCs w:val="21"/>
          <w:color w:val="auto"/>
        </w:rPr>
        <w:t>, solely and exclusively by the affirmative vote of a plurality of the issued and outstanding Common Shares (other than those being transferred by the Transferring Shareholder or its Permitted Transferees) who are entitled to vote thereon and otherwise in accordance with the Company Organizational Documents.</w:t>
      </w:r>
    </w:p>
    <w:p>
      <w:pPr>
        <w:spacing w:after="0" w:line="211"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010000"/>
        </w:rPr>
        <w:t xml:space="preserve">Section 2.09. </w:t>
      </w:r>
      <w:r>
        <w:rPr>
          <w:rFonts w:ascii="Arial" w:cs="Arial" w:eastAsia="Arial" w:hAnsi="Arial"/>
          <w:sz w:val="21"/>
          <w:szCs w:val="21"/>
          <w:u w:val="single" w:color="auto"/>
          <w:color w:val="000000"/>
        </w:rPr>
        <w:t>Directors’ and Officers’ Insurance</w:t>
      </w:r>
      <w:r>
        <w:rPr>
          <w:rFonts w:ascii="Arial" w:cs="Arial" w:eastAsia="Arial" w:hAnsi="Arial"/>
          <w:sz w:val="21"/>
          <w:szCs w:val="21"/>
          <w:color w:val="000000"/>
        </w:rPr>
        <w:t>. The Company shall purchase and shall use its</w:t>
      </w:r>
      <w:r>
        <w:rPr>
          <w:rFonts w:ascii="Arial" w:cs="Arial" w:eastAsia="Arial" w:hAnsi="Arial"/>
          <w:sz w:val="21"/>
          <w:szCs w:val="21"/>
          <w:color w:val="010000"/>
        </w:rPr>
        <w:t xml:space="preserve"> </w:t>
      </w:r>
      <w:r>
        <w:rPr>
          <w:rFonts w:ascii="Arial" w:cs="Arial" w:eastAsia="Arial" w:hAnsi="Arial"/>
          <w:sz w:val="21"/>
          <w:szCs w:val="21"/>
          <w:color w:val="000000"/>
        </w:rPr>
        <w:t>commercially reasonable efforts to maintain director and officer liability insurance in such amounts and such limits as reasonably determined by the Company Board on behalf of any person who is or was a Director against any liability asserted against such Director or incurred by such Director in any capacity as such, whether or not the Company would have the power to indemnify such Director against that liability under any of the Company Organizational Documents.</w:t>
      </w:r>
    </w:p>
    <w:p>
      <w:pPr>
        <w:spacing w:after="0" w:line="20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Section 2.10. </w:t>
      </w:r>
      <w:r>
        <w:rPr>
          <w:rFonts w:ascii="Arial" w:cs="Arial" w:eastAsia="Arial" w:hAnsi="Arial"/>
          <w:sz w:val="22"/>
          <w:szCs w:val="22"/>
          <w:u w:val="single" w:color="auto"/>
          <w:color w:val="000000"/>
        </w:rPr>
        <w:t>No Liability for Directors</w:t>
      </w:r>
      <w:r>
        <w:rPr>
          <w:rFonts w:ascii="Arial" w:cs="Arial" w:eastAsia="Arial" w:hAnsi="Arial"/>
          <w:sz w:val="22"/>
          <w:szCs w:val="22"/>
          <w:color w:val="000000"/>
        </w:rPr>
        <w:t>. No Shareholder, nor any Affiliate or Affiliated Fund of such</w:t>
      </w:r>
      <w:r>
        <w:rPr>
          <w:rFonts w:ascii="Arial" w:cs="Arial" w:eastAsia="Arial" w:hAnsi="Arial"/>
          <w:sz w:val="22"/>
          <w:szCs w:val="22"/>
          <w:color w:val="010000"/>
        </w:rPr>
        <w:t xml:space="preserve"> </w:t>
      </w:r>
      <w:r>
        <w:rPr>
          <w:rFonts w:ascii="Arial" w:cs="Arial" w:eastAsia="Arial" w:hAnsi="Arial"/>
          <w:sz w:val="22"/>
          <w:szCs w:val="22"/>
          <w:color w:val="000000"/>
        </w:rPr>
        <w:t>Shareholder, shall have any liability as a result of designating a Director in accordance with the provisions of this Agreement or for any act or omission by such Director in his or her capacity as a Director.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III</w:t>
      </w:r>
    </w:p>
    <w:p>
      <w:pPr>
        <w:spacing w:after="0" w:line="233" w:lineRule="exact"/>
        <w:rPr>
          <w:sz w:val="20"/>
          <w:szCs w:val="20"/>
          <w:color w:val="auto"/>
        </w:rPr>
      </w:pPr>
    </w:p>
    <w:p>
      <w:pPr>
        <w:ind w:left="2900"/>
        <w:spacing w:after="0"/>
        <w:rPr>
          <w:sz w:val="20"/>
          <w:szCs w:val="20"/>
          <w:color w:val="auto"/>
        </w:rPr>
      </w:pPr>
      <w:r>
        <w:rPr>
          <w:rFonts w:ascii="Arial" w:cs="Arial" w:eastAsia="Arial" w:hAnsi="Arial"/>
          <w:sz w:val="22"/>
          <w:szCs w:val="22"/>
          <w:u w:val="single" w:color="auto"/>
          <w:color w:val="auto"/>
        </w:rPr>
        <w:t>TRANSFERABILITY OF SHARES; PREEMPTIVE RIGHTS</w:t>
      </w:r>
    </w:p>
    <w:p>
      <w:pPr>
        <w:spacing w:after="0" w:line="233"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3.01.</w:t>
      </w:r>
      <w:r>
        <w:rPr>
          <w:sz w:val="20"/>
          <w:szCs w:val="20"/>
          <w:color w:val="auto"/>
        </w:rPr>
        <w:tab/>
      </w:r>
      <w:r>
        <w:rPr>
          <w:rFonts w:ascii="Arial" w:cs="Arial" w:eastAsia="Arial" w:hAnsi="Arial"/>
          <w:sz w:val="19"/>
          <w:szCs w:val="19"/>
          <w:u w:val="single" w:color="auto"/>
          <w:color w:val="auto"/>
        </w:rPr>
        <w:t>General Restrictions on Transfer of Shares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2" w:lineRule="auto"/>
        <w:tabs>
          <w:tab w:leader="none" w:pos="2103" w:val="left"/>
        </w:tabs>
        <w:numPr>
          <w:ilvl w:val="0"/>
          <w:numId w:val="203"/>
        </w:numPr>
        <w:rPr>
          <w:rFonts w:ascii="Arial" w:cs="Arial" w:eastAsia="Arial" w:hAnsi="Arial"/>
          <w:sz w:val="21"/>
          <w:szCs w:val="21"/>
          <w:color w:val="010000"/>
        </w:rPr>
      </w:pPr>
      <w:r>
        <w:rPr>
          <w:rFonts w:ascii="Arial" w:cs="Arial" w:eastAsia="Arial" w:hAnsi="Arial"/>
          <w:sz w:val="21"/>
          <w:szCs w:val="21"/>
          <w:u w:val="single" w:color="auto"/>
          <w:color w:val="auto"/>
        </w:rPr>
        <w:t>Transfers Generally</w:t>
      </w:r>
      <w:r>
        <w:rPr>
          <w:rFonts w:ascii="Arial" w:cs="Arial" w:eastAsia="Arial" w:hAnsi="Arial"/>
          <w:sz w:val="21"/>
          <w:szCs w:val="21"/>
          <w:color w:val="auto"/>
        </w:rPr>
        <w:t xml:space="preserve">. No Shares may be Transferred unless such Transfer is made in accordance with the requirements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as may be applicable, and any purported Transfer in violation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be null and void ab initio. The Company shall not record upon its books any purported Transfer made in violation of this </w:t>
      </w:r>
      <w:r>
        <w:rPr>
          <w:rFonts w:ascii="Arial" w:cs="Arial" w:eastAsia="Arial" w:hAnsi="Arial"/>
          <w:sz w:val="21"/>
          <w:szCs w:val="21"/>
          <w:u w:val="single" w:color="auto"/>
          <w:color w:val="auto"/>
        </w:rPr>
        <w:t>Article III</w:t>
      </w:r>
      <w:r>
        <w:rPr>
          <w:rFonts w:ascii="Arial" w:cs="Arial" w:eastAsia="Arial" w:hAnsi="Arial"/>
          <w:sz w:val="21"/>
          <w:szCs w:val="21"/>
          <w:color w:val="auto"/>
        </w:rPr>
        <w:t>. For the purposes of Article III, BHL and BSIH shall be treated as a single shareholder.</w:t>
      </w:r>
    </w:p>
    <w:p>
      <w:pPr>
        <w:spacing w:after="0" w:line="200" w:lineRule="exact"/>
        <w:rPr>
          <w:rFonts w:ascii="Arial" w:cs="Arial" w:eastAsia="Arial" w:hAnsi="Arial"/>
          <w:sz w:val="21"/>
          <w:szCs w:val="21"/>
          <w:color w:val="010000"/>
        </w:rPr>
      </w:pPr>
    </w:p>
    <w:p>
      <w:pPr>
        <w:ind w:right="20" w:firstLine="1304"/>
        <w:spacing w:after="0" w:line="250" w:lineRule="auto"/>
        <w:tabs>
          <w:tab w:leader="none" w:pos="2452" w:val="left"/>
        </w:tabs>
        <w:numPr>
          <w:ilvl w:val="0"/>
          <w:numId w:val="203"/>
        </w:numPr>
        <w:rPr>
          <w:rFonts w:ascii="Arial" w:cs="Arial" w:eastAsia="Arial" w:hAnsi="Arial"/>
          <w:sz w:val="22"/>
          <w:szCs w:val="22"/>
          <w:color w:val="010000"/>
        </w:rPr>
      </w:pPr>
      <w:r>
        <w:rPr>
          <w:rFonts w:ascii="Arial" w:cs="Arial" w:eastAsia="Arial" w:hAnsi="Arial"/>
          <w:sz w:val="22"/>
          <w:szCs w:val="22"/>
          <w:u w:val="single" w:color="auto"/>
          <w:color w:val="auto"/>
        </w:rPr>
        <w:t>Rights and Obligations of Transferees</w:t>
      </w:r>
      <w:r>
        <w:rPr>
          <w:rFonts w:ascii="Arial" w:cs="Arial" w:eastAsia="Arial" w:hAnsi="Arial"/>
          <w:sz w:val="22"/>
          <w:szCs w:val="22"/>
          <w:color w:val="auto"/>
        </w:rPr>
        <w:t>. Other than in connection with a Transfer to a Permitted Transferee, no transferee of Shares from the New Investor or the Existing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5" w:name="page186"/>
    <w:bookmarkEnd w:id="185"/>
    <w:p>
      <w:pPr>
        <w:jc w:val="both"/>
        <w:spacing w:after="0" w:line="271" w:lineRule="auto"/>
        <w:rPr>
          <w:sz w:val="20"/>
          <w:szCs w:val="20"/>
          <w:color w:val="auto"/>
        </w:rPr>
      </w:pPr>
      <w:r>
        <w:rPr>
          <w:rFonts w:ascii="Arial" w:cs="Arial" w:eastAsia="Arial" w:hAnsi="Arial"/>
          <w:sz w:val="19"/>
          <w:szCs w:val="19"/>
          <w:color w:val="auto"/>
        </w:rPr>
        <w:t xml:space="preserve">Shareholders shall be entitled to any rights granted to the New Investor or the Existing Shareholders, as applicable,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New Investor or the Existing Shareholders, as applicable, validly Transfers all of the Shares held of record or beneficially owned by it to a single Person or Affiliates of such Person, the New Investor or the Existing Shareholders (as applicable) shall be permitted to assign all, but not some, of its rights and obligations under this Agreement to such Person or its Affiliates, so long as, immediately prior to such Transfer, the New Investor (together with its Permitted Transferees) or the Existing Shareholders (together with their Permitted Transferees), as applicable, held of record or beneficially owned an aggregate number of Shares equal to at least 20% of the issued and outstanding Shares on the date of this Agreement, in which case such Person or its Affiliates to which such rights are assigned shall be deemed to be the “New Investor” or “Existing Shareholders”, as applicable, for purposes of this Agreement. No Transfer by a Shareholder of Shares that would otherwise be permitted pursuant to this Agreement shall be permitted unless (i) the Proposed Transferee shall have executed a joinder agreement (a “</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otherwise in form and substance reasonably satisfactory to the Company and the other Shareholders confirming that the Proposed Transferee takes such Shares subject to all the terms and conditions of this Agreement to the same extent as its transferor was bound by and entitled, except as otherwise set forth herein, to the benefits of such provisions and (ii) such Joinder Agreement shall have been delivered to the Company and the other Shareholders prior to or concurrent with the consummation of such Proposed Transferee’s acquisition of such Shares.</w:t>
      </w:r>
    </w:p>
    <w:p>
      <w:pPr>
        <w:spacing w:after="0" w:line="200" w:lineRule="exact"/>
        <w:rPr>
          <w:sz w:val="20"/>
          <w:szCs w:val="20"/>
          <w:color w:val="auto"/>
        </w:rPr>
      </w:pPr>
    </w:p>
    <w:p>
      <w:pPr>
        <w:spacing w:after="0" w:line="230" w:lineRule="exact"/>
        <w:rPr>
          <w:sz w:val="20"/>
          <w:szCs w:val="20"/>
          <w:color w:val="auto"/>
        </w:rPr>
      </w:pPr>
    </w:p>
    <w:p>
      <w:pPr>
        <w:jc w:val="both"/>
        <w:ind w:firstLine="1304"/>
        <w:spacing w:after="0" w:line="257" w:lineRule="auto"/>
        <w:tabs>
          <w:tab w:leader="none" w:pos="2386" w:val="left"/>
        </w:tabs>
        <w:numPr>
          <w:ilvl w:val="0"/>
          <w:numId w:val="204"/>
        </w:numPr>
        <w:rPr>
          <w:rFonts w:ascii="Arial" w:cs="Arial" w:eastAsia="Arial" w:hAnsi="Arial"/>
          <w:sz w:val="21"/>
          <w:szCs w:val="21"/>
          <w:color w:val="010000"/>
        </w:rPr>
      </w:pPr>
      <w:r>
        <w:rPr>
          <w:rFonts w:ascii="Arial" w:cs="Arial" w:eastAsia="Arial" w:hAnsi="Arial"/>
          <w:sz w:val="21"/>
          <w:szCs w:val="21"/>
          <w:u w:val="single" w:color="auto"/>
          <w:color w:val="auto"/>
        </w:rPr>
        <w:t>Restricted Period</w:t>
      </w:r>
      <w:r>
        <w:rPr>
          <w:rFonts w:ascii="Arial" w:cs="Arial" w:eastAsia="Arial" w:hAnsi="Arial"/>
          <w:sz w:val="21"/>
          <w:szCs w:val="21"/>
          <w:color w:val="auto"/>
        </w:rPr>
        <w:t>. From the date hereof until the date that is two years after the date hereof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no Transfer of any Shares shall be permitted by any Shareholder without the prior written consent of the other Shareholders other than Transfers by a Shareholder to a Permitted Transferee of such Shareholder.</w:t>
      </w:r>
    </w:p>
    <w:p>
      <w:pPr>
        <w:spacing w:after="0" w:line="196" w:lineRule="exact"/>
        <w:rPr>
          <w:rFonts w:ascii="Arial" w:cs="Arial" w:eastAsia="Arial" w:hAnsi="Arial"/>
          <w:sz w:val="21"/>
          <w:szCs w:val="21"/>
          <w:color w:val="010000"/>
        </w:rPr>
      </w:pPr>
    </w:p>
    <w:p>
      <w:pPr>
        <w:jc w:val="both"/>
        <w:ind w:firstLine="1304"/>
        <w:spacing w:after="0" w:line="238" w:lineRule="auto"/>
        <w:tabs>
          <w:tab w:leader="none" w:pos="2263"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Post-Restricted Period</w:t>
      </w:r>
      <w:r>
        <w:rPr>
          <w:rFonts w:ascii="Arial" w:cs="Arial" w:eastAsia="Arial" w:hAnsi="Arial"/>
          <w:sz w:val="22"/>
          <w:szCs w:val="22"/>
          <w:color w:val="auto"/>
        </w:rPr>
        <w:t xml:space="preserve">. From and after the end of the Restricted Period, Transfers of Shares shall be freely permitted, subject to the provisions of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w:t>
      </w:r>
      <w:r>
        <w:rPr>
          <w:rFonts w:ascii="Arial" w:cs="Arial" w:eastAsia="Arial" w:hAnsi="Arial"/>
          <w:sz w:val="22"/>
          <w:szCs w:val="22"/>
          <w:i w:val="1"/>
          <w:iCs w:val="1"/>
          <w:color w:val="auto"/>
        </w:rPr>
        <w:t>No Transfers to Competitors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3.01(f)</w:t>
      </w:r>
      <w:r>
        <w:rPr>
          <w:rFonts w:ascii="Arial" w:cs="Arial" w:eastAsia="Arial" w:hAnsi="Arial"/>
          <w:sz w:val="22"/>
          <w:szCs w:val="22"/>
          <w:color w:val="auto"/>
        </w:rPr>
        <w:t xml:space="preserve"> (</w:t>
      </w:r>
      <w:r>
        <w:rPr>
          <w:rFonts w:ascii="Arial" w:cs="Arial" w:eastAsia="Arial" w:hAnsi="Arial"/>
          <w:sz w:val="22"/>
          <w:szCs w:val="22"/>
          <w:i w:val="1"/>
          <w:iCs w:val="1"/>
          <w:color w:val="auto"/>
        </w:rPr>
        <w:t>No Transfers to</w:t>
      </w:r>
      <w:r>
        <w:rPr>
          <w:rFonts w:ascii="Arial" w:cs="Arial" w:eastAsia="Arial" w:hAnsi="Arial"/>
          <w:sz w:val="22"/>
          <w:szCs w:val="22"/>
          <w:color w:val="auto"/>
        </w:rPr>
        <w:t xml:space="preserve"> </w:t>
      </w:r>
      <w:r>
        <w:rPr>
          <w:rFonts w:ascii="Arial" w:cs="Arial" w:eastAsia="Arial" w:hAnsi="Arial"/>
          <w:sz w:val="22"/>
          <w:szCs w:val="22"/>
          <w:i w:val="1"/>
          <w:iCs w:val="1"/>
          <w:color w:val="auto"/>
        </w:rPr>
        <w:t>Sanctioned Persons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3.02</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Right of First Offer</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3.03</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Tag-Along Rights</w:t>
      </w:r>
      <w:r>
        <w:rPr>
          <w:rFonts w:ascii="Arial" w:cs="Arial" w:eastAsia="Arial" w:hAnsi="Arial"/>
          <w:sz w:val="22"/>
          <w:szCs w:val="22"/>
          <w:color w:val="auto"/>
        </w:rPr>
        <w:t>) and applicable Law (including U.S.</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Laws).</w:t>
      </w:r>
    </w:p>
    <w:p>
      <w:pPr>
        <w:spacing w:after="0" w:line="211" w:lineRule="exact"/>
        <w:rPr>
          <w:rFonts w:ascii="Arial" w:cs="Arial" w:eastAsia="Arial" w:hAnsi="Arial"/>
          <w:sz w:val="22"/>
          <w:szCs w:val="22"/>
          <w:color w:val="010000"/>
        </w:rPr>
      </w:pPr>
    </w:p>
    <w:p>
      <w:pPr>
        <w:ind w:firstLine="1304"/>
        <w:spacing w:after="0" w:line="250" w:lineRule="auto"/>
        <w:tabs>
          <w:tab w:leader="none" w:pos="2170"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No Transfers to Competitors</w:t>
      </w:r>
      <w:r>
        <w:rPr>
          <w:rFonts w:ascii="Arial" w:cs="Arial" w:eastAsia="Arial" w:hAnsi="Arial"/>
          <w:sz w:val="22"/>
          <w:szCs w:val="22"/>
          <w:color w:val="auto"/>
        </w:rPr>
        <w:t>. Each Shareholder agrees not to Transfer any Shares at any time, whether during or after the Restricted Period, to any Competitor.</w:t>
      </w:r>
    </w:p>
    <w:p>
      <w:pPr>
        <w:spacing w:after="0" w:line="201" w:lineRule="exact"/>
        <w:rPr>
          <w:rFonts w:ascii="Arial" w:cs="Arial" w:eastAsia="Arial" w:hAnsi="Arial"/>
          <w:sz w:val="22"/>
          <w:szCs w:val="22"/>
          <w:color w:val="010000"/>
        </w:rPr>
      </w:pPr>
    </w:p>
    <w:p>
      <w:pPr>
        <w:ind w:right="20" w:firstLine="1304"/>
        <w:spacing w:after="0" w:line="250" w:lineRule="auto"/>
        <w:tabs>
          <w:tab w:leader="none" w:pos="2200"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No Transfers to Sanctioned Persons</w:t>
      </w:r>
      <w:r>
        <w:rPr>
          <w:rFonts w:ascii="Arial" w:cs="Arial" w:eastAsia="Arial" w:hAnsi="Arial"/>
          <w:sz w:val="22"/>
          <w:szCs w:val="22"/>
          <w:color w:val="auto"/>
        </w:rPr>
        <w:t>. Each Shareholder agrees not to Transfer any Shares at any time, whether during or after the Restricted Period, to any Sanctioned Person.</w:t>
      </w:r>
    </w:p>
    <w:p>
      <w:pPr>
        <w:spacing w:after="0" w:line="201" w:lineRule="exact"/>
        <w:rPr>
          <w:rFonts w:ascii="Arial" w:cs="Arial" w:eastAsia="Arial" w:hAnsi="Arial"/>
          <w:sz w:val="22"/>
          <w:szCs w:val="22"/>
          <w:color w:val="010000"/>
        </w:rPr>
      </w:pPr>
    </w:p>
    <w:p>
      <w:pPr>
        <w:jc w:val="both"/>
        <w:ind w:firstLine="1304"/>
        <w:spacing w:after="0" w:line="235" w:lineRule="auto"/>
        <w:tabs>
          <w:tab w:leader="none" w:pos="2385"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No Indirect Transfers</w:t>
      </w:r>
      <w:r>
        <w:rPr>
          <w:rFonts w:ascii="Arial" w:cs="Arial" w:eastAsia="Arial" w:hAnsi="Arial"/>
          <w:sz w:val="22"/>
          <w:szCs w:val="22"/>
          <w:color w:val="auto"/>
        </w:rPr>
        <w:t xml:space="preserve">. Each Shareholder agrees not to circumvent or otherwise avoid the transfer restrictions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the intent thereof, including, with respect to any Shareholder that is not a natural person, by the Transfer or issuance of any Equity Interests of such Shareholder or any Permitted Transferee thereof (or any parent or holding company of such Shareholder or such Permitted Transferee);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the foregoing or anything in this Agreement to the contrary, the foregoing does not prohibit, and the term “Transfer” does not include, (a) a transfer of the equity interests in the publicly traded parent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color w:val="auto"/>
        </w:rPr>
        <w:t>entity of a Shareholder or any Permitted Transferee thereof, including, with respect to the New Investor, BlackRock, Inc. or</w:t>
      </w:r>
    </w:p>
    <w:p>
      <w:pPr>
        <w:spacing w:after="0" w:line="43" w:lineRule="exact"/>
        <w:rPr>
          <w:sz w:val="20"/>
          <w:szCs w:val="20"/>
          <w:color w:val="auto"/>
        </w:rPr>
      </w:pPr>
    </w:p>
    <w:p>
      <w:pPr>
        <w:ind w:firstLine="8"/>
        <w:spacing w:after="0" w:line="308" w:lineRule="auto"/>
        <w:tabs>
          <w:tab w:leader="none" w:pos="32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with respect to the New Investor or any of its Permitted Transferees or any other Shareholder that is directly or indirectly owned by a Fund, a transfer of the equity interests in such Fund or any direct or indirect parent company of such Fund.</w:t>
      </w:r>
    </w:p>
    <w:p>
      <w:pPr>
        <w:spacing w:after="0" w:line="15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010000"/>
        </w:rPr>
        <w:t xml:space="preserve">Section 3.02. </w:t>
      </w:r>
      <w:r>
        <w:rPr>
          <w:rFonts w:ascii="Arial" w:cs="Arial" w:eastAsia="Arial" w:hAnsi="Arial"/>
          <w:sz w:val="22"/>
          <w:szCs w:val="22"/>
          <w:u w:val="single" w:color="auto"/>
          <w:color w:val="000000"/>
        </w:rPr>
        <w:t>Right of First Offer</w:t>
      </w:r>
      <w:r>
        <w:rPr>
          <w:rFonts w:ascii="Arial" w:cs="Arial" w:eastAsia="Arial" w:hAnsi="Arial"/>
          <w:sz w:val="22"/>
          <w:szCs w:val="22"/>
          <w:color w:val="000000"/>
        </w:rPr>
        <w:t>. (a) If at any time following the end of the Restricted Period, but prior to</w:t>
      </w:r>
      <w:r>
        <w:rPr>
          <w:rFonts w:ascii="Arial" w:cs="Arial" w:eastAsia="Arial" w:hAnsi="Arial"/>
          <w:sz w:val="22"/>
          <w:szCs w:val="22"/>
          <w:color w:val="010000"/>
        </w:rPr>
        <w:t xml:space="preserve"> </w:t>
      </w:r>
      <w:r>
        <w:rPr>
          <w:rFonts w:ascii="Arial" w:cs="Arial" w:eastAsia="Arial" w:hAnsi="Arial"/>
          <w:sz w:val="22"/>
          <w:szCs w:val="22"/>
          <w:color w:val="000000"/>
        </w:rPr>
        <w:t>the consummation of an Initial Public Offering, a Shareholder (the “</w:t>
      </w:r>
      <w:r>
        <w:rPr>
          <w:rFonts w:ascii="Arial" w:cs="Arial" w:eastAsia="Arial" w:hAnsi="Arial"/>
          <w:sz w:val="22"/>
          <w:szCs w:val="22"/>
          <w:u w:val="single" w:color="auto"/>
          <w:color w:val="000000"/>
        </w:rPr>
        <w:t>Offering Shareholder</w:t>
      </w:r>
      <w:r>
        <w:rPr>
          <w:rFonts w:ascii="Arial" w:cs="Arial" w:eastAsia="Arial" w:hAnsi="Arial"/>
          <w:sz w:val="22"/>
          <w:szCs w:val="22"/>
          <w:color w:val="000000"/>
        </w:rPr>
        <w:t>”) proposes to Transfer any Shares (the “</w:t>
      </w:r>
      <w:r>
        <w:rPr>
          <w:rFonts w:ascii="Arial" w:cs="Arial" w:eastAsia="Arial" w:hAnsi="Arial"/>
          <w:sz w:val="22"/>
          <w:szCs w:val="22"/>
          <w:u w:val="single" w:color="auto"/>
          <w:color w:val="000000"/>
        </w:rPr>
        <w:t>Offered Shares</w:t>
      </w:r>
      <w:r>
        <w:rPr>
          <w:rFonts w:ascii="Arial" w:cs="Arial" w:eastAsia="Arial" w:hAnsi="Arial"/>
          <w:sz w:val="22"/>
          <w:szCs w:val="22"/>
          <w:color w:val="000000"/>
        </w:rPr>
        <w:t xml:space="preserve">”) owned by it (other than to a Permitted Transferee or as a Tag-Along Shareholder pursuant to </w:t>
      </w:r>
      <w:r>
        <w:rPr>
          <w:rFonts w:ascii="Arial" w:cs="Arial" w:eastAsia="Arial" w:hAnsi="Arial"/>
          <w:sz w:val="22"/>
          <w:szCs w:val="22"/>
          <w:u w:val="single" w:color="auto"/>
          <w:color w:val="000000"/>
        </w:rPr>
        <w:t>Section 3.03)</w:t>
      </w:r>
      <w:r>
        <w:rPr>
          <w:rFonts w:ascii="Arial" w:cs="Arial" w:eastAsia="Arial" w:hAnsi="Arial"/>
          <w:sz w:val="22"/>
          <w:szCs w:val="22"/>
          <w:color w:val="000000"/>
        </w:rPr>
        <w:t xml:space="preserve">, the Offering Shareholder shall first make an offering of the Offered Shares to the other Shareholders in accordance with the following provisions of this </w:t>
      </w:r>
      <w:r>
        <w:rPr>
          <w:rFonts w:ascii="Arial" w:cs="Arial" w:eastAsia="Arial" w:hAnsi="Arial"/>
          <w:sz w:val="22"/>
          <w:szCs w:val="22"/>
          <w:u w:val="single" w:color="auto"/>
          <w:color w:val="000000"/>
        </w:rPr>
        <w:t>Section 3.02</w:t>
      </w:r>
      <w:r>
        <w:rPr>
          <w:rFonts w:ascii="Arial" w:cs="Arial" w:eastAsia="Arial" w:hAnsi="Arial"/>
          <w:sz w:val="22"/>
          <w:szCs w:val="22"/>
          <w:color w:val="000000"/>
        </w:rPr>
        <w:t>.</w:t>
      </w:r>
    </w:p>
    <w:p>
      <w:pPr>
        <w:spacing w:after="0" w:line="214" w:lineRule="exact"/>
        <w:rPr>
          <w:sz w:val="20"/>
          <w:szCs w:val="20"/>
          <w:color w:val="auto"/>
        </w:rPr>
      </w:pPr>
    </w:p>
    <w:p>
      <w:pPr>
        <w:jc w:val="both"/>
        <w:ind w:firstLine="1304"/>
        <w:spacing w:after="0"/>
        <w:tabs>
          <w:tab w:leader="none" w:pos="2101" w:val="left"/>
        </w:tabs>
        <w:numPr>
          <w:ilvl w:val="0"/>
          <w:numId w:val="206"/>
        </w:numPr>
        <w:rPr>
          <w:rFonts w:ascii="Arial" w:cs="Arial" w:eastAsia="Arial" w:hAnsi="Arial"/>
          <w:sz w:val="22"/>
          <w:szCs w:val="22"/>
          <w:color w:val="010000"/>
        </w:rPr>
      </w:pPr>
      <w:r>
        <w:rPr>
          <w:rFonts w:ascii="Arial" w:cs="Arial" w:eastAsia="Arial" w:hAnsi="Arial"/>
          <w:sz w:val="22"/>
          <w:szCs w:val="22"/>
          <w:u w:val="single" w:color="auto"/>
          <w:color w:val="auto"/>
        </w:rPr>
        <w:t>Offer Notice</w:t>
      </w:r>
      <w:r>
        <w:rPr>
          <w:rFonts w:ascii="Arial" w:cs="Arial" w:eastAsia="Arial" w:hAnsi="Arial"/>
          <w:sz w:val="22"/>
          <w:szCs w:val="22"/>
          <w:color w:val="auto"/>
        </w:rPr>
        <w:t>. The Offering Shareholder shall give written notice (the “</w:t>
      </w:r>
      <w:r>
        <w:rPr>
          <w:rFonts w:ascii="Arial" w:cs="Arial" w:eastAsia="Arial" w:hAnsi="Arial"/>
          <w:sz w:val="22"/>
          <w:szCs w:val="22"/>
          <w:u w:val="single" w:color="auto"/>
          <w:color w:val="auto"/>
        </w:rPr>
        <w:t>Offering Shareholder Notice</w:t>
      </w:r>
      <w:r>
        <w:rPr>
          <w:rFonts w:ascii="Arial" w:cs="Arial" w:eastAsia="Arial" w:hAnsi="Arial"/>
          <w:sz w:val="22"/>
          <w:szCs w:val="22"/>
          <w:color w:val="auto"/>
        </w:rPr>
        <w:t>”) to the Company and the other Shareholders (the “</w:t>
      </w:r>
      <w:r>
        <w:rPr>
          <w:rFonts w:ascii="Arial" w:cs="Arial" w:eastAsia="Arial" w:hAnsi="Arial"/>
          <w:sz w:val="22"/>
          <w:szCs w:val="22"/>
          <w:u w:val="single" w:color="auto"/>
          <w:color w:val="auto"/>
        </w:rPr>
        <w:t>Non-Offering Shareholders</w:t>
      </w:r>
      <w:r>
        <w:rPr>
          <w:rFonts w:ascii="Arial" w:cs="Arial" w:eastAsia="Arial" w:hAnsi="Arial"/>
          <w:sz w:val="22"/>
          <w:szCs w:val="22"/>
          <w:color w:val="auto"/>
        </w:rPr>
        <w:t>”) stating its bona fide intention to Transfer the Offered Shares and specifying the number of Offered Shares.</w:t>
      </w:r>
    </w:p>
    <w:p>
      <w:pPr>
        <w:spacing w:after="0" w:line="213" w:lineRule="exact"/>
        <w:rPr>
          <w:rFonts w:ascii="Arial" w:cs="Arial" w:eastAsia="Arial" w:hAnsi="Arial"/>
          <w:sz w:val="22"/>
          <w:szCs w:val="22"/>
          <w:color w:val="010000"/>
        </w:rPr>
      </w:pPr>
    </w:p>
    <w:p>
      <w:pPr>
        <w:ind w:left="2140" w:hanging="836"/>
        <w:spacing w:after="0"/>
        <w:tabs>
          <w:tab w:leader="none" w:pos="2140" w:val="left"/>
        </w:tabs>
        <w:numPr>
          <w:ilvl w:val="0"/>
          <w:numId w:val="206"/>
        </w:numPr>
        <w:rPr>
          <w:rFonts w:ascii="Arial" w:cs="Arial" w:eastAsia="Arial" w:hAnsi="Arial"/>
          <w:sz w:val="22"/>
          <w:szCs w:val="22"/>
          <w:color w:val="010000"/>
        </w:rPr>
      </w:pPr>
      <w:r>
        <w:rPr>
          <w:rFonts w:ascii="Arial" w:cs="Arial" w:eastAsia="Arial" w:hAnsi="Arial"/>
          <w:sz w:val="22"/>
          <w:szCs w:val="22"/>
          <w:u w:val="single" w:color="auto"/>
          <w:color w:val="auto"/>
        </w:rPr>
        <w:t>Exercise of Right of First Offer</w:t>
      </w:r>
      <w:r>
        <w:rPr>
          <w:rFonts w:ascii="Arial" w:cs="Arial" w:eastAsia="Arial" w:hAnsi="Arial"/>
          <w:sz w:val="22"/>
          <w:szCs w:val="22"/>
          <w:color w:val="auto"/>
        </w:rPr>
        <w:t>.</w:t>
      </w:r>
    </w:p>
    <w:p>
      <w:pPr>
        <w:spacing w:after="0" w:line="233" w:lineRule="exact"/>
        <w:rPr>
          <w:sz w:val="20"/>
          <w:szCs w:val="20"/>
          <w:color w:val="auto"/>
        </w:rPr>
      </w:pPr>
    </w:p>
    <w:p>
      <w:pPr>
        <w:jc w:val="both"/>
        <w:ind w:left="660" w:firstLine="644"/>
        <w:spacing w:after="0" w:line="247" w:lineRule="exact"/>
        <w:tabs>
          <w:tab w:leader="none" w:pos="2065"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Upon receipt of the Offering Shareholder Notice, each Non</w:t>
      </w:r>
      <w:r>
        <w:rPr>
          <w:rFonts w:ascii="MS PGothic" w:cs="MS PGothic" w:eastAsia="MS PGothic" w:hAnsi="MS PGothic"/>
          <w:sz w:val="19"/>
          <w:szCs w:val="19"/>
          <w:color w:val="auto"/>
        </w:rPr>
        <w:t>‑</w:t>
      </w:r>
      <w:r>
        <w:rPr>
          <w:rFonts w:ascii="Arial" w:cs="Arial" w:eastAsia="Arial" w:hAnsi="Arial"/>
          <w:sz w:val="19"/>
          <w:szCs w:val="19"/>
          <w:color w:val="auto"/>
        </w:rPr>
        <w:t>Offering Shareholder interested in purchasing all (but not less than all) of the Offered Shares shall deliver a written notice (a “</w:t>
      </w:r>
      <w:r>
        <w:rPr>
          <w:rFonts w:ascii="Arial" w:cs="Arial" w:eastAsia="Arial" w:hAnsi="Arial"/>
          <w:sz w:val="19"/>
          <w:szCs w:val="19"/>
          <w:u w:val="single" w:color="auto"/>
          <w:color w:val="auto"/>
        </w:rPr>
        <w:t>ROFO Offer Notice</w:t>
      </w:r>
      <w:r>
        <w:rPr>
          <w:rFonts w:ascii="Arial" w:cs="Arial" w:eastAsia="Arial" w:hAnsi="Arial"/>
          <w:sz w:val="19"/>
          <w:szCs w:val="19"/>
          <w:color w:val="auto"/>
        </w:rPr>
        <w:t>”) to the Offering Shareholder and the Company within 30 days of receipt of such Offering Shareholder Notice (such period, the “</w:t>
      </w:r>
      <w:r>
        <w:rPr>
          <w:rFonts w:ascii="Arial" w:cs="Arial" w:eastAsia="Arial" w:hAnsi="Arial"/>
          <w:sz w:val="19"/>
          <w:szCs w:val="19"/>
          <w:u w:val="single" w:color="auto"/>
          <w:color w:val="auto"/>
        </w:rPr>
        <w:t>ROFO</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Period</w:t>
      </w:r>
      <w:r>
        <w:rPr>
          <w:rFonts w:ascii="Arial" w:cs="Arial" w:eastAsia="Arial" w:hAnsi="Arial"/>
          <w:sz w:val="19"/>
          <w:szCs w:val="19"/>
          <w:color w:val="auto"/>
        </w:rPr>
        <w:t>” and any Non-Offering Shareholder delivering a ROFO Offer Notice timely, a “</w:t>
      </w:r>
      <w:r>
        <w:rPr>
          <w:rFonts w:ascii="Arial" w:cs="Arial" w:eastAsia="Arial" w:hAnsi="Arial"/>
          <w:sz w:val="19"/>
          <w:szCs w:val="19"/>
          <w:u w:val="single" w:color="auto"/>
          <w:color w:val="auto"/>
        </w:rPr>
        <w:t>Purchasing Shareholder</w:t>
      </w:r>
      <w:r>
        <w:rPr>
          <w:rFonts w:ascii="Arial" w:cs="Arial" w:eastAsia="Arial" w:hAnsi="Arial"/>
          <w:sz w:val="19"/>
          <w:szCs w:val="19"/>
          <w:color w:val="auto"/>
        </w:rPr>
        <w:t>”), which ROFO Offer Notice shall include a form of acquisition agreement that specifies the terms and conditions, including the purchase price (which shall be in cash) and payment terms, pursuant to which the Purchasing Shareholder proposes to purchase such Offered Shares (the “</w:t>
      </w:r>
      <w:r>
        <w:rPr>
          <w:rFonts w:ascii="Arial" w:cs="Arial" w:eastAsia="Arial" w:hAnsi="Arial"/>
          <w:sz w:val="19"/>
          <w:szCs w:val="19"/>
          <w:u w:val="single" w:color="auto"/>
          <w:color w:val="auto"/>
        </w:rPr>
        <w:t>Proposed Acquisition Agreement</w:t>
      </w:r>
      <w:r>
        <w:rPr>
          <w:rFonts w:ascii="Arial" w:cs="Arial" w:eastAsia="Arial" w:hAnsi="Arial"/>
          <w:sz w:val="19"/>
          <w:szCs w:val="19"/>
          <w:color w:val="auto"/>
        </w:rPr>
        <w:t>”). Any ROFO Offer Notice so delivered shall be binding upon delivery and irrevocable by the applicable Purchasing Shareholder.</w:t>
      </w:r>
    </w:p>
    <w:p>
      <w:pPr>
        <w:spacing w:after="0" w:line="213" w:lineRule="exact"/>
        <w:rPr>
          <w:rFonts w:ascii="Arial" w:cs="Arial" w:eastAsia="Arial" w:hAnsi="Arial"/>
          <w:sz w:val="19"/>
          <w:szCs w:val="19"/>
          <w:color w:val="010000"/>
        </w:rPr>
      </w:pPr>
    </w:p>
    <w:p>
      <w:pPr>
        <w:jc w:val="both"/>
        <w:ind w:left="660" w:firstLine="644"/>
        <w:spacing w:after="0"/>
        <w:tabs>
          <w:tab w:leader="none" w:pos="2247" w:val="left"/>
        </w:tabs>
        <w:numPr>
          <w:ilvl w:val="0"/>
          <w:numId w:val="207"/>
        </w:numPr>
        <w:rPr>
          <w:rFonts w:ascii="Arial" w:cs="Arial" w:eastAsia="Arial" w:hAnsi="Arial"/>
          <w:sz w:val="22"/>
          <w:szCs w:val="22"/>
          <w:color w:val="010000"/>
        </w:rPr>
      </w:pPr>
      <w:r>
        <w:rPr>
          <w:rFonts w:ascii="Arial" w:cs="Arial" w:eastAsia="Arial" w:hAnsi="Arial"/>
          <w:sz w:val="22"/>
          <w:szCs w:val="22"/>
          <w:color w:val="auto"/>
        </w:rPr>
        <w:t xml:space="preserve">Each Non-Offering Shareholder that does not deliver a ROFO Offer Notice during the ROFO Notice Period shall be deemed to have waived all of such Shareholder’s rights to purchase the Offered Shares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3.02</w:t>
      </w:r>
      <w:r>
        <w:rPr>
          <w:rFonts w:ascii="Arial" w:cs="Arial" w:eastAsia="Arial" w:hAnsi="Arial"/>
          <w:sz w:val="22"/>
          <w:szCs w:val="22"/>
          <w:color w:val="auto"/>
        </w:rPr>
        <w:t>.</w:t>
      </w:r>
    </w:p>
    <w:p>
      <w:pPr>
        <w:spacing w:after="0" w:line="213" w:lineRule="exact"/>
        <w:rPr>
          <w:sz w:val="20"/>
          <w:szCs w:val="20"/>
          <w:color w:val="auto"/>
        </w:rPr>
      </w:pPr>
    </w:p>
    <w:p>
      <w:pPr>
        <w:jc w:val="both"/>
        <w:ind w:firstLine="1304"/>
        <w:spacing w:after="0" w:line="245" w:lineRule="auto"/>
        <w:tabs>
          <w:tab w:leader="none" w:pos="2101" w:val="left"/>
        </w:tabs>
        <w:numPr>
          <w:ilvl w:val="0"/>
          <w:numId w:val="208"/>
        </w:numPr>
        <w:rPr>
          <w:rFonts w:ascii="Arial" w:cs="Arial" w:eastAsia="Arial" w:hAnsi="Arial"/>
          <w:sz w:val="21"/>
          <w:szCs w:val="21"/>
          <w:color w:val="010000"/>
        </w:rPr>
      </w:pPr>
      <w:r>
        <w:rPr>
          <w:rFonts w:ascii="Arial" w:cs="Arial" w:eastAsia="Arial" w:hAnsi="Arial"/>
          <w:sz w:val="21"/>
          <w:szCs w:val="21"/>
          <w:u w:val="single" w:color="auto"/>
          <w:color w:val="auto"/>
        </w:rPr>
        <w:t>Closing of a ROFO Transfer</w:t>
      </w:r>
      <w:r>
        <w:rPr>
          <w:rFonts w:ascii="Arial" w:cs="Arial" w:eastAsia="Arial" w:hAnsi="Arial"/>
          <w:sz w:val="21"/>
          <w:szCs w:val="21"/>
          <w:color w:val="auto"/>
        </w:rPr>
        <w:t>. Upon receipt of a ROFO Offer Notice, the Offering Shareholder shall have 45 days (the “</w:t>
      </w:r>
      <w:r>
        <w:rPr>
          <w:rFonts w:ascii="Arial" w:cs="Arial" w:eastAsia="Arial" w:hAnsi="Arial"/>
          <w:sz w:val="21"/>
          <w:szCs w:val="21"/>
          <w:u w:val="single" w:color="auto"/>
          <w:color w:val="auto"/>
        </w:rPr>
        <w:t>Second ROFO Notice Period</w:t>
      </w:r>
      <w:r>
        <w:rPr>
          <w:rFonts w:ascii="Arial" w:cs="Arial" w:eastAsia="Arial" w:hAnsi="Arial"/>
          <w:sz w:val="21"/>
          <w:szCs w:val="21"/>
          <w:color w:val="auto"/>
        </w:rPr>
        <w:t>”) to deliver a written notice to the Purchasing Shareholder (the “</w:t>
      </w:r>
      <w:r>
        <w:rPr>
          <w:rFonts w:ascii="Arial" w:cs="Arial" w:eastAsia="Arial" w:hAnsi="Arial"/>
          <w:sz w:val="21"/>
          <w:szCs w:val="21"/>
          <w:u w:val="single" w:color="auto"/>
          <w:color w:val="auto"/>
        </w:rPr>
        <w:t>Second Offering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Shareholder Notice</w:t>
      </w:r>
      <w:r>
        <w:rPr>
          <w:rFonts w:ascii="Arial" w:cs="Arial" w:eastAsia="Arial" w:hAnsi="Arial"/>
          <w:sz w:val="21"/>
          <w:szCs w:val="21"/>
          <w:color w:val="auto"/>
        </w:rPr>
        <w:t>”), stating whether it is interested in selling all of such Offered Shares for such consideration and pursuant to the terms set forth in the Proposed Acquisition Agreement. Upon the delivery of the Second Offering Shareholder Notice during the Second ROFO Notice Period, if the Second Offering Shareholder Notice states that the Offering Shareholder is so interested, the Offering Shareholder and any Purchasing Shareholders shall have 30 days (the “</w:t>
      </w:r>
      <w:r>
        <w:rPr>
          <w:rFonts w:ascii="Arial" w:cs="Arial" w:eastAsia="Arial" w:hAnsi="Arial"/>
          <w:sz w:val="21"/>
          <w:szCs w:val="21"/>
          <w:u w:val="single" w:color="auto"/>
          <w:color w:val="auto"/>
        </w:rPr>
        <w:t>Negotiation Period</w:t>
      </w:r>
      <w:r>
        <w:rPr>
          <w:rFonts w:ascii="Arial" w:cs="Arial" w:eastAsia="Arial" w:hAnsi="Arial"/>
          <w:sz w:val="21"/>
          <w:szCs w:val="21"/>
          <w:color w:val="auto"/>
        </w:rPr>
        <w:t>”) to execute a definitive agreement in the form and substance of the Proposed Acquisition Agreement, subject to any revisions mutually agreed by the Offering Shareholder and the Purchasing Shareholder(s) (the “</w:t>
      </w:r>
      <w:r>
        <w:rPr>
          <w:rFonts w:ascii="Arial" w:cs="Arial" w:eastAsia="Arial" w:hAnsi="Arial"/>
          <w:sz w:val="21"/>
          <w:szCs w:val="21"/>
          <w:u w:val="single" w:color="auto"/>
          <w:color w:val="auto"/>
        </w:rPr>
        <w:t>Acquisition Agreement</w:t>
      </w:r>
      <w:r>
        <w:rPr>
          <w:rFonts w:ascii="Arial" w:cs="Arial" w:eastAsia="Arial" w:hAnsi="Arial"/>
          <w:sz w:val="21"/>
          <w:szCs w:val="21"/>
          <w:color w:val="auto"/>
        </w:rPr>
        <w:t>”) pursuant to which such Purchasing Shareholder(s) will acquire all of the Offered Shares. For the avoidance of doubt, by delivering a ROFO Offer Notice, the Purchasing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7" w:name="page188"/>
    <w:bookmarkEnd w:id="187"/>
    <w:p>
      <w:pPr>
        <w:jc w:val="both"/>
        <w:spacing w:after="0" w:line="273" w:lineRule="auto"/>
        <w:rPr>
          <w:sz w:val="20"/>
          <w:szCs w:val="20"/>
          <w:color w:val="auto"/>
        </w:rPr>
      </w:pPr>
      <w:r>
        <w:rPr>
          <w:rFonts w:ascii="Arial" w:cs="Arial" w:eastAsia="Arial" w:hAnsi="Arial"/>
          <w:sz w:val="19"/>
          <w:szCs w:val="19"/>
          <w:color w:val="auto"/>
        </w:rPr>
        <w:t xml:space="preserve">Shareholder is obligating itself to execute the Proposed Acquisition Agreement, subject to any revisions mutually agreed by the Offering Shareholder and the Purchasing Shareholder(s). The closing under the Acquisition Agreement, if executed and delivered, shall occur within 180 days after the expiration of the Negotiation Period (subject to extension for receipt of required regulatory approvals if the receipt of such required regulatory approvals is the sole outstanding condition to the closing under the Acquisition Agreement at the end of such 180 day period other than those conditions that by their nature are to be satisfied at the closing). If there is more than one Purchasing Shareholder, each such Purchasing Shareholder shall be entitled to acquire its ROFO Pro Rata Portion of the Offered Shares, unless otherwise agreed by such Purchasing Shareholders. For the purposes of this </w:t>
      </w:r>
      <w:r>
        <w:rPr>
          <w:rFonts w:ascii="Arial" w:cs="Arial" w:eastAsia="Arial" w:hAnsi="Arial"/>
          <w:sz w:val="19"/>
          <w:szCs w:val="19"/>
          <w:u w:val="single" w:color="auto"/>
          <w:color w:val="auto"/>
        </w:rPr>
        <w:t>Section 3.02</w:t>
      </w:r>
      <w:r>
        <w:rPr>
          <w:rFonts w:ascii="Arial" w:cs="Arial" w:eastAsia="Arial" w:hAnsi="Arial"/>
          <w:sz w:val="19"/>
          <w:szCs w:val="19"/>
          <w:color w:val="auto"/>
        </w:rPr>
        <w:t>, “</w:t>
      </w:r>
      <w:r>
        <w:rPr>
          <w:rFonts w:ascii="Arial" w:cs="Arial" w:eastAsia="Arial" w:hAnsi="Arial"/>
          <w:sz w:val="19"/>
          <w:szCs w:val="19"/>
          <w:u w:val="single" w:color="auto"/>
          <w:color w:val="auto"/>
        </w:rPr>
        <w:t>ROFO Pro Rata Portion</w:t>
      </w:r>
      <w:r>
        <w:rPr>
          <w:rFonts w:ascii="Arial" w:cs="Arial" w:eastAsia="Arial" w:hAnsi="Arial"/>
          <w:sz w:val="19"/>
          <w:szCs w:val="19"/>
          <w:color w:val="auto"/>
        </w:rPr>
        <w:t>” shall mean, with respect to any Purchasing Shareholder, the number of Shares equal to the product of (i) the total number of Offered Shares and (ii) a fraction determined by dividing (A) the number of Shares owned by such Purchasing Shareholder by (B) the total number of Shares owned by all of the Purchasing Shareholders.</w:t>
      </w:r>
    </w:p>
    <w:p>
      <w:pPr>
        <w:spacing w:after="0" w:line="188" w:lineRule="exact"/>
        <w:rPr>
          <w:sz w:val="20"/>
          <w:szCs w:val="20"/>
          <w:color w:val="auto"/>
        </w:rPr>
      </w:pPr>
    </w:p>
    <w:p>
      <w:pPr>
        <w:jc w:val="both"/>
        <w:ind w:firstLine="1304"/>
        <w:spacing w:after="0" w:line="270" w:lineRule="auto"/>
        <w:tabs>
          <w:tab w:leader="none" w:pos="2238" w:val="left"/>
        </w:tabs>
        <w:numPr>
          <w:ilvl w:val="0"/>
          <w:numId w:val="209"/>
        </w:numPr>
        <w:rPr>
          <w:rFonts w:ascii="Arial" w:cs="Arial" w:eastAsia="Arial" w:hAnsi="Arial"/>
          <w:sz w:val="19"/>
          <w:szCs w:val="19"/>
          <w:color w:val="010000"/>
        </w:rPr>
      </w:pPr>
      <w:r>
        <w:rPr>
          <w:rFonts w:ascii="Arial" w:cs="Arial" w:eastAsia="Arial" w:hAnsi="Arial"/>
          <w:sz w:val="19"/>
          <w:szCs w:val="19"/>
          <w:u w:val="single" w:color="auto"/>
          <w:color w:val="auto"/>
        </w:rPr>
        <w:t>Transfer to a Person other than a Permitted Transferee</w:t>
      </w:r>
      <w:r>
        <w:rPr>
          <w:rFonts w:ascii="Arial" w:cs="Arial" w:eastAsia="Arial" w:hAnsi="Arial"/>
          <w:sz w:val="19"/>
          <w:szCs w:val="19"/>
          <w:color w:val="auto"/>
        </w:rPr>
        <w:t xml:space="preserve">. If (i) no Non-Offering Shareholder delivers a ROFO Offer Notice to the Offering Shareholder in accordance with </w:t>
      </w:r>
      <w:r>
        <w:rPr>
          <w:rFonts w:ascii="Arial" w:cs="Arial" w:eastAsia="Arial" w:hAnsi="Arial"/>
          <w:sz w:val="19"/>
          <w:szCs w:val="19"/>
          <w:u w:val="single" w:color="auto"/>
          <w:color w:val="auto"/>
        </w:rPr>
        <w:t>Section 3.02(c)</w:t>
      </w:r>
      <w:r>
        <w:rPr>
          <w:rFonts w:ascii="Arial" w:cs="Arial" w:eastAsia="Arial" w:hAnsi="Arial"/>
          <w:sz w:val="19"/>
          <w:szCs w:val="19"/>
          <w:color w:val="auto"/>
        </w:rPr>
        <w:t>, (ii) the Offering Shareholder delivers a Second Offering Shareholder Notice to the Purchasing Shareholders stating that the Offering Shareholder is not interested in selling all of the Offered Shares for such consideration and pursuant to the terms set forth in the Proposed Acquisition Agreement or (iii) if the Offering Shareholder delivers as Second Offering Shareholder Notice stating that it is interested in selling all of the Offered Shares for such consideration pursuant to the terms set forth in the ROFO Offer Notice and the Proposed Acquisition Agreement but (A) the Offering Shareholder and the Purchasing Shareholder do not execute the Acquisition Agreement during the Negotiation Period or (B) the Offering Shareholder and the Purchasing Shareholder do execute the Acquisition Agreement during the Negotiation Period but such Acquisition Agreement is terminated prior to the completion of the sale and purchase of the Offered Shares pursuant thereto, then the Offering Shareholder may, during the 180 day period following the first to occur of the foregoing (subject to extension for receipt of required regulatory approvals if the receipt of such required regulatory approvals is the sole outstanding condition to the closing under the Proposed Acquisition Agreement at the end of such 180 day period other than those conditions that by their nature are to be satisfied at the closing) (the “</w:t>
      </w:r>
      <w:r>
        <w:rPr>
          <w:rFonts w:ascii="Arial" w:cs="Arial" w:eastAsia="Arial" w:hAnsi="Arial"/>
          <w:sz w:val="19"/>
          <w:szCs w:val="19"/>
          <w:u w:val="single" w:color="auto"/>
          <w:color w:val="auto"/>
        </w:rPr>
        <w:t>ROFO Transfer Period</w:t>
      </w:r>
      <w:r>
        <w:rPr>
          <w:rFonts w:ascii="Arial" w:cs="Arial" w:eastAsia="Arial" w:hAnsi="Arial"/>
          <w:sz w:val="19"/>
          <w:szCs w:val="19"/>
          <w:color w:val="auto"/>
        </w:rPr>
        <w:t xml:space="preserve">”), and subject to the provisions of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Transfer all of the Offered Shares and, subject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all rights associated therewith, to any Person for a purchase price not less than that set forth in the ROFO Offer Notice in the case of the circumstances described in clause (ii) or (iii)(A) above or for any purchase price in the case of the circumstances described in clause (i) or (iii)(B) above. If the Offering Shareholder does not consummate the Transfer of the Offered Shares during the ROFO Transfer Period, the rights provided in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shall be deemed to be revived and the Offered Shares shall not be Transferred to any Person (other than a Permitted Transferee) unless first re-offered to the Shareholders in accordance with this </w:t>
      </w:r>
      <w:r>
        <w:rPr>
          <w:rFonts w:ascii="Arial" w:cs="Arial" w:eastAsia="Arial" w:hAnsi="Arial"/>
          <w:sz w:val="19"/>
          <w:szCs w:val="19"/>
          <w:u w:val="single" w:color="auto"/>
          <w:color w:val="auto"/>
        </w:rPr>
        <w:t>Section 3.02</w:t>
      </w:r>
      <w:r>
        <w:rPr>
          <w:rFonts w:ascii="Arial" w:cs="Arial" w:eastAsia="Arial" w:hAnsi="Arial"/>
          <w:sz w:val="19"/>
          <w:szCs w:val="19"/>
          <w:color w:val="auto"/>
        </w:rPr>
        <w:t>.</w:t>
      </w:r>
    </w:p>
    <w:p>
      <w:pPr>
        <w:spacing w:after="0" w:line="190"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3.03.</w:t>
      </w:r>
      <w:r>
        <w:rPr>
          <w:sz w:val="20"/>
          <w:szCs w:val="20"/>
          <w:color w:val="auto"/>
        </w:rPr>
        <w:tab/>
      </w:r>
      <w:r>
        <w:rPr>
          <w:rFonts w:ascii="Arial" w:cs="Arial" w:eastAsia="Arial" w:hAnsi="Arial"/>
          <w:sz w:val="19"/>
          <w:szCs w:val="19"/>
          <w:u w:val="single" w:color="auto"/>
          <w:color w:val="auto"/>
        </w:rPr>
        <w:t>Tag-Along Rights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50" w:lineRule="auto"/>
        <w:tabs>
          <w:tab w:leader="none" w:pos="2265" w:val="left"/>
        </w:tabs>
        <w:numPr>
          <w:ilvl w:val="0"/>
          <w:numId w:val="210"/>
        </w:numPr>
        <w:rPr>
          <w:rFonts w:ascii="Arial" w:cs="Arial" w:eastAsia="Arial" w:hAnsi="Arial"/>
          <w:sz w:val="22"/>
          <w:szCs w:val="22"/>
          <w:color w:val="010000"/>
        </w:rPr>
      </w:pPr>
      <w:r>
        <w:rPr>
          <w:rFonts w:ascii="Arial" w:cs="Arial" w:eastAsia="Arial" w:hAnsi="Arial"/>
          <w:sz w:val="22"/>
          <w:szCs w:val="22"/>
          <w:color w:val="auto"/>
        </w:rPr>
        <w:t>If at any time following the end of the Restricted Period, but prior to the consummation of an Initial Public Offering, Blenheim or its Permitted Transferees (the “</w:t>
      </w:r>
      <w:r>
        <w:rPr>
          <w:rFonts w:ascii="Arial" w:cs="Arial" w:eastAsia="Arial" w:hAnsi="Arial"/>
          <w:sz w:val="22"/>
          <w:szCs w:val="22"/>
          <w:u w:val="single" w:color="auto"/>
          <w:color w:val="auto"/>
        </w:rPr>
        <w:t>Selling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8" w:name="page189"/>
    <w:bookmarkEnd w:id="188"/>
    <w:p>
      <w:pPr>
        <w:jc w:val="both"/>
        <w:spacing w:after="0" w:line="235" w:lineRule="auto"/>
        <w:rPr>
          <w:sz w:val="20"/>
          <w:szCs w:val="20"/>
          <w:color w:val="auto"/>
        </w:rPr>
      </w:pPr>
      <w:r>
        <w:rPr>
          <w:rFonts w:ascii="Arial" w:cs="Arial" w:eastAsia="Arial" w:hAnsi="Arial"/>
          <w:sz w:val="22"/>
          <w:szCs w:val="22"/>
          <w:u w:val="single" w:color="auto"/>
          <w:color w:val="auto"/>
        </w:rPr>
        <w:t>Shareholder(s)</w:t>
      </w:r>
      <w:r>
        <w:rPr>
          <w:rFonts w:ascii="Arial" w:cs="Arial" w:eastAsia="Arial" w:hAnsi="Arial"/>
          <w:sz w:val="22"/>
          <w:szCs w:val="22"/>
          <w:color w:val="auto"/>
        </w:rPr>
        <w:t xml:space="preserve">”) proposes to Transfer (including to another Shareholder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any Shares to any Person other than a Permitted Transferee (the “</w:t>
      </w:r>
      <w:r>
        <w:rPr>
          <w:rFonts w:ascii="Arial" w:cs="Arial" w:eastAsia="Arial" w:hAnsi="Arial"/>
          <w:sz w:val="22"/>
          <w:szCs w:val="22"/>
          <w:u w:val="single" w:color="auto"/>
          <w:color w:val="auto"/>
        </w:rPr>
        <w:t>Proposed Transferee</w:t>
      </w:r>
      <w:r>
        <w:rPr>
          <w:rFonts w:ascii="Arial" w:cs="Arial" w:eastAsia="Arial" w:hAnsi="Arial"/>
          <w:sz w:val="22"/>
          <w:szCs w:val="22"/>
          <w:color w:val="auto"/>
        </w:rPr>
        <w:t>”) in a Tag-Eligible Sale, each other Shareholder (each, a “</w:t>
      </w:r>
      <w:r>
        <w:rPr>
          <w:rFonts w:ascii="Arial" w:cs="Arial" w:eastAsia="Arial" w:hAnsi="Arial"/>
          <w:sz w:val="22"/>
          <w:szCs w:val="22"/>
          <w:u w:val="single" w:color="auto"/>
          <w:color w:val="auto"/>
        </w:rPr>
        <w:t>Tag-Along</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Shareholder</w:t>
      </w:r>
      <w:r>
        <w:rPr>
          <w:rFonts w:ascii="Arial" w:cs="Arial" w:eastAsia="Arial" w:hAnsi="Arial"/>
          <w:sz w:val="22"/>
          <w:szCs w:val="22"/>
          <w:color w:val="auto"/>
        </w:rPr>
        <w:t>”) shall be permitted to participate in such Transfer (a “</w:t>
      </w:r>
      <w:r>
        <w:rPr>
          <w:rFonts w:ascii="Arial" w:cs="Arial" w:eastAsia="Arial" w:hAnsi="Arial"/>
          <w:sz w:val="22"/>
          <w:szCs w:val="22"/>
          <w:u w:val="single" w:color="auto"/>
          <w:color w:val="auto"/>
        </w:rPr>
        <w:t>Tag-Along Sale</w:t>
      </w:r>
      <w:r>
        <w:rPr>
          <w:rFonts w:ascii="Arial" w:cs="Arial" w:eastAsia="Arial" w:hAnsi="Arial"/>
          <w:sz w:val="22"/>
          <w:szCs w:val="22"/>
          <w:color w:val="auto"/>
        </w:rPr>
        <w:t xml:space="preserve">”) on the terms and conditions set forth in this </w:t>
      </w:r>
      <w:r>
        <w:rPr>
          <w:rFonts w:ascii="Arial" w:cs="Arial" w:eastAsia="Arial" w:hAnsi="Arial"/>
          <w:sz w:val="22"/>
          <w:szCs w:val="22"/>
          <w:u w:val="single" w:color="auto"/>
          <w:color w:val="auto"/>
        </w:rPr>
        <w:t>Section 3.03</w:t>
      </w:r>
      <w:r>
        <w:rPr>
          <w:rFonts w:ascii="Arial" w:cs="Arial" w:eastAsia="Arial" w:hAnsi="Arial"/>
          <w:sz w:val="22"/>
          <w:szCs w:val="22"/>
          <w:color w:val="auto"/>
        </w:rPr>
        <w:t>. For purposes of the foregoing, “</w:t>
      </w:r>
      <w:r>
        <w:rPr>
          <w:rFonts w:ascii="Arial" w:cs="Arial" w:eastAsia="Arial" w:hAnsi="Arial"/>
          <w:sz w:val="22"/>
          <w:szCs w:val="22"/>
          <w:u w:val="single" w:color="auto"/>
          <w:color w:val="auto"/>
        </w:rPr>
        <w:t>Tag-Eligible Sale</w:t>
      </w:r>
      <w:r>
        <w:rPr>
          <w:rFonts w:ascii="Arial" w:cs="Arial" w:eastAsia="Arial" w:hAnsi="Arial"/>
          <w:sz w:val="22"/>
          <w:szCs w:val="22"/>
          <w:color w:val="auto"/>
        </w:rPr>
        <w:t>” means any Transfer of Shares that would result in, or following such time as, Blenheim and its Permitted Transferees ceasing to own 25% of the Common Shares issued and outstanding on the date of this Agreement.</w:t>
      </w:r>
    </w:p>
    <w:p>
      <w:pPr>
        <w:spacing w:after="0" w:line="215" w:lineRule="exact"/>
        <w:rPr>
          <w:sz w:val="20"/>
          <w:szCs w:val="20"/>
          <w:color w:val="auto"/>
        </w:rPr>
      </w:pPr>
    </w:p>
    <w:p>
      <w:pPr>
        <w:jc w:val="both"/>
        <w:ind w:firstLine="1304"/>
        <w:spacing w:after="0" w:line="245" w:lineRule="auto"/>
        <w:tabs>
          <w:tab w:leader="none" w:pos="2034" w:val="left"/>
        </w:tabs>
        <w:numPr>
          <w:ilvl w:val="1"/>
          <w:numId w:val="211"/>
        </w:numPr>
        <w:rPr>
          <w:rFonts w:ascii="Arial" w:cs="Arial" w:eastAsia="Arial" w:hAnsi="Arial"/>
          <w:sz w:val="21"/>
          <w:szCs w:val="21"/>
          <w:color w:val="010000"/>
        </w:rPr>
      </w:pPr>
      <w:r>
        <w:rPr>
          <w:rFonts w:ascii="Arial" w:cs="Arial" w:eastAsia="Arial" w:hAnsi="Arial"/>
          <w:sz w:val="21"/>
          <w:szCs w:val="21"/>
          <w:u w:val="single" w:color="auto"/>
          <w:color w:val="auto"/>
        </w:rPr>
        <w:t>Sale Notice</w:t>
      </w:r>
      <w:r>
        <w:rPr>
          <w:rFonts w:ascii="Arial" w:cs="Arial" w:eastAsia="Arial" w:hAnsi="Arial"/>
          <w:sz w:val="21"/>
          <w:szCs w:val="21"/>
          <w:color w:val="auto"/>
        </w:rPr>
        <w:t>. Prior to the consummation of any Tag-Along Sale, the Selling Shareholder(s) shall deliver to the Company and each other Shareholder a written notice (a “</w:t>
      </w:r>
      <w:r>
        <w:rPr>
          <w:rFonts w:ascii="Arial" w:cs="Arial" w:eastAsia="Arial" w:hAnsi="Arial"/>
          <w:sz w:val="21"/>
          <w:szCs w:val="21"/>
          <w:u w:val="single" w:color="auto"/>
          <w:color w:val="auto"/>
        </w:rPr>
        <w:t>Sale Notice</w:t>
      </w:r>
      <w:r>
        <w:rPr>
          <w:rFonts w:ascii="Arial" w:cs="Arial" w:eastAsia="Arial" w:hAnsi="Arial"/>
          <w:sz w:val="21"/>
          <w:szCs w:val="21"/>
          <w:color w:val="auto"/>
        </w:rPr>
        <w:t>”) of the proposed Tag-Along Sale. In no event may the Tag-Along Sale be consummated until the 20th business day following the delivery of the Sale Notice. The Sale Notice shall make reference to the Tag-Along Shareholders’ rights hereunder and shall describe in reasonable detail: (i) the number of Shares to be Transferred by the Selling Shareholder(s) (and the total number of Shares then owned by the Selling Shareholder(s)), (ii) the identity of the Proposed Transferee, (iii) the per share purchase price and other material terms and conditions of the proposed Transfer, including a description of any non-cash consideration in sufficient detail to permit the valuation thereof, (iv) the proposed date and time of Transfer, if known, and (v) a copy of any definitive documentation executed or proposed to be executed in connection therewith, if available at such time.</w:t>
      </w:r>
    </w:p>
    <w:p>
      <w:pPr>
        <w:spacing w:after="0" w:line="211" w:lineRule="exact"/>
        <w:rPr>
          <w:rFonts w:ascii="Arial" w:cs="Arial" w:eastAsia="Arial" w:hAnsi="Arial"/>
          <w:sz w:val="21"/>
          <w:szCs w:val="21"/>
          <w:color w:val="010000"/>
        </w:rPr>
      </w:pPr>
    </w:p>
    <w:p>
      <w:pPr>
        <w:ind w:left="2080" w:hanging="776"/>
        <w:spacing w:after="0"/>
        <w:tabs>
          <w:tab w:leader="none" w:pos="2080" w:val="left"/>
        </w:tabs>
        <w:numPr>
          <w:ilvl w:val="1"/>
          <w:numId w:val="211"/>
        </w:numPr>
        <w:rPr>
          <w:rFonts w:ascii="Arial" w:cs="Arial" w:eastAsia="Arial" w:hAnsi="Arial"/>
          <w:sz w:val="22"/>
          <w:szCs w:val="22"/>
          <w:color w:val="010000"/>
        </w:rPr>
      </w:pPr>
      <w:r>
        <w:rPr>
          <w:rFonts w:ascii="Arial" w:cs="Arial" w:eastAsia="Arial" w:hAnsi="Arial"/>
          <w:sz w:val="22"/>
          <w:szCs w:val="22"/>
          <w:u w:val="single" w:color="auto"/>
          <w:color w:val="auto"/>
        </w:rPr>
        <w:t>Exercise of Tag-Along Right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60" w:firstLine="1292"/>
        <w:spacing w:after="0" w:line="247" w:lineRule="exact"/>
        <w:tabs>
          <w:tab w:leader="none" w:pos="2808" w:val="left"/>
        </w:tabs>
        <w:numPr>
          <w:ilvl w:val="2"/>
          <w:numId w:val="211"/>
        </w:numPr>
        <w:rPr>
          <w:rFonts w:ascii="Arial" w:cs="Arial" w:eastAsia="Arial" w:hAnsi="Arial"/>
          <w:sz w:val="22"/>
          <w:szCs w:val="22"/>
          <w:color w:val="010000"/>
        </w:rPr>
      </w:pPr>
      <w:r>
        <w:rPr>
          <w:rFonts w:ascii="Arial" w:cs="Arial" w:eastAsia="Arial" w:hAnsi="Arial"/>
          <w:sz w:val="22"/>
          <w:szCs w:val="22"/>
          <w:color w:val="auto"/>
        </w:rPr>
        <w:t>Upon receipt of the Sale Notice, each Tag-Along Shareholder shall have until the end of the tenth business day following such receipt to elect to participate in the Tag-Along Sale by delivering a written notice (a “</w:t>
      </w:r>
      <w:r>
        <w:rPr>
          <w:rFonts w:ascii="Arial" w:cs="Arial" w:eastAsia="Arial" w:hAnsi="Arial"/>
          <w:sz w:val="22"/>
          <w:szCs w:val="22"/>
          <w:u w:val="single" w:color="auto"/>
          <w:color w:val="auto"/>
        </w:rPr>
        <w:t>Tag</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Along Notice</w:t>
      </w:r>
      <w:r>
        <w:rPr>
          <w:rFonts w:ascii="Arial" w:cs="Arial" w:eastAsia="Arial" w:hAnsi="Arial"/>
          <w:sz w:val="22"/>
          <w:szCs w:val="22"/>
          <w:color w:val="auto"/>
        </w:rPr>
        <w:t>”) to the Selling Shareholder(s) and the Company stating that it offers to sell Shares on the terms specified in the Sale Notice and specifying the number of Shares offered to be sold by it. Any such Tag-Along Notice so delivered shall be irrevocable and, to the extent such offer is accepted, shall be binding and shall obligate the applicable Tag</w:t>
      </w:r>
      <w:r>
        <w:rPr>
          <w:rFonts w:ascii="MS PGothic" w:cs="MS PGothic" w:eastAsia="MS PGothic" w:hAnsi="MS PGothic"/>
          <w:sz w:val="22"/>
          <w:szCs w:val="22"/>
          <w:color w:val="auto"/>
        </w:rPr>
        <w:t>‑</w:t>
      </w:r>
      <w:r>
        <w:rPr>
          <w:rFonts w:ascii="Arial" w:cs="Arial" w:eastAsia="Arial" w:hAnsi="Arial"/>
          <w:sz w:val="22"/>
          <w:szCs w:val="22"/>
          <w:color w:val="auto"/>
        </w:rPr>
        <w:t xml:space="preserve">Along Shareholder to sell in the Tag-Along Sale on the terms and conditions set forth in the Sale Notice and in accordance with this </w:t>
      </w:r>
      <w:r>
        <w:rPr>
          <w:rFonts w:ascii="Arial" w:cs="Arial" w:eastAsia="Arial" w:hAnsi="Arial"/>
          <w:sz w:val="22"/>
          <w:szCs w:val="22"/>
          <w:u w:val="single" w:color="auto"/>
          <w:color w:val="auto"/>
        </w:rPr>
        <w:t>Section 3.03</w:t>
      </w:r>
      <w:r>
        <w:rPr>
          <w:rFonts w:ascii="Arial" w:cs="Arial" w:eastAsia="Arial" w:hAnsi="Arial"/>
          <w:sz w:val="22"/>
          <w:szCs w:val="22"/>
          <w:color w:val="auto"/>
        </w:rPr>
        <w:t>. Each Tag-Along Shareholder shall have the right to sell in a Tag-Along Sale all (but not only some) of its Shares.</w:t>
      </w:r>
    </w:p>
    <w:p>
      <w:pPr>
        <w:spacing w:after="0" w:line="213" w:lineRule="exact"/>
        <w:rPr>
          <w:rFonts w:ascii="Arial" w:cs="Arial" w:eastAsia="Arial" w:hAnsi="Arial"/>
          <w:sz w:val="22"/>
          <w:szCs w:val="22"/>
          <w:color w:val="010000"/>
        </w:rPr>
      </w:pPr>
    </w:p>
    <w:p>
      <w:pPr>
        <w:jc w:val="both"/>
        <w:ind w:left="660" w:firstLine="1292"/>
        <w:spacing w:after="0" w:line="279" w:lineRule="auto"/>
        <w:tabs>
          <w:tab w:leader="none" w:pos="2827" w:val="left"/>
        </w:tabs>
        <w:numPr>
          <w:ilvl w:val="2"/>
          <w:numId w:val="211"/>
        </w:numPr>
        <w:rPr>
          <w:rFonts w:ascii="Arial" w:cs="Arial" w:eastAsia="Arial" w:hAnsi="Arial"/>
          <w:sz w:val="19"/>
          <w:szCs w:val="19"/>
          <w:color w:val="010000"/>
        </w:rPr>
      </w:pPr>
      <w:r>
        <w:rPr>
          <w:rFonts w:ascii="Arial" w:cs="Arial" w:eastAsia="Arial" w:hAnsi="Arial"/>
          <w:sz w:val="19"/>
          <w:szCs w:val="19"/>
          <w:color w:val="auto"/>
        </w:rPr>
        <w:t>The Selling Shareholder(s) shall use its commercially reasonable efforts to obtain the agreement of the Proposed Transferee to the participation of each Tag-Along Shareholder in any contemplated Transfer and to include in the proposed sale to the Proposed Transferee all of the Shares that the Tag-Along Shareholders have requested to have included pursuant to the applicable Tag-Along Notices. In the event the Proposed Transferee elects to purchase less than all of the Shares sought to be Transferred by the Tag-Along Shareholders then the Selling Shareholder(s) shall not sell any of its Shares to the Proposed Transferee and neither shall the Tag-Along Shareholders.</w:t>
      </w:r>
    </w:p>
    <w:p>
      <w:pPr>
        <w:spacing w:after="0" w:line="177" w:lineRule="exact"/>
        <w:rPr>
          <w:rFonts w:ascii="Arial" w:cs="Arial" w:eastAsia="Arial" w:hAnsi="Arial"/>
          <w:sz w:val="19"/>
          <w:szCs w:val="19"/>
          <w:color w:val="010000"/>
        </w:rPr>
      </w:pPr>
    </w:p>
    <w:p>
      <w:pPr>
        <w:ind w:left="2780" w:hanging="828"/>
        <w:spacing w:after="0"/>
        <w:tabs>
          <w:tab w:leader="none" w:pos="2780" w:val="left"/>
        </w:tabs>
        <w:numPr>
          <w:ilvl w:val="2"/>
          <w:numId w:val="211"/>
        </w:numPr>
        <w:rPr>
          <w:rFonts w:ascii="Arial" w:cs="Arial" w:eastAsia="Arial" w:hAnsi="Arial"/>
          <w:sz w:val="19"/>
          <w:szCs w:val="19"/>
          <w:color w:val="010000"/>
        </w:rPr>
      </w:pPr>
      <w:r>
        <w:rPr>
          <w:rFonts w:ascii="Arial" w:cs="Arial" w:eastAsia="Arial" w:hAnsi="Arial"/>
          <w:sz w:val="19"/>
          <w:szCs w:val="19"/>
          <w:color w:val="auto"/>
        </w:rPr>
        <w:t xml:space="preserve">Each Tag-Along Shareholder who does not deliver a Tag-Along Notice in compliance with </w:t>
      </w:r>
      <w:r>
        <w:rPr>
          <w:rFonts w:ascii="Arial" w:cs="Arial" w:eastAsia="Arial" w:hAnsi="Arial"/>
          <w:sz w:val="19"/>
          <w:szCs w:val="19"/>
          <w:u w:val="single" w:color="auto"/>
          <w:color w:val="auto"/>
        </w:rPr>
        <w:t>clause</w:t>
      </w:r>
    </w:p>
    <w:p>
      <w:pPr>
        <w:spacing w:after="0" w:line="42" w:lineRule="exact"/>
        <w:rPr>
          <w:rFonts w:ascii="Arial" w:cs="Arial" w:eastAsia="Arial" w:hAnsi="Arial"/>
          <w:sz w:val="19"/>
          <w:szCs w:val="19"/>
          <w:color w:val="010000"/>
        </w:rPr>
      </w:pPr>
    </w:p>
    <w:p>
      <w:pPr>
        <w:ind w:left="660" w:hanging="4"/>
        <w:spacing w:after="0" w:line="250" w:lineRule="exact"/>
        <w:tabs>
          <w:tab w:leader="none" w:pos="941" w:val="left"/>
        </w:tabs>
        <w:numPr>
          <w:ilvl w:val="0"/>
          <w:numId w:val="212"/>
        </w:numPr>
        <w:rPr>
          <w:rFonts w:ascii="Arial" w:cs="Arial" w:eastAsia="Arial" w:hAnsi="Arial"/>
          <w:sz w:val="19"/>
          <w:szCs w:val="19"/>
          <w:u w:val="single" w:color="auto"/>
          <w:color w:val="auto"/>
        </w:rPr>
      </w:pPr>
      <w:r>
        <w:rPr>
          <w:rFonts w:ascii="Arial" w:cs="Arial" w:eastAsia="Arial" w:hAnsi="Arial"/>
          <w:sz w:val="19"/>
          <w:szCs w:val="19"/>
          <w:color w:val="auto"/>
        </w:rPr>
        <w:t>above shall be deemed to have waived all of such Tag</w:t>
      </w:r>
      <w:r>
        <w:rPr>
          <w:rFonts w:ascii="MS PGothic" w:cs="MS PGothic" w:eastAsia="MS PGothic" w:hAnsi="MS PGothic"/>
          <w:sz w:val="19"/>
          <w:szCs w:val="19"/>
          <w:color w:val="auto"/>
        </w:rPr>
        <w:t>‑</w:t>
      </w:r>
      <w:r>
        <w:rPr>
          <w:rFonts w:ascii="Arial" w:cs="Arial" w:eastAsia="Arial" w:hAnsi="Arial"/>
          <w:sz w:val="19"/>
          <w:szCs w:val="19"/>
          <w:color w:val="auto"/>
        </w:rPr>
        <w:t>Along Shareholder’s rights to participate in such Tag-Along Sale, and the Selling Shareholder(s) shall (subject to the rights of any other Tag-Along Shareholder which have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9" w:name="page190"/>
    <w:bookmarkEnd w:id="189"/>
    <w:p>
      <w:pPr>
        <w:jc w:val="both"/>
        <w:ind w:left="660"/>
        <w:spacing w:after="0" w:line="297" w:lineRule="auto"/>
        <w:rPr>
          <w:sz w:val="20"/>
          <w:szCs w:val="20"/>
          <w:color w:val="auto"/>
        </w:rPr>
      </w:pPr>
      <w:r>
        <w:rPr>
          <w:rFonts w:ascii="Arial" w:cs="Arial" w:eastAsia="Arial" w:hAnsi="Arial"/>
          <w:sz w:val="19"/>
          <w:szCs w:val="19"/>
          <w:color w:val="auto"/>
        </w:rPr>
        <w:t>been validly exercised) thereafter be free to Transfer to the Proposed Transferee its Shares at a per Share price that is no greater than the per Share price set forth in the Sale Notice and on other terms and conditions which are not materially more favorable to the Selling Shareholder(s), in the aggregate, than those set forth in the Sale Notice.</w:t>
      </w:r>
    </w:p>
    <w:p>
      <w:pPr>
        <w:spacing w:after="0" w:line="161" w:lineRule="exact"/>
        <w:rPr>
          <w:sz w:val="20"/>
          <w:szCs w:val="20"/>
          <w:color w:val="auto"/>
        </w:rPr>
      </w:pPr>
    </w:p>
    <w:p>
      <w:pPr>
        <w:jc w:val="both"/>
        <w:ind w:firstLine="1304"/>
        <w:spacing w:after="0" w:line="235" w:lineRule="auto"/>
        <w:tabs>
          <w:tab w:leader="none" w:pos="2236" w:val="left"/>
        </w:tabs>
        <w:numPr>
          <w:ilvl w:val="0"/>
          <w:numId w:val="213"/>
        </w:numPr>
        <w:rPr>
          <w:rFonts w:ascii="Arial" w:cs="Arial" w:eastAsia="Arial" w:hAnsi="Arial"/>
          <w:sz w:val="22"/>
          <w:szCs w:val="22"/>
          <w:color w:val="010000"/>
        </w:rPr>
      </w:pPr>
      <w:r>
        <w:rPr>
          <w:rFonts w:ascii="Arial" w:cs="Arial" w:eastAsia="Arial" w:hAnsi="Arial"/>
          <w:sz w:val="22"/>
          <w:szCs w:val="22"/>
          <w:u w:val="single" w:color="auto"/>
          <w:color w:val="auto"/>
        </w:rPr>
        <w:t>Consideration</w:t>
      </w:r>
      <w:r>
        <w:rPr>
          <w:rFonts w:ascii="Arial" w:cs="Arial" w:eastAsia="Arial" w:hAnsi="Arial"/>
          <w:sz w:val="22"/>
          <w:szCs w:val="22"/>
          <w:color w:val="auto"/>
        </w:rPr>
        <w:t xml:space="preserve">. Each Tag-Along Shareholder participating in a Tag-Along Sale shall receive the same consideration per Share as the Selling Shareholder(s) (including, in the event of any proposed indirect Transfer of Shares, the amount payable in respect of such Shares (on a per-Share basis) shall be calculated on a “look-through” basis (as if the applicable Transfer was a direct Transfer of Shares), taking into account such other facts and circumstances as the Company Board, acting in good faith, deems appropriate) after deduction of such Tag-Along Shareholder’s proportionate share of related expenses in accordance with </w:t>
      </w:r>
      <w:r>
        <w:rPr>
          <w:rFonts w:ascii="Arial" w:cs="Arial" w:eastAsia="Arial" w:hAnsi="Arial"/>
          <w:sz w:val="22"/>
          <w:szCs w:val="22"/>
          <w:u w:val="single" w:color="auto"/>
          <w:color w:val="auto"/>
        </w:rPr>
        <w:t>Section 3.03(f)</w:t>
      </w:r>
      <w:r>
        <w:rPr>
          <w:rFonts w:ascii="Arial" w:cs="Arial" w:eastAsia="Arial" w:hAnsi="Arial"/>
          <w:sz w:val="22"/>
          <w:szCs w:val="22"/>
          <w:color w:val="auto"/>
        </w:rPr>
        <w:t xml:space="preserve"> below.</w:t>
      </w:r>
    </w:p>
    <w:p>
      <w:pPr>
        <w:spacing w:after="0" w:line="214" w:lineRule="exact"/>
        <w:rPr>
          <w:rFonts w:ascii="Arial" w:cs="Arial" w:eastAsia="Arial" w:hAnsi="Arial"/>
          <w:sz w:val="22"/>
          <w:szCs w:val="22"/>
          <w:color w:val="010000"/>
        </w:rPr>
      </w:pPr>
    </w:p>
    <w:p>
      <w:pPr>
        <w:jc w:val="both"/>
        <w:ind w:firstLine="1304"/>
        <w:spacing w:after="0" w:line="246" w:lineRule="exact"/>
        <w:tabs>
          <w:tab w:leader="none" w:pos="2076" w:val="left"/>
        </w:tabs>
        <w:numPr>
          <w:ilvl w:val="0"/>
          <w:numId w:val="213"/>
        </w:numPr>
        <w:rPr>
          <w:rFonts w:ascii="Arial" w:cs="Arial" w:eastAsia="Arial" w:hAnsi="Arial"/>
          <w:sz w:val="21"/>
          <w:szCs w:val="21"/>
          <w:color w:val="010000"/>
        </w:rPr>
      </w:pPr>
      <w:r>
        <w:rPr>
          <w:rFonts w:ascii="Arial" w:cs="Arial" w:eastAsia="Arial" w:hAnsi="Arial"/>
          <w:sz w:val="21"/>
          <w:szCs w:val="21"/>
          <w:u w:val="single" w:color="auto"/>
          <w:color w:val="auto"/>
        </w:rPr>
        <w:t>Conditions of Sale</w:t>
      </w:r>
      <w:r>
        <w:rPr>
          <w:rFonts w:ascii="Arial" w:cs="Arial" w:eastAsia="Arial" w:hAnsi="Arial"/>
          <w:sz w:val="21"/>
          <w:szCs w:val="21"/>
          <w:color w:val="auto"/>
        </w:rPr>
        <w:t>. Each Tag-Along Shareholder participating in a Tag</w:t>
      </w:r>
      <w:r>
        <w:rPr>
          <w:rFonts w:ascii="MS PGothic" w:cs="MS PGothic" w:eastAsia="MS PGothic" w:hAnsi="MS PGothic"/>
          <w:sz w:val="21"/>
          <w:szCs w:val="21"/>
          <w:color w:val="auto"/>
        </w:rPr>
        <w:t>‑</w:t>
      </w:r>
      <w:r>
        <w:rPr>
          <w:rFonts w:ascii="Arial" w:cs="Arial" w:eastAsia="Arial" w:hAnsi="Arial"/>
          <w:sz w:val="21"/>
          <w:szCs w:val="21"/>
          <w:color w:val="auto"/>
        </w:rPr>
        <w:t xml:space="preserve">Along Sale shall make or provide the same representations, warranties, covenants, indemnities and agreements as the Selling Shareholder(s) makes or provides in connection with the Tag-Along Sale (except that in the case of representations, warranties, covenants, indemnities and agreements pertaining specifically to the Selling Shareholder(s), the Tag-Along Shareholder shall, subject to the following proviso, make the comparable representations, warranties, covenants, indemnities and agreements pertaining specifically to itself); </w:t>
      </w:r>
      <w:r>
        <w:rPr>
          <w:rFonts w:ascii="Arial" w:cs="Arial" w:eastAsia="Arial" w:hAnsi="Arial"/>
          <w:sz w:val="21"/>
          <w:szCs w:val="21"/>
          <w:u w:val="single" w:color="auto"/>
          <w:color w:val="auto"/>
        </w:rPr>
        <w:t>provided</w:t>
      </w:r>
      <w:r>
        <w:rPr>
          <w:rFonts w:ascii="Arial" w:cs="Arial" w:eastAsia="Arial" w:hAnsi="Arial"/>
          <w:sz w:val="21"/>
          <w:szCs w:val="21"/>
          <w:color w:val="auto"/>
        </w:rPr>
        <w:t>, that (i) all representations, warranties, covenants and indemnities shall be made by the Selling Shareholder(s) and each other Tag-Along Shareholder severally and not jointly, (ii) no Tag-Along Shareholder shall be required to agree to any non-compete or similar restrictive covenant in connection with such Tag-Along Sale and (iii) any indemnification obligation in respect of breaches of representations and warranties that do not relate to such Tag-Along Shareholder shall be pro rata based on the consideration received by the Selling Shareholder(s) and each Tag-Along Shareholder, in each case, in an amount not to exceed the aggregate proceeds actually received by each such Selling Shareholder and Tag-Along Shareholder in connection with any Tag-Along Sale.</w:t>
      </w:r>
    </w:p>
    <w:p>
      <w:pPr>
        <w:spacing w:after="0" w:line="212" w:lineRule="exact"/>
        <w:rPr>
          <w:rFonts w:ascii="Arial" w:cs="Arial" w:eastAsia="Arial" w:hAnsi="Arial"/>
          <w:sz w:val="21"/>
          <w:szCs w:val="21"/>
          <w:color w:val="010000"/>
        </w:rPr>
      </w:pPr>
    </w:p>
    <w:p>
      <w:pPr>
        <w:jc w:val="both"/>
        <w:ind w:firstLine="1304"/>
        <w:spacing w:after="0" w:line="248" w:lineRule="exact"/>
        <w:tabs>
          <w:tab w:leader="none" w:pos="2106" w:val="left"/>
        </w:tabs>
        <w:numPr>
          <w:ilvl w:val="0"/>
          <w:numId w:val="213"/>
        </w:numPr>
        <w:rPr>
          <w:rFonts w:ascii="Arial" w:cs="Arial" w:eastAsia="Arial" w:hAnsi="Arial"/>
          <w:sz w:val="19"/>
          <w:szCs w:val="19"/>
          <w:color w:val="010000"/>
        </w:rPr>
      </w:pPr>
      <w:r>
        <w:rPr>
          <w:rFonts w:ascii="Arial" w:cs="Arial" w:eastAsia="Arial" w:hAnsi="Arial"/>
          <w:sz w:val="19"/>
          <w:szCs w:val="19"/>
          <w:u w:val="single" w:color="auto"/>
          <w:color w:val="auto"/>
        </w:rPr>
        <w:t>Expenses</w:t>
      </w:r>
      <w:r>
        <w:rPr>
          <w:rFonts w:ascii="Arial" w:cs="Arial" w:eastAsia="Arial" w:hAnsi="Arial"/>
          <w:sz w:val="19"/>
          <w:szCs w:val="19"/>
          <w:color w:val="auto"/>
        </w:rPr>
        <w:t>. The fees and expenses of the Selling Shareholder(s) incurred in connection with a Tag-Along Sale and for the benefit of all Shareholders participating in such Tag</w:t>
      </w:r>
      <w:r>
        <w:rPr>
          <w:rFonts w:ascii="MS PGothic" w:cs="MS PGothic" w:eastAsia="MS PGothic" w:hAnsi="MS PGothic"/>
          <w:sz w:val="19"/>
          <w:szCs w:val="19"/>
          <w:color w:val="auto"/>
        </w:rPr>
        <w:t>‑</w:t>
      </w:r>
      <w:r>
        <w:rPr>
          <w:rFonts w:ascii="Arial" w:cs="Arial" w:eastAsia="Arial" w:hAnsi="Arial"/>
          <w:sz w:val="19"/>
          <w:szCs w:val="19"/>
          <w:color w:val="auto"/>
        </w:rPr>
        <w:t xml:space="preserve">Along Sale (including, for the avoidance of doubt, the Selling Shareholder(s)) as determined in good faith by the Company Board, to the extent not paid or reimbursed by the Company or the Proposed Transferee, shall be shared by all such participating Shareholders on a pro rata basis, based on the consideration received by each such participating Shareholder; </w:t>
      </w:r>
      <w:r>
        <w:rPr>
          <w:rFonts w:ascii="Arial" w:cs="Arial" w:eastAsia="Arial" w:hAnsi="Arial"/>
          <w:sz w:val="19"/>
          <w:szCs w:val="19"/>
          <w:u w:val="single" w:color="auto"/>
          <w:color w:val="auto"/>
        </w:rPr>
        <w:t>provided</w:t>
      </w:r>
      <w:r>
        <w:rPr>
          <w:rFonts w:ascii="Arial" w:cs="Arial" w:eastAsia="Arial" w:hAnsi="Arial"/>
          <w:sz w:val="19"/>
          <w:szCs w:val="19"/>
          <w:color w:val="auto"/>
        </w:rPr>
        <w:t>, that no Tag-Along Shareholder shall be obligated to make or reimburse any out-of-pocket expenditure prior to the consummation of the Tag-Along Sale.</w:t>
      </w:r>
    </w:p>
    <w:p>
      <w:pPr>
        <w:spacing w:after="0" w:line="215" w:lineRule="exact"/>
        <w:rPr>
          <w:rFonts w:ascii="Arial" w:cs="Arial" w:eastAsia="Arial" w:hAnsi="Arial"/>
          <w:sz w:val="19"/>
          <w:szCs w:val="19"/>
          <w:color w:val="010000"/>
        </w:rPr>
      </w:pPr>
    </w:p>
    <w:p>
      <w:pPr>
        <w:jc w:val="both"/>
        <w:ind w:firstLine="1304"/>
        <w:spacing w:after="0" w:line="238" w:lineRule="auto"/>
        <w:tabs>
          <w:tab w:leader="none" w:pos="2317" w:val="left"/>
        </w:tabs>
        <w:numPr>
          <w:ilvl w:val="0"/>
          <w:numId w:val="213"/>
        </w:numPr>
        <w:rPr>
          <w:rFonts w:ascii="Arial" w:cs="Arial" w:eastAsia="Arial" w:hAnsi="Arial"/>
          <w:sz w:val="22"/>
          <w:szCs w:val="22"/>
          <w:color w:val="010000"/>
        </w:rPr>
      </w:pPr>
      <w:r>
        <w:rPr>
          <w:rFonts w:ascii="Arial" w:cs="Arial" w:eastAsia="Arial" w:hAnsi="Arial"/>
          <w:sz w:val="22"/>
          <w:szCs w:val="22"/>
          <w:u w:val="single" w:color="auto"/>
          <w:color w:val="auto"/>
        </w:rPr>
        <w:t>Cooperation</w:t>
      </w:r>
      <w:r>
        <w:rPr>
          <w:rFonts w:ascii="Arial" w:cs="Arial" w:eastAsia="Arial" w:hAnsi="Arial"/>
          <w:sz w:val="22"/>
          <w:szCs w:val="22"/>
          <w:color w:val="auto"/>
        </w:rPr>
        <w:t>. Each participating Tag-Along Shareholder shall take all actions as may be reasonably necessary to consummate the Tag-Along Sale, including entering into agreements and delivering certificates and instruments, in each case, consistent with the agreements being entered into and the certificates and instruments being delivered by the Selling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0" w:name="page191"/>
    <w:bookmarkEnd w:id="190"/>
    <w:p>
      <w:pPr>
        <w:ind w:left="2100" w:hanging="796"/>
        <w:spacing w:after="0"/>
        <w:tabs>
          <w:tab w:leader="none" w:pos="2100" w:val="left"/>
        </w:tabs>
        <w:numPr>
          <w:ilvl w:val="0"/>
          <w:numId w:val="214"/>
        </w:numPr>
        <w:rPr>
          <w:rFonts w:ascii="Arial" w:cs="Arial" w:eastAsia="Arial" w:hAnsi="Arial"/>
          <w:sz w:val="22"/>
          <w:szCs w:val="22"/>
          <w:color w:val="010000"/>
        </w:rPr>
      </w:pPr>
      <w:r>
        <w:rPr>
          <w:rFonts w:ascii="Arial" w:cs="Arial" w:eastAsia="Arial" w:hAnsi="Arial"/>
          <w:sz w:val="22"/>
          <w:szCs w:val="22"/>
          <w:u w:val="single" w:color="auto"/>
          <w:color w:val="auto"/>
        </w:rPr>
        <w:t>Consummation of Transfer</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60" w:firstLine="1292"/>
        <w:spacing w:after="0" w:line="246" w:lineRule="auto"/>
        <w:tabs>
          <w:tab w:leader="none" w:pos="2916" w:val="left"/>
        </w:tabs>
        <w:numPr>
          <w:ilvl w:val="1"/>
          <w:numId w:val="214"/>
        </w:numPr>
        <w:rPr>
          <w:rFonts w:ascii="Arial" w:cs="Arial" w:eastAsia="Arial" w:hAnsi="Arial"/>
          <w:sz w:val="21"/>
          <w:szCs w:val="21"/>
          <w:color w:val="010000"/>
        </w:rPr>
      </w:pPr>
      <w:r>
        <w:rPr>
          <w:rFonts w:ascii="Arial" w:cs="Arial" w:eastAsia="Arial" w:hAnsi="Arial"/>
          <w:sz w:val="21"/>
          <w:szCs w:val="21"/>
          <w:color w:val="auto"/>
        </w:rPr>
        <w:t xml:space="preserve">The Selling Shareholder(s) shall, in its sole discretion, decide whether or not to consummate, postpone or abandon any Tag-Along Sale. Notwithstanding anything to the contrary in this </w:t>
      </w:r>
      <w:r>
        <w:rPr>
          <w:rFonts w:ascii="Arial" w:cs="Arial" w:eastAsia="Arial" w:hAnsi="Arial"/>
          <w:sz w:val="21"/>
          <w:szCs w:val="21"/>
          <w:u w:val="single" w:color="auto"/>
          <w:color w:val="auto"/>
        </w:rPr>
        <w:t>Section 3.03</w:t>
      </w:r>
      <w:r>
        <w:rPr>
          <w:rFonts w:ascii="Arial" w:cs="Arial" w:eastAsia="Arial" w:hAnsi="Arial"/>
          <w:sz w:val="21"/>
          <w:szCs w:val="21"/>
          <w:color w:val="auto"/>
        </w:rPr>
        <w:t xml:space="preserve">, the Tag-Along Shareholders shall not be entitled to Transfer any Shares to a Proposed Transferee if the Selling Shareholder(s) determines not to, or fails to, consummate any Tag-Along Sale. No Shareholder shall have any liability to any other Shareholder or the Company arising from, relating to or in connection with the consummation, postponement, abandonment or the terms and conditions of any Tag-Along Sale except to the extent such Shareholder shall have failed to comply with the provisions of this </w:t>
      </w:r>
      <w:r>
        <w:rPr>
          <w:rFonts w:ascii="Arial" w:cs="Arial" w:eastAsia="Arial" w:hAnsi="Arial"/>
          <w:sz w:val="21"/>
          <w:szCs w:val="21"/>
          <w:u w:val="single" w:color="auto"/>
          <w:color w:val="auto"/>
        </w:rPr>
        <w:t>Section 3.03</w:t>
      </w:r>
      <w:r>
        <w:rPr>
          <w:rFonts w:ascii="Arial" w:cs="Arial" w:eastAsia="Arial" w:hAnsi="Arial"/>
          <w:sz w:val="21"/>
          <w:szCs w:val="21"/>
          <w:color w:val="auto"/>
        </w:rPr>
        <w:t>.</w:t>
      </w:r>
    </w:p>
    <w:p>
      <w:pPr>
        <w:spacing w:after="0" w:line="211" w:lineRule="exact"/>
        <w:rPr>
          <w:rFonts w:ascii="Arial" w:cs="Arial" w:eastAsia="Arial" w:hAnsi="Arial"/>
          <w:sz w:val="21"/>
          <w:szCs w:val="21"/>
          <w:color w:val="010000"/>
        </w:rPr>
      </w:pPr>
    </w:p>
    <w:p>
      <w:pPr>
        <w:jc w:val="both"/>
        <w:ind w:left="660" w:firstLine="1292"/>
        <w:spacing w:after="0" w:line="272" w:lineRule="auto"/>
        <w:tabs>
          <w:tab w:leader="none" w:pos="2841" w:val="left"/>
        </w:tabs>
        <w:numPr>
          <w:ilvl w:val="1"/>
          <w:numId w:val="214"/>
        </w:numPr>
        <w:rPr>
          <w:rFonts w:ascii="Arial" w:cs="Arial" w:eastAsia="Arial" w:hAnsi="Arial"/>
          <w:sz w:val="19"/>
          <w:szCs w:val="19"/>
          <w:color w:val="010000"/>
        </w:rPr>
      </w:pPr>
      <w:r>
        <w:rPr>
          <w:rFonts w:ascii="Arial" w:cs="Arial" w:eastAsia="Arial" w:hAnsi="Arial"/>
          <w:sz w:val="19"/>
          <w:szCs w:val="19"/>
          <w:color w:val="auto"/>
        </w:rPr>
        <w:t xml:space="preserve">If the Selling Shareholder(s) Transfers to the Proposed Transferee any of its Shares in breach of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then each Tag-Along Shareholder shall have the right to Transfer to the Selling Shareholder(s), and the Selling Shareholder(s) undertakes to purchase from each Tag-Along Shareholder, the number of Shares that such Tag-Along Shareholder would have had the right to Transfer to the Proposed Transferee pursuant to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for a per Share amount and form of consideration and upon the terms and conditions on which the Proposed Transferee bought such Shares from the Selling Shareholder(s), but without any indemnity or other post-closing obligation being granted by any Tag-Along Shareholder to the Selling Shareholder(s);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w:t>
      </w:r>
      <w:r>
        <w:rPr>
          <w:rFonts w:ascii="Arial" w:cs="Arial" w:eastAsia="Arial" w:hAnsi="Arial"/>
          <w:sz w:val="19"/>
          <w:szCs w:val="19"/>
          <w:u w:val="single" w:color="auto"/>
          <w:color w:val="auto"/>
        </w:rPr>
        <w:t>Section 3.03(h)(ii)</w:t>
      </w:r>
      <w:r>
        <w:rPr>
          <w:rFonts w:ascii="Arial" w:cs="Arial" w:eastAsia="Arial" w:hAnsi="Arial"/>
          <w:sz w:val="19"/>
          <w:szCs w:val="19"/>
          <w:color w:val="auto"/>
        </w:rPr>
        <w:t xml:space="preserve"> shall preclude any Tag-Along Shareholder from seeking alternative remedies against such Selling Shareholder(s) as a result of its breach of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 Selling Shareholder(s) shall also reimburse each Tag-Along Shareholder for any and all reasonable and documented out-of-pocket fees and expenses, including reasonable legal fees and expenses, incurred pursuant to the exercise or the attempted exercise of the Tag-Along Shareholder’s rights pursuant to this </w:t>
      </w:r>
      <w:r>
        <w:rPr>
          <w:rFonts w:ascii="Arial" w:cs="Arial" w:eastAsia="Arial" w:hAnsi="Arial"/>
          <w:sz w:val="19"/>
          <w:szCs w:val="19"/>
          <w:u w:val="single" w:color="auto"/>
          <w:color w:val="auto"/>
        </w:rPr>
        <w:t>Section 3.03(h)</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Section 3.04. </w:t>
      </w:r>
      <w:r>
        <w:rPr>
          <w:rFonts w:ascii="Arial" w:cs="Arial" w:eastAsia="Arial" w:hAnsi="Arial"/>
          <w:sz w:val="19"/>
          <w:szCs w:val="19"/>
          <w:u w:val="single" w:color="auto"/>
          <w:color w:val="000000"/>
        </w:rPr>
        <w:t>Cooperation with Transfer</w:t>
      </w:r>
      <w:r>
        <w:rPr>
          <w:rFonts w:ascii="Arial" w:cs="Arial" w:eastAsia="Arial" w:hAnsi="Arial"/>
          <w:sz w:val="19"/>
          <w:szCs w:val="19"/>
          <w:color w:val="000000"/>
        </w:rPr>
        <w:t>. In the event a Shareholder desires to Transfer all or any portion of</w:t>
      </w:r>
      <w:r>
        <w:rPr>
          <w:rFonts w:ascii="Arial" w:cs="Arial" w:eastAsia="Arial" w:hAnsi="Arial"/>
          <w:sz w:val="19"/>
          <w:szCs w:val="19"/>
          <w:color w:val="010000"/>
        </w:rPr>
        <w:t xml:space="preserve"> </w:t>
      </w:r>
      <w:r>
        <w:rPr>
          <w:rFonts w:ascii="Arial" w:cs="Arial" w:eastAsia="Arial" w:hAnsi="Arial"/>
          <w:sz w:val="19"/>
          <w:szCs w:val="19"/>
          <w:color w:val="000000"/>
        </w:rPr>
        <w:t xml:space="preserve">its Shares in accordance with this </w:t>
      </w:r>
      <w:r>
        <w:rPr>
          <w:rFonts w:ascii="Arial" w:cs="Arial" w:eastAsia="Arial" w:hAnsi="Arial"/>
          <w:sz w:val="19"/>
          <w:szCs w:val="19"/>
          <w:u w:val="single" w:color="auto"/>
          <w:color w:val="000000"/>
        </w:rPr>
        <w:t>Article III</w:t>
      </w:r>
      <w:r>
        <w:rPr>
          <w:rFonts w:ascii="Arial" w:cs="Arial" w:eastAsia="Arial" w:hAnsi="Arial"/>
          <w:sz w:val="19"/>
          <w:szCs w:val="19"/>
          <w:color w:val="000000"/>
        </w:rPr>
        <w:t>, the Company shall, and shall cause its Subsidiaries to, and each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1" w:name="page192"/>
    <w:bookmarkEnd w:id="191"/>
    <w:p>
      <w:pPr>
        <w:jc w:val="both"/>
        <w:spacing w:after="0" w:line="238" w:lineRule="auto"/>
        <w:rPr>
          <w:sz w:val="20"/>
          <w:szCs w:val="20"/>
          <w:color w:val="auto"/>
        </w:rPr>
      </w:pPr>
      <w:r>
        <w:rPr>
          <w:rFonts w:ascii="Arial" w:cs="Arial" w:eastAsia="Arial" w:hAnsi="Arial"/>
          <w:sz w:val="22"/>
          <w:szCs w:val="22"/>
          <w:color w:val="auto"/>
        </w:rPr>
        <w:t>reasonable and customary confidentiality provisions. For the purposes of this Section 3.04, what constitutes “reasonable cooperation” and “reasonably assisting” shall be determined by reference to what resources the Company and its Subsidiaries have available to them at the time and shall not require the Company or its Subsidiaries to do anything that unduly interferes with the ongoing operation of their businesses.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OTHER COVENANTS</w:t>
      </w:r>
    </w:p>
    <w:p>
      <w:pPr>
        <w:spacing w:after="0" w:line="23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010000"/>
        </w:rPr>
        <w:t xml:space="preserve">Section 4.01. </w:t>
      </w:r>
      <w:r>
        <w:rPr>
          <w:rFonts w:ascii="Arial" w:cs="Arial" w:eastAsia="Arial" w:hAnsi="Arial"/>
          <w:sz w:val="22"/>
          <w:szCs w:val="22"/>
          <w:u w:val="single" w:color="auto"/>
          <w:color w:val="000000"/>
        </w:rPr>
        <w:t>Further Assurances</w:t>
      </w:r>
      <w:r>
        <w:rPr>
          <w:rFonts w:ascii="Arial" w:cs="Arial" w:eastAsia="Arial" w:hAnsi="Arial"/>
          <w:sz w:val="22"/>
          <w:szCs w:val="22"/>
          <w:color w:val="000000"/>
        </w:rPr>
        <w:t>. In connection with this Agreement and the transactions contemplated</w:t>
      </w:r>
      <w:r>
        <w:rPr>
          <w:rFonts w:ascii="Arial" w:cs="Arial" w:eastAsia="Arial" w:hAnsi="Arial"/>
          <w:sz w:val="22"/>
          <w:szCs w:val="22"/>
          <w:color w:val="010000"/>
        </w:rPr>
        <w:t xml:space="preserve"> </w:t>
      </w:r>
      <w:r>
        <w:rPr>
          <w:rFonts w:ascii="Arial" w:cs="Arial" w:eastAsia="Arial" w:hAnsi="Arial"/>
          <w:sz w:val="22"/>
          <w:szCs w:val="22"/>
          <w:color w:val="000000"/>
        </w:rPr>
        <w:t xml:space="preserve">hereby, at any time and from time to time after the date hereof, the Company and each Shareholder shall cooperate with each other and, at the reasonable request of the Company, execute and deliver all such further instruments and documents and take such other and further action as may be reasonably necessary or appropriate to carry out the provisions of this Agreement and the intention of the parties hereto as expressed herein; </w:t>
      </w:r>
      <w:r>
        <w:rPr>
          <w:rFonts w:ascii="Arial" w:cs="Arial" w:eastAsia="Arial" w:hAnsi="Arial"/>
          <w:sz w:val="22"/>
          <w:szCs w:val="22"/>
          <w:u w:val="single" w:color="auto"/>
          <w:color w:val="000000"/>
        </w:rPr>
        <w:t>provided</w:t>
      </w:r>
      <w:r>
        <w:rPr>
          <w:rFonts w:ascii="Arial" w:cs="Arial" w:eastAsia="Arial" w:hAnsi="Arial"/>
          <w:sz w:val="22"/>
          <w:szCs w:val="22"/>
          <w:color w:val="000000"/>
        </w:rPr>
        <w:t>, that any such instrument or action does not increase a Shareholder’s obligations or have an adverse effect upon such Shareholder’s rights under this Agreement with such Shareholder’s prior written consent.</w:t>
      </w:r>
    </w:p>
    <w:p>
      <w:pPr>
        <w:spacing w:after="0" w:line="21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010000"/>
        </w:rPr>
        <w:t xml:space="preserve">Section 4.02. </w:t>
      </w:r>
      <w:r>
        <w:rPr>
          <w:rFonts w:ascii="Arial" w:cs="Arial" w:eastAsia="Arial" w:hAnsi="Arial"/>
          <w:sz w:val="22"/>
          <w:szCs w:val="22"/>
          <w:u w:val="single" w:color="auto"/>
          <w:color w:val="000000"/>
        </w:rPr>
        <w:t>Information</w:t>
      </w:r>
      <w:r>
        <w:rPr>
          <w:rFonts w:ascii="Arial" w:cs="Arial" w:eastAsia="Arial" w:hAnsi="Arial"/>
          <w:sz w:val="22"/>
          <w:szCs w:val="22"/>
          <w:color w:val="000000"/>
        </w:rPr>
        <w:t>. The Company will prepare and provide, or cause to be prepared and provided, at</w:t>
      </w:r>
      <w:r>
        <w:rPr>
          <w:rFonts w:ascii="Arial" w:cs="Arial" w:eastAsia="Arial" w:hAnsi="Arial"/>
          <w:sz w:val="22"/>
          <w:szCs w:val="22"/>
          <w:color w:val="010000"/>
        </w:rPr>
        <w:t xml:space="preserve"> </w:t>
      </w:r>
      <w:r>
        <w:rPr>
          <w:rFonts w:ascii="Arial" w:cs="Arial" w:eastAsia="Arial" w:hAnsi="Arial"/>
          <w:sz w:val="22"/>
          <w:szCs w:val="22"/>
          <w:color w:val="000000"/>
        </w:rPr>
        <w:t>the cost of the Company, to each Significant Shareholder:</w:t>
      </w:r>
    </w:p>
    <w:p>
      <w:pPr>
        <w:spacing w:after="0" w:line="202" w:lineRule="exact"/>
        <w:rPr>
          <w:sz w:val="20"/>
          <w:szCs w:val="20"/>
          <w:color w:val="auto"/>
        </w:rPr>
      </w:pPr>
    </w:p>
    <w:p>
      <w:pPr>
        <w:jc w:val="both"/>
        <w:ind w:firstLine="1304"/>
        <w:spacing w:after="0" w:line="287" w:lineRule="auto"/>
        <w:tabs>
          <w:tab w:leader="none" w:pos="2292"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as soon as practicable, but in any event within 90 days after the end of each fiscal year, the audited consolidated financial statements of the Company and its Subsidiaries, prepared in accordance with IFRS and accompanied by the opinion of an independent registered public accounting firm of nationally recognized standing, including the audited consolidated statements of financial position, income, cash flows and changes in equity as of the end of, and for, such fiscal year;</w:t>
      </w:r>
    </w:p>
    <w:p>
      <w:pPr>
        <w:spacing w:after="0" w:line="169" w:lineRule="exact"/>
        <w:rPr>
          <w:rFonts w:ascii="Arial" w:cs="Arial" w:eastAsia="Arial" w:hAnsi="Arial"/>
          <w:sz w:val="19"/>
          <w:szCs w:val="19"/>
          <w:color w:val="010000"/>
        </w:rPr>
      </w:pPr>
    </w:p>
    <w:p>
      <w:pPr>
        <w:jc w:val="both"/>
        <w:ind w:firstLine="1304"/>
        <w:spacing w:after="0" w:line="236" w:lineRule="auto"/>
        <w:tabs>
          <w:tab w:leader="none" w:pos="2182" w:val="left"/>
        </w:tabs>
        <w:numPr>
          <w:ilvl w:val="0"/>
          <w:numId w:val="215"/>
        </w:numPr>
        <w:rPr>
          <w:rFonts w:ascii="Arial" w:cs="Arial" w:eastAsia="Arial" w:hAnsi="Arial"/>
          <w:sz w:val="22"/>
          <w:szCs w:val="22"/>
          <w:color w:val="010000"/>
        </w:rPr>
      </w:pPr>
      <w:r>
        <w:rPr>
          <w:rFonts w:ascii="Arial" w:cs="Arial" w:eastAsia="Arial" w:hAnsi="Arial"/>
          <w:sz w:val="22"/>
          <w:szCs w:val="22"/>
          <w:color w:val="auto"/>
        </w:rPr>
        <w:t>as promptly as practicable, but in any event within 60 days after the end of the first six months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six-month period;</w:t>
      </w:r>
    </w:p>
    <w:p>
      <w:pPr>
        <w:spacing w:after="0" w:line="214" w:lineRule="exact"/>
        <w:rPr>
          <w:rFonts w:ascii="Arial" w:cs="Arial" w:eastAsia="Arial" w:hAnsi="Arial"/>
          <w:sz w:val="22"/>
          <w:szCs w:val="22"/>
          <w:color w:val="010000"/>
        </w:rPr>
      </w:pPr>
    </w:p>
    <w:p>
      <w:pPr>
        <w:jc w:val="both"/>
        <w:ind w:firstLine="1304"/>
        <w:spacing w:after="0" w:line="236" w:lineRule="auto"/>
        <w:tabs>
          <w:tab w:leader="none" w:pos="2224" w:val="left"/>
        </w:tabs>
        <w:numPr>
          <w:ilvl w:val="0"/>
          <w:numId w:val="215"/>
        </w:numPr>
        <w:rPr>
          <w:rFonts w:ascii="Arial" w:cs="Arial" w:eastAsia="Arial" w:hAnsi="Arial"/>
          <w:sz w:val="22"/>
          <w:szCs w:val="22"/>
          <w:color w:val="010000"/>
        </w:rPr>
      </w:pPr>
      <w:r>
        <w:rPr>
          <w:rFonts w:ascii="Arial" w:cs="Arial" w:eastAsia="Arial" w:hAnsi="Arial"/>
          <w:sz w:val="22"/>
          <w:szCs w:val="22"/>
          <w:color w:val="auto"/>
        </w:rPr>
        <w:t>as promptly as practicable, but in any event within 45 days after the end of each of the first and third fiscal quarters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fiscal quarter;</w:t>
      </w:r>
    </w:p>
    <w:p>
      <w:pPr>
        <w:spacing w:after="0" w:line="214" w:lineRule="exact"/>
        <w:rPr>
          <w:rFonts w:ascii="Arial" w:cs="Arial" w:eastAsia="Arial" w:hAnsi="Arial"/>
          <w:sz w:val="22"/>
          <w:szCs w:val="22"/>
          <w:color w:val="010000"/>
        </w:rPr>
      </w:pPr>
    </w:p>
    <w:p>
      <w:pPr>
        <w:jc w:val="both"/>
        <w:ind w:firstLine="1304"/>
        <w:spacing w:after="0"/>
        <w:tabs>
          <w:tab w:leader="none" w:pos="2317" w:val="left"/>
        </w:tabs>
        <w:numPr>
          <w:ilvl w:val="0"/>
          <w:numId w:val="215"/>
        </w:numPr>
        <w:rPr>
          <w:rFonts w:ascii="Arial" w:cs="Arial" w:eastAsia="Arial" w:hAnsi="Arial"/>
          <w:sz w:val="22"/>
          <w:szCs w:val="22"/>
          <w:color w:val="010000"/>
        </w:rPr>
      </w:pPr>
      <w:r>
        <w:rPr>
          <w:rFonts w:ascii="Arial" w:cs="Arial" w:eastAsia="Arial" w:hAnsi="Arial"/>
          <w:sz w:val="22"/>
          <w:szCs w:val="22"/>
          <w:color w:val="auto"/>
        </w:rPr>
        <w:t>as promptly as practicable, but in any event within 21 days after the end of each month, a monthly management information pack in the form customarily provided by Company management and including any additions for such month reasonably requested by a Significant Shareholder;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2" w:name="page193"/>
    <w:bookmarkEnd w:id="192"/>
    <w:p>
      <w:pPr>
        <w:jc w:val="both"/>
        <w:ind w:firstLine="1304"/>
        <w:spacing w:after="0" w:line="279" w:lineRule="auto"/>
        <w:tabs>
          <w:tab w:leader="none" w:pos="2386" w:val="left"/>
        </w:tabs>
        <w:numPr>
          <w:ilvl w:val="0"/>
          <w:numId w:val="216"/>
        </w:numPr>
        <w:rPr>
          <w:rFonts w:ascii="Arial" w:cs="Arial" w:eastAsia="Arial" w:hAnsi="Arial"/>
          <w:sz w:val="19"/>
          <w:szCs w:val="19"/>
          <w:color w:val="010000"/>
        </w:rPr>
      </w:pPr>
      <w:r>
        <w:rPr>
          <w:rFonts w:ascii="Arial" w:cs="Arial" w:eastAsia="Arial" w:hAnsi="Arial"/>
          <w:sz w:val="19"/>
          <w:szCs w:val="19"/>
          <w:color w:val="auto"/>
        </w:rPr>
        <w:t xml:space="preserve">on a monthly basis, a conference call with officers of the Company to discuss the operations and performance of the Company and such other issues as such Significant Shareholder may reasonably request in advance of such call;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request to hold joint calls with representatives from one or more Significant Shareholders present, and shall not be required to hold individual calls with each Significant Shareholder unless one or more Significant Shareholder reasonably and in good faith declines such request to hold joint calls for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confidentiality or other reason (including by reason of inability to attend such conference call after making all reasonable efforts to so attend);</w:t>
      </w:r>
    </w:p>
    <w:p>
      <w:pPr>
        <w:spacing w:after="0" w:line="177" w:lineRule="exact"/>
        <w:rPr>
          <w:rFonts w:ascii="Arial" w:cs="Arial" w:eastAsia="Arial" w:hAnsi="Arial"/>
          <w:sz w:val="19"/>
          <w:szCs w:val="19"/>
          <w:color w:val="010000"/>
        </w:rPr>
      </w:pPr>
    </w:p>
    <w:p>
      <w:pPr>
        <w:jc w:val="both"/>
        <w:ind w:firstLine="1304"/>
        <w:spacing w:after="0"/>
        <w:tabs>
          <w:tab w:leader="none" w:pos="2295"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upon reasonably advance notice by such Significant Shareholder, reasonable access to the premises, officers, employees, books and records of the Company or any of its Subsidiaries, at reasonable hours and in a manner so as not to unduly disrupt the operations of the Company and its Subsidiaries;</w:t>
      </w:r>
    </w:p>
    <w:p>
      <w:pPr>
        <w:spacing w:after="0" w:line="213" w:lineRule="exact"/>
        <w:rPr>
          <w:rFonts w:ascii="Arial" w:cs="Arial" w:eastAsia="Arial" w:hAnsi="Arial"/>
          <w:sz w:val="22"/>
          <w:szCs w:val="22"/>
          <w:color w:val="010000"/>
        </w:rPr>
      </w:pPr>
    </w:p>
    <w:p>
      <w:pPr>
        <w:jc w:val="both"/>
        <w:ind w:firstLine="1304"/>
        <w:spacing w:after="0" w:line="297" w:lineRule="auto"/>
        <w:tabs>
          <w:tab w:leader="none" w:pos="2101" w:val="left"/>
        </w:tabs>
        <w:numPr>
          <w:ilvl w:val="0"/>
          <w:numId w:val="216"/>
        </w:numPr>
        <w:rPr>
          <w:rFonts w:ascii="Arial" w:cs="Arial" w:eastAsia="Arial" w:hAnsi="Arial"/>
          <w:sz w:val="19"/>
          <w:szCs w:val="19"/>
          <w:color w:val="010000"/>
        </w:rPr>
      </w:pPr>
      <w:r>
        <w:rPr>
          <w:rFonts w:ascii="Arial" w:cs="Arial" w:eastAsia="Arial" w:hAnsi="Arial"/>
          <w:sz w:val="19"/>
          <w:szCs w:val="19"/>
          <w:color w:val="auto"/>
        </w:rPr>
        <w:t>within 60 days after the end of each fiscal year, any information required for a Significant Shareholder or any direct or indirect investor therein to complete and file its tax returns (including, for the avoidance of doubt, any forms or information related to “controlled foreign corporation” or “passive foreign investment company” (“</w:t>
      </w:r>
      <w:r>
        <w:rPr>
          <w:rFonts w:ascii="Arial" w:cs="Arial" w:eastAsia="Arial" w:hAnsi="Arial"/>
          <w:sz w:val="19"/>
          <w:szCs w:val="19"/>
          <w:u w:val="single" w:color="auto"/>
          <w:color w:val="auto"/>
        </w:rPr>
        <w:t>PFIC</w:t>
      </w:r>
      <w:r>
        <w:rPr>
          <w:rFonts w:ascii="Arial" w:cs="Arial" w:eastAsia="Arial" w:hAnsi="Arial"/>
          <w:sz w:val="19"/>
          <w:szCs w:val="19"/>
          <w:color w:val="auto"/>
        </w:rPr>
        <w:t>”) status);</w:t>
      </w:r>
    </w:p>
    <w:p>
      <w:pPr>
        <w:spacing w:after="0" w:line="160" w:lineRule="exact"/>
        <w:rPr>
          <w:rFonts w:ascii="Arial" w:cs="Arial" w:eastAsia="Arial" w:hAnsi="Arial"/>
          <w:sz w:val="19"/>
          <w:szCs w:val="19"/>
          <w:color w:val="010000"/>
        </w:rPr>
      </w:pPr>
    </w:p>
    <w:p>
      <w:pPr>
        <w:jc w:val="both"/>
        <w:ind w:right="20" w:firstLine="1304"/>
        <w:spacing w:after="0" w:line="257" w:lineRule="auto"/>
        <w:tabs>
          <w:tab w:leader="none" w:pos="2169" w:val="left"/>
        </w:tabs>
        <w:numPr>
          <w:ilvl w:val="0"/>
          <w:numId w:val="216"/>
        </w:numPr>
        <w:rPr>
          <w:rFonts w:ascii="Arial" w:cs="Arial" w:eastAsia="Arial" w:hAnsi="Arial"/>
          <w:sz w:val="21"/>
          <w:szCs w:val="21"/>
          <w:color w:val="010000"/>
        </w:rPr>
      </w:pPr>
      <w:r>
        <w:rPr>
          <w:rFonts w:ascii="Arial" w:cs="Arial" w:eastAsia="Arial" w:hAnsi="Arial"/>
          <w:sz w:val="21"/>
          <w:szCs w:val="21"/>
          <w:color w:val="auto"/>
        </w:rPr>
        <w:t>for each fiscal year following a determination that the Company or any Subsidiary is a PFIC, within 60 days after the end of each fiscal year, the Company shall provide to the relevant Significant Shareholders a “PFIC annual information statement” or any other reasonably requested form or information related to such status; and</w:t>
      </w:r>
    </w:p>
    <w:p>
      <w:pPr>
        <w:spacing w:after="0" w:line="196" w:lineRule="exact"/>
        <w:rPr>
          <w:rFonts w:ascii="Arial" w:cs="Arial" w:eastAsia="Arial" w:hAnsi="Arial"/>
          <w:sz w:val="21"/>
          <w:szCs w:val="21"/>
          <w:color w:val="010000"/>
        </w:rPr>
      </w:pPr>
    </w:p>
    <w:p>
      <w:pPr>
        <w:jc w:val="both"/>
        <w:ind w:firstLine="1304"/>
        <w:spacing w:after="0" w:line="238" w:lineRule="auto"/>
        <w:tabs>
          <w:tab w:leader="none" w:pos="2175"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reasonably promptly following written request by such Significant Shareholder, such other financial or other information regarding the Company or any of its Subsidiaries as such Significant Shareholder may reasonably request, and any other information as may be required for such Significant Shareholder or its Affiliates to comply with any requirements under the Securities Act, the Exchange Act, the IRS or any other Law.</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4.03.</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52" w:lineRule="auto"/>
        <w:tabs>
          <w:tab w:leader="none" w:pos="2076" w:val="left"/>
        </w:tabs>
        <w:numPr>
          <w:ilvl w:val="0"/>
          <w:numId w:val="217"/>
        </w:numPr>
        <w:rPr>
          <w:rFonts w:ascii="Arial" w:cs="Arial" w:eastAsia="Arial" w:hAnsi="Arial"/>
          <w:sz w:val="21"/>
          <w:szCs w:val="21"/>
          <w:color w:val="010000"/>
        </w:rPr>
      </w:pPr>
      <w:r>
        <w:rPr>
          <w:rFonts w:ascii="Arial" w:cs="Arial" w:eastAsia="Arial" w:hAnsi="Arial"/>
          <w:sz w:val="21"/>
          <w:szCs w:val="21"/>
          <w:color w:val="auto"/>
        </w:rPr>
        <w:t xml:space="preserve">In furtherance of and not in limitation of any other similar agreement any Shareholders or their respective Representatives may have with the Company or its Subsidiaries, each Shareholder agrees that all Confidential Information shall be kept confidential by such Shareholders and shall not be disclosed by such Shareholders in any manner whatsoever, except as permitted by this </w:t>
      </w:r>
      <w:r>
        <w:rPr>
          <w:rFonts w:ascii="Arial" w:cs="Arial" w:eastAsia="Arial" w:hAnsi="Arial"/>
          <w:sz w:val="21"/>
          <w:szCs w:val="21"/>
          <w:u w:val="single" w:color="auto"/>
          <w:color w:val="auto"/>
        </w:rPr>
        <w:t>Section 4.03</w:t>
      </w:r>
      <w:r>
        <w:rPr>
          <w:rFonts w:ascii="Arial" w:cs="Arial" w:eastAsia="Arial" w:hAnsi="Arial"/>
          <w:sz w:val="21"/>
          <w:szCs w:val="21"/>
          <w:color w:val="auto"/>
        </w:rPr>
        <w:t>. Any Confidential Information may be disclosed:</w:t>
      </w:r>
    </w:p>
    <w:p>
      <w:pPr>
        <w:spacing w:after="0" w:line="200" w:lineRule="exact"/>
        <w:rPr>
          <w:rFonts w:ascii="Arial" w:cs="Arial" w:eastAsia="Arial" w:hAnsi="Arial"/>
          <w:sz w:val="21"/>
          <w:szCs w:val="21"/>
          <w:color w:val="010000"/>
        </w:rPr>
      </w:pPr>
    </w:p>
    <w:p>
      <w:pPr>
        <w:jc w:val="both"/>
        <w:ind w:left="660" w:firstLine="1292"/>
        <w:spacing w:after="0" w:line="277" w:lineRule="auto"/>
        <w:tabs>
          <w:tab w:leader="none" w:pos="2781" w:val="left"/>
        </w:tabs>
        <w:numPr>
          <w:ilvl w:val="1"/>
          <w:numId w:val="217"/>
        </w:numPr>
        <w:rPr>
          <w:rFonts w:ascii="Arial" w:cs="Arial" w:eastAsia="Arial" w:hAnsi="Arial"/>
          <w:sz w:val="19"/>
          <w:szCs w:val="19"/>
          <w:color w:val="010000"/>
        </w:rPr>
      </w:pPr>
      <w:r>
        <w:rPr>
          <w:rFonts w:ascii="Arial" w:cs="Arial" w:eastAsia="Arial" w:hAnsi="Arial"/>
          <w:sz w:val="19"/>
          <w:szCs w:val="19"/>
          <w:color w:val="auto"/>
        </w:rPr>
        <w:t>by a Shareholder (A) to, in the case of the Existing Shareholders, any of its Affiliates and, in the case of the New Investor, the GEPIF Fund Group (each, a “</w:t>
      </w:r>
      <w:r>
        <w:rPr>
          <w:rFonts w:ascii="Arial" w:cs="Arial" w:eastAsia="Arial" w:hAnsi="Arial"/>
          <w:sz w:val="19"/>
          <w:szCs w:val="19"/>
          <w:u w:val="single" w:color="auto"/>
          <w:color w:val="auto"/>
        </w:rPr>
        <w:t>Shareholder Affiliate</w:t>
      </w:r>
      <w:r>
        <w:rPr>
          <w:rFonts w:ascii="Arial" w:cs="Arial" w:eastAsia="Arial" w:hAnsi="Arial"/>
          <w:sz w:val="19"/>
          <w:szCs w:val="19"/>
          <w:color w:val="auto"/>
        </w:rPr>
        <w:t xml:space="preserve">”), or (B) to such Shareholder’s or such Shareholder Affiliate’s respective directors, managers, members, equityholders, partners, officers, employees, agents and authorized representatives (including attorneys, accountants, consultants, bankers and financial advisors thereof) (each of the Persons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in each case solely if and to the extent any Representative needs to be provided such Confidential Information to assist such Shareholder (or its Shareholder Affiliates) in evaluating or reviewing its existing 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3" w:name="page194"/>
    <w:bookmarkEnd w:id="193"/>
    <w:p>
      <w:pPr>
        <w:jc w:val="both"/>
        <w:spacing w:after="0" w:line="287" w:lineRule="auto"/>
        <w:rPr>
          <w:sz w:val="20"/>
          <w:szCs w:val="20"/>
          <w:color w:val="auto"/>
        </w:rPr>
      </w:pPr>
      <w:r>
        <w:rPr>
          <w:rFonts w:ascii="Arial" w:cs="Arial" w:eastAsia="Arial" w:hAnsi="Arial"/>
          <w:sz w:val="19"/>
          <w:szCs w:val="19"/>
          <w:color w:val="auto"/>
        </w:rPr>
        <w:t xml:space="preserve">prospective direct or indirect investment in the Company and its Subsidiaries, including in connection with the disposition thereof, and each Representative of a Shareholder shall be deemed to be bound by the provisions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and such Shareholder shall be responsible for any breach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by any such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Confidential Information may be disclosed pursuant to this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to a Competitor;</w:t>
      </w:r>
    </w:p>
    <w:p>
      <w:pPr>
        <w:spacing w:after="0" w:line="170" w:lineRule="exact"/>
        <w:rPr>
          <w:sz w:val="20"/>
          <w:szCs w:val="20"/>
          <w:color w:val="auto"/>
        </w:rPr>
      </w:pPr>
    </w:p>
    <w:p>
      <w:pPr>
        <w:ind w:firstLine="1292"/>
        <w:spacing w:after="0" w:line="250" w:lineRule="auto"/>
        <w:tabs>
          <w:tab w:leader="none" w:pos="2491" w:val="left"/>
        </w:tabs>
        <w:numPr>
          <w:ilvl w:val="0"/>
          <w:numId w:val="218"/>
        </w:numPr>
        <w:rPr>
          <w:rFonts w:ascii="Arial" w:cs="Arial" w:eastAsia="Arial" w:hAnsi="Arial"/>
          <w:sz w:val="22"/>
          <w:szCs w:val="22"/>
          <w:color w:val="010000"/>
        </w:rPr>
      </w:pPr>
      <w:r>
        <w:rPr>
          <w:rFonts w:ascii="Arial" w:cs="Arial" w:eastAsia="Arial" w:hAnsi="Arial"/>
          <w:sz w:val="22"/>
          <w:szCs w:val="22"/>
          <w:color w:val="auto"/>
        </w:rPr>
        <w:t>by a Shareholder or any of its Representatives to the extent the Company and the other Shareholders consent in writing;</w:t>
      </w:r>
    </w:p>
    <w:p>
      <w:pPr>
        <w:spacing w:after="0" w:line="201" w:lineRule="exact"/>
        <w:rPr>
          <w:rFonts w:ascii="Arial" w:cs="Arial" w:eastAsia="Arial" w:hAnsi="Arial"/>
          <w:sz w:val="22"/>
          <w:szCs w:val="22"/>
          <w:color w:val="010000"/>
        </w:rPr>
      </w:pPr>
    </w:p>
    <w:p>
      <w:pPr>
        <w:jc w:val="both"/>
        <w:ind w:firstLine="1292"/>
        <w:spacing w:after="0" w:line="246" w:lineRule="auto"/>
        <w:tabs>
          <w:tab w:leader="none" w:pos="2227" w:val="left"/>
        </w:tabs>
        <w:numPr>
          <w:ilvl w:val="0"/>
          <w:numId w:val="218"/>
        </w:numPr>
        <w:rPr>
          <w:rFonts w:ascii="Arial" w:cs="Arial" w:eastAsia="Arial" w:hAnsi="Arial"/>
          <w:sz w:val="21"/>
          <w:szCs w:val="21"/>
          <w:color w:val="010000"/>
        </w:rPr>
      </w:pPr>
      <w:r>
        <w:rPr>
          <w:rFonts w:ascii="Arial" w:cs="Arial" w:eastAsia="Arial" w:hAnsi="Arial"/>
          <w:sz w:val="21"/>
          <w:szCs w:val="21"/>
          <w:color w:val="auto"/>
        </w:rPr>
        <w:t xml:space="preserve">by a Shareholder or any of its Representatives to (A) a Proposed Transferee (so long as such Transfer is permitted hereunder) or (B) any financing source or potential financing source to such Shareholder or its Shareholder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Proposed Transferee or financing source or potential financing source is subject to a confidentiality obligation with such Shareholder obligating such Person to keep such Confidential Information confidential or otherwise agrees to be bound by the provisions of this </w:t>
      </w:r>
      <w:r>
        <w:rPr>
          <w:rFonts w:ascii="Arial" w:cs="Arial" w:eastAsia="Arial" w:hAnsi="Arial"/>
          <w:sz w:val="21"/>
          <w:szCs w:val="21"/>
          <w:u w:val="single" w:color="auto"/>
          <w:color w:val="auto"/>
        </w:rPr>
        <w:t>Section 4.03</w:t>
      </w:r>
      <w:r>
        <w:rPr>
          <w:rFonts w:ascii="Arial" w:cs="Arial" w:eastAsia="Arial" w:hAnsi="Arial"/>
          <w:sz w:val="21"/>
          <w:szCs w:val="21"/>
          <w:color w:val="auto"/>
        </w:rPr>
        <w:t xml:space="preserve"> (or a confidentiality agreement having restrictions substantially similar to this </w:t>
      </w:r>
      <w:r>
        <w:rPr>
          <w:rFonts w:ascii="Arial" w:cs="Arial" w:eastAsia="Arial" w:hAnsi="Arial"/>
          <w:sz w:val="21"/>
          <w:szCs w:val="21"/>
          <w:u w:val="single" w:color="auto"/>
          <w:color w:val="auto"/>
        </w:rPr>
        <w:t>Section 4.03</w:t>
      </w:r>
      <w:r>
        <w:rPr>
          <w:rFonts w:ascii="Arial" w:cs="Arial" w:eastAsia="Arial" w:hAnsi="Arial"/>
          <w:sz w:val="21"/>
          <w:szCs w:val="21"/>
          <w:color w:val="auto"/>
        </w:rPr>
        <w:t xml:space="preserve">) and such Shareholder shall be responsible for any breach of this </w:t>
      </w:r>
      <w:r>
        <w:rPr>
          <w:rFonts w:ascii="Arial" w:cs="Arial" w:eastAsia="Arial" w:hAnsi="Arial"/>
          <w:sz w:val="21"/>
          <w:szCs w:val="21"/>
          <w:u w:val="single" w:color="auto"/>
          <w:color w:val="auto"/>
        </w:rPr>
        <w:t>Section 4.03</w:t>
      </w:r>
      <w:r>
        <w:rPr>
          <w:rFonts w:ascii="Arial" w:cs="Arial" w:eastAsia="Arial" w:hAnsi="Arial"/>
          <w:sz w:val="21"/>
          <w:szCs w:val="21"/>
          <w:color w:val="auto"/>
        </w:rPr>
        <w:t xml:space="preserve"> (or such confidentiality agreement) by any such Person;</w:t>
      </w:r>
    </w:p>
    <w:p>
      <w:pPr>
        <w:spacing w:after="0" w:line="211" w:lineRule="exact"/>
        <w:rPr>
          <w:rFonts w:ascii="Arial" w:cs="Arial" w:eastAsia="Arial" w:hAnsi="Arial"/>
          <w:sz w:val="21"/>
          <w:szCs w:val="21"/>
          <w:color w:val="010000"/>
        </w:rPr>
      </w:pPr>
    </w:p>
    <w:p>
      <w:pPr>
        <w:jc w:val="both"/>
        <w:ind w:firstLine="1292"/>
        <w:spacing w:after="0" w:line="244" w:lineRule="auto"/>
        <w:tabs>
          <w:tab w:leader="none" w:pos="2418" w:val="left"/>
        </w:tabs>
        <w:numPr>
          <w:ilvl w:val="0"/>
          <w:numId w:val="218"/>
        </w:numPr>
        <w:rPr>
          <w:rFonts w:ascii="Arial" w:cs="Arial" w:eastAsia="Arial" w:hAnsi="Arial"/>
          <w:sz w:val="21"/>
          <w:szCs w:val="21"/>
          <w:color w:val="010000"/>
        </w:rPr>
      </w:pPr>
      <w:r>
        <w:rPr>
          <w:rFonts w:ascii="Arial" w:cs="Arial" w:eastAsia="Arial" w:hAnsi="Arial"/>
          <w:sz w:val="21"/>
          <w:szCs w:val="21"/>
          <w:color w:val="auto"/>
        </w:rPr>
        <w:t xml:space="preserve">by any Shareholder or any of its Representatives to the extent that such Shareholder or its Representatives has received advice in writing from its counsel that it is legally compelled to do so or is required to do so to comply with applicable Law or legal process (including by deposition, interrogatory, request for documents, subpoena or similar process) or Governmental Authority request (including pursuant to an audit or examination by a regulatory or self-regulatory organization) or the rules of any securities exchange on which its securities are listed;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cost and expense, in seeking a protective order to prevent the requested disclosure;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any such Shareholder or its Representative that is required to disclose Confidential Information shall use commercially reasonable efforts to disclose only that portion of the Confidential Information as is requested by applicable Governmental Authority or as is, based on the advice of its counsel, legally required or compelled; and</w:t>
      </w:r>
    </w:p>
    <w:p>
      <w:pPr>
        <w:spacing w:after="0" w:line="210" w:lineRule="exact"/>
        <w:rPr>
          <w:rFonts w:ascii="Arial" w:cs="Arial" w:eastAsia="Arial" w:hAnsi="Arial"/>
          <w:sz w:val="21"/>
          <w:szCs w:val="21"/>
          <w:color w:val="010000"/>
        </w:rPr>
      </w:pPr>
    </w:p>
    <w:p>
      <w:pPr>
        <w:jc w:val="both"/>
        <w:ind w:firstLine="1292"/>
        <w:spacing w:after="0" w:line="248" w:lineRule="auto"/>
        <w:tabs>
          <w:tab w:leader="none" w:pos="2196" w:val="left"/>
        </w:tabs>
        <w:numPr>
          <w:ilvl w:val="0"/>
          <w:numId w:val="218"/>
        </w:numPr>
        <w:rPr>
          <w:rFonts w:ascii="Arial" w:cs="Arial" w:eastAsia="Arial" w:hAnsi="Arial"/>
          <w:sz w:val="21"/>
          <w:szCs w:val="21"/>
          <w:color w:val="010000"/>
        </w:rPr>
      </w:pPr>
      <w:r>
        <w:rPr>
          <w:rFonts w:ascii="Arial" w:cs="Arial" w:eastAsia="Arial" w:hAnsi="Arial"/>
          <w:sz w:val="21"/>
          <w:szCs w:val="21"/>
          <w:color w:val="auto"/>
        </w:rPr>
        <w:t>by a Shareholder to any Fund that owns, directly or indirectly, the disclosing Shareholder, or to any Affiliated Fund or to any existing or potential investor in such Fund or Affiliated Fund, if and solely to the extent such disclosure is made for the purpose of reasonable reporting to such Fund or Affiliated Fund or such existing or potential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Fund, Affiliated Fund or investor, as applicable, is subject to a confidentiality obligation with such Shareholder obligating such Fund, Affiliated Fund or investor to keep such Confidential Information confidential or otherwise agrees to be bound by the provisions of this </w:t>
      </w:r>
      <w:r>
        <w:rPr>
          <w:rFonts w:ascii="Arial" w:cs="Arial" w:eastAsia="Arial" w:hAnsi="Arial"/>
          <w:sz w:val="21"/>
          <w:szCs w:val="21"/>
          <w:u w:val="single" w:color="auto"/>
          <w:color w:val="auto"/>
        </w:rPr>
        <w:t>Section 4.03</w:t>
      </w:r>
      <w:r>
        <w:rPr>
          <w:rFonts w:ascii="Arial" w:cs="Arial" w:eastAsia="Arial" w:hAnsi="Arial"/>
          <w:sz w:val="21"/>
          <w:szCs w:val="21"/>
          <w:color w:val="auto"/>
        </w:rPr>
        <w:t>).</w:t>
      </w:r>
    </w:p>
    <w:p>
      <w:pPr>
        <w:spacing w:after="0" w:line="382"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61" w:right="339" w:bottom="1440" w:gutter="0" w:footer="0" w:header="0"/>
        </w:sectPr>
      </w:pPr>
    </w:p>
    <w:bookmarkStart w:id="194" w:name="page195"/>
    <w:bookmarkEnd w:id="194"/>
    <w:p>
      <w:pPr>
        <w:jc w:val="both"/>
        <w:ind w:firstLine="1304"/>
        <w:spacing w:after="0" w:line="249" w:lineRule="auto"/>
        <w:tabs>
          <w:tab w:leader="none" w:pos="2331" w:val="left"/>
        </w:tabs>
        <w:numPr>
          <w:ilvl w:val="0"/>
          <w:numId w:val="219"/>
        </w:numPr>
        <w:rPr>
          <w:rFonts w:ascii="Arial" w:cs="Arial" w:eastAsia="Arial" w:hAnsi="Arial"/>
          <w:sz w:val="21"/>
          <w:szCs w:val="21"/>
          <w:color w:val="010000"/>
        </w:rPr>
      </w:pPr>
      <w:r>
        <w:rPr>
          <w:rFonts w:ascii="Arial" w:cs="Arial" w:eastAsia="Arial" w:hAnsi="Arial"/>
          <w:sz w:val="21"/>
          <w:szCs w:val="21"/>
          <w:color w:val="auto"/>
        </w:rPr>
        <w:t>In no event shall any Shareholder or its Affiliates or its or their respective Representatives use any Confidential Information for any purpose other than for a purpose reasonably related to (i) monitoring, protecting, evaluating or reviewing such Shareholder’s existing or prospective direct or indirect investment in the Company and its Subsidiaries, including in connection with the disposition thereof or (ii) the exercise of a Shareholder’s rights or performance of its obligations under this Agreement or any Company Organizational Document.</w:t>
      </w:r>
    </w:p>
    <w:p>
      <w:pPr>
        <w:spacing w:after="0" w:line="205" w:lineRule="exact"/>
        <w:rPr>
          <w:rFonts w:ascii="Arial" w:cs="Arial" w:eastAsia="Arial" w:hAnsi="Arial"/>
          <w:sz w:val="21"/>
          <w:szCs w:val="21"/>
          <w:color w:val="010000"/>
        </w:rPr>
      </w:pPr>
    </w:p>
    <w:p>
      <w:pPr>
        <w:ind w:firstLine="1304"/>
        <w:spacing w:after="0" w:line="250" w:lineRule="auto"/>
        <w:tabs>
          <w:tab w:leader="none" w:pos="2184"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 xml:space="preserve">The obligations of a Shareholder under this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shall terminate on the third anniversary of the date on which such Shareholder ceases to beneficially own any Equity Interests of the Company.</w:t>
      </w:r>
    </w:p>
    <w:p>
      <w:pPr>
        <w:spacing w:after="0" w:line="201" w:lineRule="exact"/>
        <w:rPr>
          <w:rFonts w:ascii="Arial" w:cs="Arial" w:eastAsia="Arial" w:hAnsi="Arial"/>
          <w:sz w:val="22"/>
          <w:szCs w:val="22"/>
          <w:color w:val="010000"/>
        </w:rPr>
      </w:pPr>
    </w:p>
    <w:p>
      <w:pPr>
        <w:ind w:firstLine="1304"/>
        <w:spacing w:after="0" w:line="250" w:lineRule="auto"/>
        <w:tabs>
          <w:tab w:leader="none" w:pos="2128"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No New Investor Designated Director or New Investor Board Observer shall be appointed to any similar position at any Competitor.</w:t>
      </w:r>
    </w:p>
    <w:p>
      <w:pPr>
        <w:spacing w:after="0" w:line="20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010000"/>
        </w:rPr>
        <w:t xml:space="preserve">Section 4.04. </w:t>
      </w:r>
      <w:r>
        <w:rPr>
          <w:rFonts w:ascii="Arial" w:cs="Arial" w:eastAsia="Arial" w:hAnsi="Arial"/>
          <w:sz w:val="19"/>
          <w:szCs w:val="19"/>
          <w:u w:val="single" w:color="auto"/>
          <w:color w:val="000000"/>
        </w:rPr>
        <w:t>Corporate Opportunities</w:t>
      </w:r>
      <w:r>
        <w:rPr>
          <w:rFonts w:ascii="Arial" w:cs="Arial" w:eastAsia="Arial" w:hAnsi="Arial"/>
          <w:sz w:val="19"/>
          <w:szCs w:val="19"/>
          <w:color w:val="000000"/>
        </w:rPr>
        <w:t>. The parties hereto expressly acknowledge and agree that, except to</w:t>
      </w:r>
      <w:r>
        <w:rPr>
          <w:rFonts w:ascii="Arial" w:cs="Arial" w:eastAsia="Arial" w:hAnsi="Arial"/>
          <w:sz w:val="19"/>
          <w:szCs w:val="19"/>
          <w:color w:val="010000"/>
        </w:rPr>
        <w:t xml:space="preserve"> </w:t>
      </w:r>
      <w:r>
        <w:rPr>
          <w:rFonts w:ascii="Arial" w:cs="Arial" w:eastAsia="Arial" w:hAnsi="Arial"/>
          <w:sz w:val="19"/>
          <w:szCs w:val="19"/>
          <w:color w:val="000000"/>
        </w:rPr>
        <w:t xml:space="preserve">the extent otherwise restricted pursuant to a written agreement with the Company or its Subsidiaries (including, without limitation, as provided in any employment agreement, restrictive covenant agreement or similar agreement), (a) a Shareholder and any of its Representatives may engage in and possess interests in business ventures of any and every type and description, independently or with others, including ones in competition with the Company or its Subsidiaries, with no obligation to offer to the Company or any of its Subsidiaries or any Shareholder or any Representative thereof the right to participate therein except as set forth in the proviso below and (b) in the event that a Shareholder or any of its Representatives acquires knowledge of any such business venture, potential transaction or matter that may be a corporate opportunity for the Company or its Subsidiaries, such Shareholder or Representative shall have no duty (contractual or otherwise) to communicate or present such corporate opportunity to the Company or its Subsidiaries and shall not be liable to the Company or its Subsidiaries for breach of any duty (contractual or otherwise) by reason of the fact that such Shareholder or Representative, directly or indirectly, pursues or acquires such opportunity for itself, directs such opportunity to another Person or does not present such opportunity to the Company or its Subsidiaries;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any such corporate opportunity is presented to a Director (including any Director who serves as an officer of the Company) in his or her capacity as a Director or officer of the Company, then such Director shall communicate such corporate opportunity to the Company;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such Shareholder or any of its Representatives may nevertheless pursue or acquire such opportunity for itself.</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Section 4.05. </w:t>
      </w:r>
      <w:r>
        <w:rPr>
          <w:rFonts w:ascii="Arial" w:cs="Arial" w:eastAsia="Arial" w:hAnsi="Arial"/>
          <w:sz w:val="22"/>
          <w:szCs w:val="22"/>
          <w:u w:val="single" w:color="auto"/>
          <w:color w:val="000000"/>
        </w:rPr>
        <w:t>Dividend Policy</w:t>
      </w:r>
      <w:r>
        <w:rPr>
          <w:rFonts w:ascii="Arial" w:cs="Arial" w:eastAsia="Arial" w:hAnsi="Arial"/>
          <w:sz w:val="22"/>
          <w:szCs w:val="22"/>
          <w:color w:val="000000"/>
        </w:rPr>
        <w:t>. As soon as reasonably practicable after the end of each fiscal quarter and at</w:t>
      </w:r>
      <w:r>
        <w:rPr>
          <w:rFonts w:ascii="Arial" w:cs="Arial" w:eastAsia="Arial" w:hAnsi="Arial"/>
          <w:sz w:val="22"/>
          <w:szCs w:val="22"/>
          <w:color w:val="010000"/>
        </w:rPr>
        <w:t xml:space="preserve"> </w:t>
      </w:r>
      <w:r>
        <w:rPr>
          <w:rFonts w:ascii="Arial" w:cs="Arial" w:eastAsia="Arial" w:hAnsi="Arial"/>
          <w:sz w:val="22"/>
          <w:szCs w:val="22"/>
          <w:color w:val="000000"/>
        </w:rPr>
        <w:t>such other times as the Company Board shall specify, the Company Board shall determine and cause the distribution of all Available Cash for such period to the Shareholders on a pro rata basis.</w:t>
      </w:r>
    </w:p>
    <w:p>
      <w:pPr>
        <w:spacing w:after="0" w:line="21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010000"/>
        </w:rPr>
        <w:t xml:space="preserve">Section 4.06. </w:t>
      </w:r>
      <w:r>
        <w:rPr>
          <w:rFonts w:ascii="Arial" w:cs="Arial" w:eastAsia="Arial" w:hAnsi="Arial"/>
          <w:sz w:val="19"/>
          <w:szCs w:val="19"/>
          <w:u w:val="single" w:color="auto"/>
          <w:color w:val="000000"/>
        </w:rPr>
        <w:t>Registration Rights</w:t>
      </w:r>
      <w:r>
        <w:rPr>
          <w:rFonts w:ascii="Arial" w:cs="Arial" w:eastAsia="Arial" w:hAnsi="Arial"/>
          <w:sz w:val="19"/>
          <w:szCs w:val="19"/>
          <w:color w:val="000000"/>
        </w:rPr>
        <w:t>. At or prior to the consummation of an Initial Public Offering, the Company</w:t>
      </w:r>
      <w:r>
        <w:rPr>
          <w:rFonts w:ascii="Arial" w:cs="Arial" w:eastAsia="Arial" w:hAnsi="Arial"/>
          <w:sz w:val="19"/>
          <w:szCs w:val="19"/>
          <w:color w:val="010000"/>
        </w:rPr>
        <w:t xml:space="preserve"> </w:t>
      </w:r>
      <w:r>
        <w:rPr>
          <w:rFonts w:ascii="Arial" w:cs="Arial" w:eastAsia="Arial" w:hAnsi="Arial"/>
          <w:sz w:val="19"/>
          <w:szCs w:val="19"/>
          <w:color w:val="000000"/>
        </w:rPr>
        <w:t>and the Shareholders shall enter into a registration rights agreement in customary form providing for registration rights of Registrable Securities, which registration rights agreement shall include provisions incorporating, among other terms,</w:t>
      </w:r>
    </w:p>
    <w:p>
      <w:pPr>
        <w:spacing w:after="0" w:line="1" w:lineRule="exact"/>
        <w:rPr>
          <w:sz w:val="20"/>
          <w:szCs w:val="20"/>
          <w:color w:val="auto"/>
        </w:rPr>
      </w:pPr>
    </w:p>
    <w:p>
      <w:pPr>
        <w:ind w:firstLine="8"/>
        <w:spacing w:after="0" w:line="236" w:lineRule="auto"/>
        <w:tabs>
          <w:tab w:leader="none" w:pos="29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customary demand registration rights in favor of the Existing Shareholders or the New Investor to the extent such Shareholder holds Registrable Securities, (b) the obligation of the Company to file a Shelf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5" w:name="page196"/>
    <w:bookmarkEnd w:id="195"/>
    <w:p>
      <w:pPr>
        <w:jc w:val="both"/>
        <w:spacing w:after="0" w:line="270" w:lineRule="auto"/>
        <w:rPr>
          <w:sz w:val="20"/>
          <w:szCs w:val="20"/>
          <w:color w:val="auto"/>
        </w:rPr>
      </w:pPr>
      <w:r>
        <w:rPr>
          <w:rFonts w:ascii="Arial" w:cs="Arial" w:eastAsia="Arial" w:hAnsi="Arial"/>
          <w:sz w:val="19"/>
          <w:szCs w:val="19"/>
          <w:color w:val="auto"/>
        </w:rPr>
        <w:t>Registration Statement as soon as reasonably practicable following “shelf” eligibility, which Shelf Registration Statement shall offer to include in such registration all Registrable Securities held by Holders of Registrable Securities pursuant to Rule 144 under the Securities Act without volume limitations, (c) customary “piggyback” registration rights in favor of all holders of Registrable Securities, (d) customary provisions in respect of priority in demand and “piggyback” registrations, (e) customary provisions in respect of lock-up periods in connection with the Initial Public Offering and any subsequent public offering,</w:t>
      </w:r>
    </w:p>
    <w:p>
      <w:pPr>
        <w:spacing w:after="0" w:line="4" w:lineRule="exact"/>
        <w:rPr>
          <w:sz w:val="20"/>
          <w:szCs w:val="20"/>
          <w:color w:val="auto"/>
        </w:rPr>
      </w:pPr>
    </w:p>
    <w:p>
      <w:pPr>
        <w:jc w:val="both"/>
        <w:ind w:firstLine="8"/>
        <w:spacing w:after="0" w:line="277" w:lineRule="auto"/>
        <w:tabs>
          <w:tab w:leader="none" w:pos="286" w:val="left"/>
        </w:tabs>
        <w:numPr>
          <w:ilvl w:val="0"/>
          <w:numId w:val="221"/>
        </w:numPr>
        <w:rPr>
          <w:rFonts w:ascii="Arial" w:cs="Arial" w:eastAsia="Arial" w:hAnsi="Arial"/>
          <w:sz w:val="19"/>
          <w:szCs w:val="19"/>
          <w:color w:val="auto"/>
        </w:rPr>
      </w:pPr>
      <w:r>
        <w:rPr>
          <w:rFonts w:ascii="Arial" w:cs="Arial" w:eastAsia="Arial" w:hAnsi="Arial"/>
          <w:sz w:val="19"/>
          <w:szCs w:val="19"/>
          <w:color w:val="auto"/>
        </w:rPr>
        <w:t>customary blackout periods for demand registration rights and shelf registration rights intended to prevent interference with material transactions of the Company, (g) customary provisions obligating the Company to bear all reasonable fees and expenses relating to registration of Registrable Securities, other than (i) any fees or expenses of any counsel retained by a holder of Registrable Securities and (ii) any underwriter’s fees (including discounts and commissions) related to the distribution of Registrable Securities not sold by the Company and (h) customary indemnification provisions.</w:t>
      </w:r>
    </w:p>
    <w:p>
      <w:pPr>
        <w:spacing w:after="0" w:line="17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010000"/>
        </w:rPr>
        <w:t xml:space="preserve">Section 4.07. </w:t>
      </w:r>
      <w:r>
        <w:rPr>
          <w:rFonts w:ascii="Arial" w:cs="Arial" w:eastAsia="Arial" w:hAnsi="Arial"/>
          <w:sz w:val="19"/>
          <w:szCs w:val="19"/>
          <w:u w:val="single" w:color="auto"/>
          <w:color w:val="000000"/>
        </w:rPr>
        <w:t>Audit Rights</w:t>
      </w:r>
      <w:r>
        <w:rPr>
          <w:rFonts w:ascii="Arial" w:cs="Arial" w:eastAsia="Arial" w:hAnsi="Arial"/>
          <w:sz w:val="19"/>
          <w:szCs w:val="19"/>
          <w:color w:val="000000"/>
        </w:rPr>
        <w:t>. Each Shareholder shall have the right, at its sole cost and expense, upon</w:t>
      </w:r>
      <w:r>
        <w:rPr>
          <w:rFonts w:ascii="Arial" w:cs="Arial" w:eastAsia="Arial" w:hAnsi="Arial"/>
          <w:sz w:val="19"/>
          <w:szCs w:val="19"/>
          <w:color w:val="010000"/>
        </w:rPr>
        <w:t xml:space="preserve"> </w:t>
      </w:r>
      <w:r>
        <w:rPr>
          <w:rFonts w:ascii="Arial" w:cs="Arial" w:eastAsia="Arial" w:hAnsi="Arial"/>
          <w:sz w:val="19"/>
          <w:szCs w:val="19"/>
          <w:color w:val="000000"/>
        </w:rPr>
        <w:t xml:space="preserve">reasonable notice, to conduct an audit of the Company’s books and records, at reasonable hours and in a manner so as not to unduly disrupt the operations of the Company and its Subsidiaries, for any purpose reasonably related to such Shareholder’s interests in the Company. Each Shareholder shall have the right to conduct such audit no more than once in any fiscal year; </w:t>
      </w:r>
      <w:r>
        <w:rPr>
          <w:rFonts w:ascii="Arial" w:cs="Arial" w:eastAsia="Arial" w:hAnsi="Arial"/>
          <w:sz w:val="19"/>
          <w:szCs w:val="19"/>
          <w:u w:val="single" w:color="auto"/>
          <w:color w:val="000000"/>
        </w:rPr>
        <w:t>provided</w:t>
      </w:r>
      <w:r>
        <w:rPr>
          <w:rFonts w:ascii="Arial" w:cs="Arial" w:eastAsia="Arial" w:hAnsi="Arial"/>
          <w:sz w:val="19"/>
          <w:szCs w:val="19"/>
          <w:color w:val="000000"/>
        </w:rPr>
        <w:t>, that if such Shareholder has a reasonable basis for believing there is an inaccuracy in the Company’s books and records, such Shareholder shall have the right to conduct more than one such audit in a fiscal year.</w:t>
      </w:r>
    </w:p>
    <w:p>
      <w:pPr>
        <w:spacing w:after="0" w:line="177"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4.08.</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4" w:lineRule="auto"/>
        <w:tabs>
          <w:tab w:leader="none" w:pos="2170" w:val="left"/>
        </w:tabs>
        <w:numPr>
          <w:ilvl w:val="0"/>
          <w:numId w:val="222"/>
        </w:numPr>
        <w:rPr>
          <w:rFonts w:ascii="Arial" w:cs="Arial" w:eastAsia="Arial" w:hAnsi="Arial"/>
          <w:sz w:val="19"/>
          <w:szCs w:val="19"/>
          <w:color w:val="010000"/>
        </w:rPr>
      </w:pPr>
      <w:r>
        <w:rPr>
          <w:rFonts w:ascii="Arial" w:cs="Arial" w:eastAsia="Arial" w:hAnsi="Arial"/>
          <w:sz w:val="19"/>
          <w:szCs w:val="19"/>
          <w:u w:val="single" w:color="auto"/>
          <w:color w:val="auto"/>
        </w:rPr>
        <w:t>Tax Reporting Regimes</w:t>
      </w:r>
      <w:r>
        <w:rPr>
          <w:rFonts w:ascii="Arial" w:cs="Arial" w:eastAsia="Arial" w:hAnsi="Arial"/>
          <w:sz w:val="19"/>
          <w:szCs w:val="19"/>
          <w:color w:val="auto"/>
        </w:rPr>
        <w:t>. Each Shareholder shall, upon reasonable request, provide to the Company any documentation or information related to such Shareholder’s direct or indirect owners as is reasonably required in order for the any member of the Company Group to satisfy any tax reporting or compliance requirements, including Sections 1471 through 1474 of the IRC and any U.S. Treasury Regulations, forms, instructions or other guidance issued pursuant thereto, any agreements entered into pursuant to Section 1471(b)(1) of the IRC, any intergovernmental agreement entered into in connection with such Sections of the IRC, any Law implementing any such intergovernmental agreement (“</w:t>
      </w:r>
      <w:r>
        <w:rPr>
          <w:rFonts w:ascii="Arial" w:cs="Arial" w:eastAsia="Arial" w:hAnsi="Arial"/>
          <w:sz w:val="19"/>
          <w:szCs w:val="19"/>
          <w:u w:val="single" w:color="auto"/>
          <w:color w:val="auto"/>
        </w:rPr>
        <w:t>FATCA</w:t>
      </w:r>
      <w:r>
        <w:rPr>
          <w:rFonts w:ascii="Arial" w:cs="Arial" w:eastAsia="Arial" w:hAnsi="Arial"/>
          <w:sz w:val="19"/>
          <w:szCs w:val="19"/>
          <w:color w:val="auto"/>
        </w:rPr>
        <w:t>”) and any legislation or any Law which implements, or implements rules similar to, the Organisation for Economic Co-operation and Development’s Common Reporting Standard (“</w:t>
      </w:r>
      <w:r>
        <w:rPr>
          <w:rFonts w:ascii="Arial" w:cs="Arial" w:eastAsia="Arial" w:hAnsi="Arial"/>
          <w:sz w:val="19"/>
          <w:szCs w:val="19"/>
          <w:u w:val="single" w:color="auto"/>
          <w:color w:val="auto"/>
        </w:rPr>
        <w:t>CRS</w:t>
      </w:r>
      <w:r>
        <w:rPr>
          <w:rFonts w:ascii="Arial" w:cs="Arial" w:eastAsia="Arial" w:hAnsi="Arial"/>
          <w:sz w:val="19"/>
          <w:szCs w:val="19"/>
          <w:color w:val="auto"/>
        </w:rPr>
        <w:t>”). The Company shall ensure that the Company Group complies with the requirements of FATCA, CRS and any other applicable tax reporting regime.</w:t>
      </w:r>
    </w:p>
    <w:p>
      <w:pPr>
        <w:spacing w:after="0" w:line="185" w:lineRule="exact"/>
        <w:rPr>
          <w:rFonts w:ascii="Arial" w:cs="Arial" w:eastAsia="Arial" w:hAnsi="Arial"/>
          <w:sz w:val="19"/>
          <w:szCs w:val="19"/>
          <w:color w:val="010000"/>
        </w:rPr>
      </w:pPr>
    </w:p>
    <w:p>
      <w:pPr>
        <w:jc w:val="both"/>
        <w:ind w:firstLine="1304"/>
        <w:spacing w:after="0" w:line="277" w:lineRule="auto"/>
        <w:tabs>
          <w:tab w:leader="none" w:pos="2290" w:val="left"/>
        </w:tabs>
        <w:numPr>
          <w:ilvl w:val="0"/>
          <w:numId w:val="222"/>
        </w:numPr>
        <w:rPr>
          <w:rFonts w:ascii="Arial" w:cs="Arial" w:eastAsia="Arial" w:hAnsi="Arial"/>
          <w:sz w:val="19"/>
          <w:szCs w:val="19"/>
          <w:color w:val="010000"/>
        </w:rPr>
      </w:pPr>
      <w:r>
        <w:rPr>
          <w:rFonts w:ascii="Arial" w:cs="Arial" w:eastAsia="Arial" w:hAnsi="Arial"/>
          <w:sz w:val="19"/>
          <w:szCs w:val="19"/>
          <w:u w:val="single" w:color="auto"/>
          <w:color w:val="auto"/>
        </w:rPr>
        <w:t>Tax Advances</w:t>
      </w:r>
      <w:r>
        <w:rPr>
          <w:rFonts w:ascii="Arial" w:cs="Arial" w:eastAsia="Arial" w:hAnsi="Arial"/>
          <w:sz w:val="19"/>
          <w:szCs w:val="19"/>
          <w:color w:val="auto"/>
        </w:rPr>
        <w:t>. To the extent the Company is required by Law to withhold or to make tax payments (including any interest and penalties thereon) on behalf of or with respect to any Shareholder (“</w:t>
      </w:r>
      <w:r>
        <w:rPr>
          <w:rFonts w:ascii="Arial" w:cs="Arial" w:eastAsia="Arial" w:hAnsi="Arial"/>
          <w:sz w:val="19"/>
          <w:szCs w:val="19"/>
          <w:u w:val="single" w:color="auto"/>
          <w:color w:val="auto"/>
        </w:rPr>
        <w:t>Tax Advances</w:t>
      </w:r>
      <w:r>
        <w:rPr>
          <w:rFonts w:ascii="Arial" w:cs="Arial" w:eastAsia="Arial" w:hAnsi="Arial"/>
          <w:sz w:val="19"/>
          <w:szCs w:val="19"/>
          <w:color w:val="auto"/>
        </w:rPr>
        <w:t xml:space="preserve">”), the Company may withhold such amounts and make such tax payments. All Tax Advances shall, at the option of the Company, be repaid by reducing the amount of the current or next succeeding dividend which would otherwise have been made to such Shareholder or, if such dividend is not sufficient for that purpose, by so reducing the proceeds of liquidation otherwise payable to such Shareholder; provided, that for all purposes of this Agreement, such Shareholder shall nevertheless be treated as having received all distributions unreduced by the amount of such Tax Advance;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amounts remain outstanding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6" w:name="page197"/>
    <w:bookmarkEnd w:id="196"/>
    <w:p>
      <w:pPr>
        <w:jc w:val="both"/>
        <w:spacing w:after="0" w:line="282" w:lineRule="auto"/>
        <w:rPr>
          <w:sz w:val="20"/>
          <w:szCs w:val="20"/>
          <w:color w:val="auto"/>
        </w:rPr>
      </w:pPr>
      <w:r>
        <w:rPr>
          <w:rFonts w:ascii="Arial" w:cs="Arial" w:eastAsia="Arial" w:hAnsi="Arial"/>
          <w:sz w:val="19"/>
          <w:szCs w:val="19"/>
          <w:color w:val="auto"/>
        </w:rPr>
        <w:t>for more than 12 months, then such amounts shall accrue interest annually at the applicable federal rate (“</w:t>
      </w:r>
      <w:r>
        <w:rPr>
          <w:rFonts w:ascii="Arial" w:cs="Arial" w:eastAsia="Arial" w:hAnsi="Arial"/>
          <w:sz w:val="19"/>
          <w:szCs w:val="19"/>
          <w:u w:val="single" w:color="auto"/>
          <w:color w:val="auto"/>
        </w:rPr>
        <w:t>AFR</w:t>
      </w:r>
      <w:r>
        <w:rPr>
          <w:rFonts w:ascii="Arial" w:cs="Arial" w:eastAsia="Arial" w:hAnsi="Arial"/>
          <w:sz w:val="19"/>
          <w:szCs w:val="19"/>
          <w:color w:val="auto"/>
        </w:rPr>
        <w:t xml:space="preserve">”) corresponding with respect to the amount of time such amount remains outstanding in reference to the AFR published by the U.S. Internal Revenue Service as of the date of this Agreement. Each Shareholder hereby agrees to indemnify and hold harmless the Company against any liability with respect to Tax Advances required on behalf of or with respect to such Shareholder. The obligations of a Shareholder set forth in this </w:t>
      </w:r>
      <w:r>
        <w:rPr>
          <w:rFonts w:ascii="Arial" w:cs="Arial" w:eastAsia="Arial" w:hAnsi="Arial"/>
          <w:sz w:val="19"/>
          <w:szCs w:val="19"/>
          <w:u w:val="single" w:color="auto"/>
          <w:color w:val="auto"/>
        </w:rPr>
        <w:t>Section 4.08(b)</w:t>
      </w:r>
      <w:r>
        <w:rPr>
          <w:rFonts w:ascii="Arial" w:cs="Arial" w:eastAsia="Arial" w:hAnsi="Arial"/>
          <w:sz w:val="19"/>
          <w:szCs w:val="19"/>
          <w:color w:val="auto"/>
        </w:rPr>
        <w:t xml:space="preserve"> shall survive the Transfer or redemption of a Shareholder’s Shares.</w:t>
      </w:r>
    </w:p>
    <w:p>
      <w:pPr>
        <w:spacing w:after="0" w:line="174" w:lineRule="exact"/>
        <w:rPr>
          <w:sz w:val="20"/>
          <w:szCs w:val="20"/>
          <w:color w:val="auto"/>
        </w:rPr>
      </w:pPr>
    </w:p>
    <w:p>
      <w:pPr>
        <w:jc w:val="both"/>
        <w:ind w:firstLine="1304"/>
        <w:spacing w:after="0" w:line="275" w:lineRule="auto"/>
        <w:tabs>
          <w:tab w:leader="none" w:pos="2116" w:val="left"/>
        </w:tabs>
        <w:numPr>
          <w:ilvl w:val="0"/>
          <w:numId w:val="223"/>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Each Shareholder shall reasonably cooperate with the other Shareholders and the Company to determine if any member of the Company Group is, from time to time, entitled to the benefits of (i) any income tax treaty in effect at such time between the country of which such member of the Company Group is tax resident and the United States or any other country and (ii) Section 883 of the IRC, and provide any reasonably necessary documentation available to such Shareholder without undue burden to substantiate such status (including by providing documentation related to indirect owners of any Shareholder);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Shareholder shall be obligated to provide any information pursuant to this </w:t>
      </w:r>
      <w:r>
        <w:rPr>
          <w:rFonts w:ascii="Arial" w:cs="Arial" w:eastAsia="Arial" w:hAnsi="Arial"/>
          <w:sz w:val="19"/>
          <w:szCs w:val="19"/>
          <w:u w:val="single" w:color="auto"/>
          <w:color w:val="auto"/>
        </w:rPr>
        <w:t>Section 4.08(c)</w:t>
      </w:r>
      <w:r>
        <w:rPr>
          <w:rFonts w:ascii="Arial" w:cs="Arial" w:eastAsia="Arial" w:hAnsi="Arial"/>
          <w:sz w:val="19"/>
          <w:szCs w:val="19"/>
          <w:color w:val="auto"/>
        </w:rPr>
        <w:t xml:space="preserve"> that such Shareholder reasonably considers to be confidential, unless the Company and the other Shareholders agree to take such measures reasonably acceptable to such Shareholder to ensure the continued confidentiality of such information.</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Section 4.09. </w:t>
      </w:r>
      <w:r>
        <w:rPr>
          <w:rFonts w:ascii="Arial" w:cs="Arial" w:eastAsia="Arial" w:hAnsi="Arial"/>
          <w:sz w:val="19"/>
          <w:szCs w:val="19"/>
          <w:u w:val="single" w:color="auto"/>
          <w:color w:val="000000"/>
        </w:rPr>
        <w:t>Emergency Funding</w:t>
      </w:r>
      <w:r>
        <w:rPr>
          <w:rFonts w:ascii="Arial" w:cs="Arial" w:eastAsia="Arial" w:hAnsi="Arial"/>
          <w:sz w:val="19"/>
          <w:szCs w:val="19"/>
          <w:color w:val="000000"/>
        </w:rPr>
        <w:t>. The Company and each Shareholder shall promptly (and in any event</w:t>
      </w:r>
      <w:r>
        <w:rPr>
          <w:rFonts w:ascii="Arial" w:cs="Arial" w:eastAsia="Arial" w:hAnsi="Arial"/>
          <w:sz w:val="19"/>
          <w:szCs w:val="19"/>
          <w:color w:val="010000"/>
        </w:rPr>
        <w:t xml:space="preserve"> </w:t>
      </w:r>
      <w:r>
        <w:rPr>
          <w:rFonts w:ascii="Arial" w:cs="Arial" w:eastAsia="Arial" w:hAnsi="Arial"/>
          <w:sz w:val="19"/>
          <w:szCs w:val="19"/>
          <w:color w:val="000000"/>
        </w:rPr>
        <w:t xml:space="preserve">within 24 hours) notify the Shareholders upon first becoming aware of an Emergency. In the event of an Emergency, each Shareholder shall have the option (but not the obligation), without the consent of the Company or any other Shareholder, to make (and, upon the exercise by a Shareholder of such right by written notice to the Company and the Company Board and the agreement of terms set forth below, the Company and the Company Board shall accept) an unsecured loan to the Company for an amount equal to the full amount necessary to remedy such Emergency, which loan (i) shall accrue interest at an interest rate equal to 14%, (ii) shall have a term of not less than two (2) years and no scheduled amortization, (iii) be unsecured and non-assignable (other than to Permitted Transferees or to a transferee in connection with a Transfer of such Shareholder’s Shares), (iv) the Company shall be entitled to repay in full at any time without penalty and (v) shall otherwise be in substantially the form attached hereto as </w:t>
      </w:r>
      <w:r>
        <w:rPr>
          <w:rFonts w:ascii="Arial" w:cs="Arial" w:eastAsia="Arial" w:hAnsi="Arial"/>
          <w:sz w:val="19"/>
          <w:szCs w:val="19"/>
          <w:u w:val="single" w:color="auto"/>
          <w:color w:val="000000"/>
        </w:rPr>
        <w:t>Exhibit C</w:t>
      </w:r>
      <w:r>
        <w:rPr>
          <w:rFonts w:ascii="Arial" w:cs="Arial" w:eastAsia="Arial" w:hAnsi="Arial"/>
          <w:sz w:val="19"/>
          <w:szCs w:val="19"/>
          <w:color w:val="000000"/>
        </w:rPr>
        <w:t>. The Company shall use the proceeds from any such loan solely to remedy such Emergency. In the event a Shareholder elects to make a loan to the Company pursuant to the terms hereof, the Shareholder making such loan shall promptly notify the other Shareholders of any such loan, including the amounts and terms thereof and offer such other Shareholders the right to purchase, at par value plus accrued and unpaid interest, such other Shareholders’ pro rata portion of such loan.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22"/>
          <w:szCs w:val="22"/>
          <w:color w:val="010000"/>
        </w:rPr>
        <w:t>Section 5.01.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and be of no further force and effect upon the</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earliest of: (a) the written consent of Shareholders holding (together with their Permitted Transferees) at least 90% of the issued and outstanding Shares, (b) any Initial Public Offering, following which the Company’s common equity is listed on a Qualified Exchange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7" w:name="page198"/>
    <w:bookmarkEnd w:id="197"/>
    <w:p>
      <w:pPr>
        <w:jc w:val="both"/>
        <w:spacing w:after="0" w:line="274" w:lineRule="auto"/>
        <w:rPr>
          <w:sz w:val="20"/>
          <w:szCs w:val="20"/>
          <w:color w:val="auto"/>
        </w:rPr>
      </w:pPr>
      <w:r>
        <w:rPr>
          <w:rFonts w:ascii="Arial" w:cs="Arial" w:eastAsia="Arial" w:hAnsi="Arial"/>
          <w:sz w:val="19"/>
          <w:szCs w:val="19"/>
          <w:color w:val="auto"/>
        </w:rPr>
        <w:t xml:space="preserve">and has a public float of not less than 20% of the Company’s common equity and (c) the 30th anniversary of the Merger, except that in the case of a termination pursuant to clause (a), the consent rights of the New Investor and BHL with respect to the actions set forth in clauses (a), (b), (c), (j)(i)(B), (k) and (v) of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shall continue to apply. At the time any Shareholder ceases to beneficially own a number of shares equal to at least 5% of the issued and outstanding Shares, such Shareholder shall automatically cease to be a party to this Agreement and cease to be bound by the terms hereof, other than such provisions which also survive the termination of this Agreement (provided that for this purpose BHL and BSIH shall be treated as a single shareholder). Termination of this Agreement shall not relieve any party hereto of liability for the breach of any obligations under this Agreement prior to such termination. Notwithstanding any such termination of this Agreement, the provisions of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survive any termination of this Agreement.</w:t>
      </w:r>
    </w:p>
    <w:p>
      <w:pPr>
        <w:spacing w:after="0" w:line="18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Section 5.02. </w:t>
      </w:r>
      <w:r>
        <w:rPr>
          <w:rFonts w:ascii="Arial" w:cs="Arial" w:eastAsia="Arial" w:hAnsi="Arial"/>
          <w:sz w:val="19"/>
          <w:szCs w:val="19"/>
          <w:u w:val="single" w:color="auto"/>
          <w:color w:val="000000"/>
        </w:rPr>
        <w:t>Amendments and Waivers</w:t>
      </w:r>
      <w:r>
        <w:rPr>
          <w:rFonts w:ascii="Arial" w:cs="Arial" w:eastAsia="Arial" w:hAnsi="Arial"/>
          <w:sz w:val="19"/>
          <w:szCs w:val="19"/>
          <w:color w:val="000000"/>
        </w:rPr>
        <w:t>. Except as otherwise provided herein, this Agreement may not be</w:t>
      </w:r>
      <w:r>
        <w:rPr>
          <w:rFonts w:ascii="Arial" w:cs="Arial" w:eastAsia="Arial" w:hAnsi="Arial"/>
          <w:sz w:val="19"/>
          <w:szCs w:val="19"/>
          <w:color w:val="010000"/>
        </w:rPr>
        <w:t xml:space="preserve"> </w:t>
      </w:r>
      <w:r>
        <w:rPr>
          <w:rFonts w:ascii="Arial" w:cs="Arial" w:eastAsia="Arial" w:hAnsi="Arial"/>
          <w:sz w:val="19"/>
          <w:szCs w:val="19"/>
          <w:color w:val="000000"/>
        </w:rPr>
        <w:t xml:space="preserve">modified, amended, supplemented, canceled or discharged, except by written instrument executed by the Company and Shareholders holding (together with their Permitted Transferees) at least 90% of the issued and outstanding Shares;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any Shareholder may waive (in writing) the benefit of any provision of this Agreement with respect to itself for any purpose;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any amendment, modification or waiver that, in any manner, would be disproportionately adverse to the powers, preferences or rights of one or more Shareholders (solely in their capacities as such) relative to the other Shareholders (solely in their capacities as such) must be approved by such disproportionately affected Shareholders.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among the parties hereto. No extension of time for performance of any obligations or other acts hereunder or under any other agreement shall be deemed to be an extension of the time for performance of any other obligations or any other acts.</w:t>
      </w:r>
    </w:p>
    <w:p>
      <w:pPr>
        <w:spacing w:after="0" w:line="18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010000"/>
        </w:rPr>
        <w:t xml:space="preserve">Section 5.03. </w:t>
      </w:r>
      <w:r>
        <w:rPr>
          <w:rFonts w:ascii="Arial" w:cs="Arial" w:eastAsia="Arial" w:hAnsi="Arial"/>
          <w:sz w:val="21"/>
          <w:szCs w:val="21"/>
          <w:u w:val="single" w:color="auto"/>
          <w:color w:val="000000"/>
        </w:rPr>
        <w:t>Successors, Assigns and Transferees</w:t>
      </w:r>
      <w:r>
        <w:rPr>
          <w:rFonts w:ascii="Arial" w:cs="Arial" w:eastAsia="Arial" w:hAnsi="Arial"/>
          <w:sz w:val="21"/>
          <w:szCs w:val="21"/>
          <w:color w:val="000000"/>
        </w:rPr>
        <w:t>. Subject to the restrictions on Transfers set forth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Article III</w:t>
      </w:r>
      <w:r>
        <w:rPr>
          <w:rFonts w:ascii="Arial" w:cs="Arial" w:eastAsia="Arial" w:hAnsi="Arial"/>
          <w:sz w:val="21"/>
          <w:szCs w:val="21"/>
          <w:color w:val="000000"/>
        </w:rPr>
        <w:t xml:space="preserve"> of this Agreement, this Agreement shall be binding upon and inure to the benefit of and be enforceable by the parties hereto and their respective successors and permitted assigns. Subject to the limitations set forth herein, the rights and obligations of any Shareholder under this Agreement may be assigned to a transferee to which a Shareholder Transfers its Shares in compliance with this Agreement. Any assignment of rights or obligations in violation of this </w:t>
      </w:r>
      <w:r>
        <w:rPr>
          <w:rFonts w:ascii="Arial" w:cs="Arial" w:eastAsia="Arial" w:hAnsi="Arial"/>
          <w:sz w:val="21"/>
          <w:szCs w:val="21"/>
          <w:u w:val="single" w:color="auto"/>
          <w:color w:val="000000"/>
        </w:rPr>
        <w:t>Section 5.03</w:t>
      </w:r>
      <w:r>
        <w:rPr>
          <w:rFonts w:ascii="Arial" w:cs="Arial" w:eastAsia="Arial" w:hAnsi="Arial"/>
          <w:sz w:val="21"/>
          <w:szCs w:val="21"/>
          <w:color w:val="000000"/>
        </w:rPr>
        <w:t xml:space="preserve"> shall be null and void. Nothing expressed or mentioned in this Agreement is intended or shall be construed to give any Person any right, remedy or claim under, in or in respect of this Agreement or any provision herein contained other than the parties hereto and their respective permitted successors and assigns.</w:t>
      </w:r>
    </w:p>
    <w:p>
      <w:pPr>
        <w:spacing w:after="0" w:line="20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Section 5.04. </w:t>
      </w:r>
      <w:r>
        <w:rPr>
          <w:rFonts w:ascii="Arial" w:cs="Arial" w:eastAsia="Arial" w:hAnsi="Arial"/>
          <w:sz w:val="22"/>
          <w:szCs w:val="22"/>
          <w:u w:val="single" w:color="auto"/>
          <w:color w:val="000000"/>
        </w:rPr>
        <w:t>Notices</w:t>
      </w:r>
      <w:r>
        <w:rPr>
          <w:rFonts w:ascii="Arial" w:cs="Arial" w:eastAsia="Arial" w:hAnsi="Arial"/>
          <w:sz w:val="22"/>
          <w:szCs w:val="22"/>
          <w:color w:val="000000"/>
        </w:rPr>
        <w:t>. All notices, requests and other communications to any party hereunder shall be in</w:t>
      </w:r>
      <w:r>
        <w:rPr>
          <w:rFonts w:ascii="Arial" w:cs="Arial" w:eastAsia="Arial" w:hAnsi="Arial"/>
          <w:sz w:val="22"/>
          <w:szCs w:val="22"/>
          <w:color w:val="010000"/>
        </w:rPr>
        <w:t xml:space="preserve"> </w:t>
      </w:r>
      <w:r>
        <w:rPr>
          <w:rFonts w:ascii="Arial" w:cs="Arial" w:eastAsia="Arial" w:hAnsi="Arial"/>
          <w:sz w:val="22"/>
          <w:szCs w:val="22"/>
          <w:color w:val="000000"/>
        </w:rPr>
        <w:t>writing and shall be deemed given if delivered personally, emailed (to the extent that no “bounce back” or similar message indicating non-delivery is received with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respect thereto) or sent by overnight courier (providing proof of delivery) to the parties hereto at the following addresses:</w:t>
      </w:r>
    </w:p>
    <w:p>
      <w:pPr>
        <w:sectPr>
          <w:pgSz w:w="11900" w:h="16838" w:orient="portrait"/>
          <w:cols w:equalWidth="0" w:num="1">
            <w:col w:w="10480"/>
          </w:cols>
          <w:pgMar w:left="320" w:top="361" w:right="1099" w:bottom="1440" w:gutter="0" w:footer="0" w:header="0"/>
        </w:sectPr>
      </w:pPr>
    </w:p>
    <w:p>
      <w:pPr>
        <w:spacing w:after="0" w:line="2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GasLog Ltd.</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c/o GasLog LNG Services Ltd.</w:t>
      </w:r>
    </w:p>
    <w:p>
      <w:pPr>
        <w:spacing w:after="0" w:line="211"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69 Akti Miaouli</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Attention: Alexandros Laios, General Counsel</w:t>
      </w:r>
    </w:p>
    <w:p>
      <w:pPr>
        <w:spacing w:after="0" w:line="46"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u w:val="single" w:color="auto"/>
          <w:color w:val="0000FF"/>
        </w:rPr>
        <w:t>alaios@gaslogltd.com</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with a copy to (which shall not be considered notice):</w:t>
      </w:r>
    </w:p>
    <w:p>
      <w:pPr>
        <w:spacing w:after="0" w:line="237"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Cravath, Swaine &amp; Moore LLP</w:t>
      </w:r>
    </w:p>
    <w:p>
      <w:pPr>
        <w:spacing w:after="0" w:line="225"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Worldwide Plaza</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Erik R. Tavzel</w:t>
      </w:r>
    </w:p>
    <w:p>
      <w:pPr>
        <w:spacing w:after="0" w:line="23"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etavzel@cravath.com</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D. Scott Bennett</w:t>
      </w:r>
    </w:p>
    <w:p>
      <w:pPr>
        <w:spacing w:after="0" w:line="23"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sbennett@cravath.com</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Andrew C. Elken</w:t>
      </w:r>
    </w:p>
    <w:p>
      <w:pPr>
        <w:spacing w:after="0" w:line="23"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aelken@cravath.com</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c/o ASOFIN AE</w:t>
      </w:r>
    </w:p>
    <w:p>
      <w:pPr>
        <w:spacing w:after="0" w:line="225"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7"/>
          <w:szCs w:val="17"/>
          <w:color w:val="auto"/>
        </w:rPr>
        <w:t>Zefyrou 8</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Pal. Faliro 17564</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Michael Gialouris</w:t>
      </w:r>
    </w:p>
    <w:p>
      <w:pPr>
        <w:spacing w:after="0" w:line="23"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mgg@asofin.eu</w:t>
      </w: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361" w:right="1099" w:bottom="1440" w:gutter="0" w:footer="0" w:header="0"/>
          <w:type w:val="continuous"/>
        </w:sectPr>
      </w:pPr>
    </w:p>
    <w:bookmarkStart w:id="199" w:name="page200"/>
    <w:bookmarkEnd w:id="199"/>
    <w:p>
      <w:pPr>
        <w:ind w:left="500"/>
        <w:spacing w:after="0"/>
        <w:rPr>
          <w:sz w:val="20"/>
          <w:szCs w:val="20"/>
          <w:color w:val="auto"/>
        </w:rPr>
      </w:pPr>
      <w:r>
        <w:rPr>
          <w:rFonts w:ascii="Arial" w:cs="Arial" w:eastAsia="Arial" w:hAnsi="Arial"/>
          <w:sz w:val="18"/>
          <w:szCs w:val="18"/>
          <w:color w:val="auto"/>
        </w:rPr>
        <w:t>if to Blenheim, to:</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Blenheim Holdings Ltd</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Blenheim Special Investments Holding Ltd</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c/o Ceres Monaco SAM</w:t>
      </w:r>
    </w:p>
    <w:p>
      <w:pPr>
        <w:spacing w:after="0" w:line="211"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Gildo Pastor Centre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MC98000 Monte Carlo</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Principality of Monaco</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Ilias Iliopoulos</w:t>
      </w:r>
    </w:p>
    <w:p>
      <w:pPr>
        <w:spacing w:after="0" w:line="23"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iai@cereslog.com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Athanasios Thanopoulos</w:t>
      </w:r>
    </w:p>
    <w:p>
      <w:pPr>
        <w:spacing w:after="0" w:line="23"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tt@cereslog.com</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 a copy to (which shall not be considered notice):</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Linklaters LLP</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One Silk Street</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London, EC2Y 8HQ</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Owen Clay</w:t>
      </w:r>
    </w:p>
    <w:p>
      <w:pPr>
        <w:spacing w:after="0" w:line="23"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owen.clay@linklaters.com</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to the New Investor, to:</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c/o Global Energy &amp; Power Infrastructure Funds</w:t>
      </w:r>
    </w:p>
    <w:p>
      <w:pPr>
        <w:spacing w:after="0" w:line="248"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One Lafayette Place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Matt Raben</w:t>
      </w:r>
    </w:p>
    <w:p>
      <w:pPr>
        <w:spacing w:after="0" w:line="23"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matthew.raben@blackrock.com</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 copies to (which shall not be considered notice):</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BlackRock, Inc.</w:t>
      </w:r>
    </w:p>
    <w:p>
      <w:pPr>
        <w:spacing w:after="0" w:line="225" w:lineRule="exact"/>
        <w:rPr>
          <w:sz w:val="20"/>
          <w:szCs w:val="20"/>
          <w:color w:val="auto"/>
        </w:rPr>
      </w:pPr>
    </w:p>
    <w:p>
      <w:pPr>
        <w:ind w:left="1280"/>
        <w:spacing w:after="0"/>
        <w:tabs>
          <w:tab w:leader="none" w:pos="20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Office of the General Counsel</w:t>
      </w:r>
    </w:p>
    <w:p>
      <w:pPr>
        <w:ind w:left="2060"/>
        <w:spacing w:after="0" w:line="186" w:lineRule="auto"/>
        <w:rPr>
          <w:sz w:val="20"/>
          <w:szCs w:val="20"/>
          <w:color w:val="auto"/>
        </w:rPr>
      </w:pPr>
      <w:r>
        <w:rPr>
          <w:rFonts w:ascii="Arial" w:cs="Arial" w:eastAsia="Arial" w:hAnsi="Arial"/>
          <w:sz w:val="17"/>
          <w:szCs w:val="17"/>
          <w:color w:val="auto"/>
        </w:rPr>
        <w:t>40 East 52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2060"/>
        <w:spacing w:after="0"/>
        <w:rPr>
          <w:sz w:val="20"/>
          <w:szCs w:val="20"/>
          <w:color w:val="auto"/>
        </w:rPr>
      </w:pPr>
      <w:r>
        <w:rPr>
          <w:rFonts w:ascii="Arial" w:cs="Arial" w:eastAsia="Arial" w:hAnsi="Arial"/>
          <w:sz w:val="18"/>
          <w:szCs w:val="18"/>
          <w:color w:val="auto"/>
        </w:rPr>
        <w:t>New York, NY 10022</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0" w:name="page201"/>
    <w:bookmarkEnd w:id="200"/>
    <w:p>
      <w:pPr>
        <w:jc w:val="center"/>
        <w:ind w:right="4400"/>
        <w:spacing w:after="0"/>
        <w:rPr>
          <w:sz w:val="20"/>
          <w:szCs w:val="20"/>
          <w:color w:val="auto"/>
        </w:rPr>
      </w:pPr>
      <w:r>
        <w:rPr>
          <w:rFonts w:ascii="Arial" w:cs="Arial" w:eastAsia="Arial" w:hAnsi="Arial"/>
          <w:sz w:val="18"/>
          <w:szCs w:val="18"/>
          <w:color w:val="auto"/>
        </w:rPr>
        <w:t>U.S.A.</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Jelena Napolitano</w:t>
      </w:r>
    </w:p>
    <w:p>
      <w:pPr>
        <w:spacing w:after="0" w:line="23"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u w:val="single" w:color="auto"/>
          <w:color w:val="0000FF"/>
        </w:rPr>
        <w:t>legaltransactions@blackrock.com</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Simpson Thacher &amp; Bartlett LLP</w:t>
      </w:r>
    </w:p>
    <w:p>
      <w:pPr>
        <w:spacing w:after="0" w:line="225"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600 Travis Street, Suite 5400</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Christopher R. May</w:t>
      </w:r>
    </w:p>
    <w:p>
      <w:pPr>
        <w:spacing w:after="0" w:line="23" w:lineRule="exact"/>
        <w:rPr>
          <w:sz w:val="20"/>
          <w:szCs w:val="20"/>
          <w:color w:val="auto"/>
        </w:rPr>
      </w:pPr>
    </w:p>
    <w:p>
      <w:pPr>
        <w:ind w:left="2400"/>
        <w:spacing w:after="0"/>
        <w:tabs>
          <w:tab w:leader="none" w:pos="31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cmay@stblaw.com</w:t>
      </w:r>
    </w:p>
    <w:p>
      <w:pPr>
        <w:spacing w:after="0" w:line="231" w:lineRule="exact"/>
        <w:rPr>
          <w:sz w:val="20"/>
          <w:szCs w:val="20"/>
          <w:color w:val="auto"/>
        </w:rPr>
      </w:pPr>
    </w:p>
    <w:p>
      <w:pPr>
        <w:ind w:left="1140"/>
        <w:spacing w:after="0" w:line="250" w:lineRule="auto"/>
        <w:rPr>
          <w:sz w:val="20"/>
          <w:szCs w:val="20"/>
          <w:color w:val="auto"/>
        </w:rPr>
      </w:pPr>
      <w:r>
        <w:rPr>
          <w:rFonts w:ascii="Arial" w:cs="Arial" w:eastAsia="Arial" w:hAnsi="Arial"/>
          <w:sz w:val="22"/>
          <w:szCs w:val="22"/>
          <w:color w:val="auto"/>
        </w:rPr>
        <w:t>if to any party who becomes a party to this Agreement after the date hereof: to the address and email address set forth below its name on the signature page hereto or on the applicable Joinder Agreement;</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010000"/>
        </w:rPr>
        <w:t xml:space="preserve">Section 5.05. </w:t>
      </w:r>
      <w:r>
        <w:rPr>
          <w:rFonts w:ascii="Arial" w:cs="Arial" w:eastAsia="Arial" w:hAnsi="Arial"/>
          <w:sz w:val="19"/>
          <w:szCs w:val="19"/>
          <w:u w:val="single" w:color="auto"/>
          <w:color w:val="000000"/>
        </w:rPr>
        <w:t>Entire Agreement</w:t>
      </w:r>
      <w:r>
        <w:rPr>
          <w:rFonts w:ascii="Arial" w:cs="Arial" w:eastAsia="Arial" w:hAnsi="Arial"/>
          <w:sz w:val="19"/>
          <w:szCs w:val="19"/>
          <w:color w:val="000000"/>
        </w:rPr>
        <w:t>. Except as otherwise expressly set forth herein, this Agreement (including</w:t>
      </w:r>
      <w:r>
        <w:rPr>
          <w:rFonts w:ascii="Arial" w:cs="Arial" w:eastAsia="Arial" w:hAnsi="Arial"/>
          <w:sz w:val="19"/>
          <w:szCs w:val="19"/>
          <w:color w:val="010000"/>
        </w:rPr>
        <w:t xml:space="preserve"> </w:t>
      </w:r>
      <w:r>
        <w:rPr>
          <w:rFonts w:ascii="Arial" w:cs="Arial" w:eastAsia="Arial" w:hAnsi="Arial"/>
          <w:sz w:val="19"/>
          <w:szCs w:val="19"/>
          <w:color w:val="000000"/>
        </w:rPr>
        <w:t>the Schedules and Annexes hereto and other documents and the instruments referred to in this Agreement) contains the entire agreement between the parties hereto relating to the transactions contemplated hereunder at the date hereof and supersedes and replaces any previous written or oral agreement between the parties hereto in relation to the matters dealt with herein and therein.</w:t>
      </w:r>
    </w:p>
    <w:p>
      <w:pPr>
        <w:spacing w:after="0" w:line="170"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5.06.</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7" w:lineRule="auto"/>
        <w:tabs>
          <w:tab w:leader="none" w:pos="2427" w:val="left"/>
        </w:tabs>
        <w:numPr>
          <w:ilvl w:val="0"/>
          <w:numId w:val="224"/>
        </w:numPr>
        <w:rPr>
          <w:rFonts w:ascii="Arial" w:cs="Arial" w:eastAsia="Arial" w:hAnsi="Arial"/>
          <w:sz w:val="19"/>
          <w:szCs w:val="19"/>
          <w:color w:val="010000"/>
        </w:rPr>
      </w:pPr>
      <w:r>
        <w:rPr>
          <w:rFonts w:ascii="Arial" w:cs="Arial" w:eastAsia="Arial" w:hAnsi="Arial"/>
          <w:sz w:val="19"/>
          <w:szCs w:val="19"/>
          <w:color w:val="auto"/>
        </w:rPr>
        <w:t xml:space="preserve">This Agreement shall be governed by, and construed in accordance with, the substantive laws of Bermuda. The parties hereto hereby irrevocably (i) submit to the jurisdiction and venue of the Bermuda courts in any Actions arising out of or relating to this Agreement,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9"/>
          <w:szCs w:val="19"/>
          <w:u w:val="single" w:color="auto"/>
          <w:color w:val="auto"/>
        </w:rPr>
        <w:t>Section 5.06(a)</w:t>
      </w:r>
      <w:r>
        <w:rPr>
          <w:rFonts w:ascii="Arial" w:cs="Arial" w:eastAsia="Arial" w:hAnsi="Arial"/>
          <w:sz w:val="19"/>
          <w:szCs w:val="19"/>
          <w:color w:val="auto"/>
        </w:rPr>
        <w:t xml:space="preserve"> shall not constitute general consents to service of process in Bermuda and shall have no effect for any purpose except as provided in this </w:t>
      </w:r>
      <w:r>
        <w:rPr>
          <w:rFonts w:ascii="Arial" w:cs="Arial" w:eastAsia="Arial" w:hAnsi="Arial"/>
          <w:sz w:val="19"/>
          <w:szCs w:val="19"/>
          <w:u w:val="single" w:color="auto"/>
          <w:color w:val="auto"/>
        </w:rPr>
        <w:t>Section 5.06(a)</w:t>
      </w:r>
      <w:r>
        <w:rPr>
          <w:rFonts w:ascii="Arial" w:cs="Arial" w:eastAsia="Arial" w:hAnsi="Arial"/>
          <w:sz w:val="19"/>
          <w:szCs w:val="19"/>
          <w:color w:val="auto"/>
        </w:rPr>
        <w:t xml:space="preserve"> and shall not be deemed to confer rights on any Person other than the parties hereto. Each party hereto agrees that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1" w:name="page202"/>
    <w:bookmarkEnd w:id="201"/>
    <w:p>
      <w:pPr>
        <w:jc w:val="both"/>
        <w:spacing w:after="0" w:line="249" w:lineRule="auto"/>
        <w:rPr>
          <w:sz w:val="20"/>
          <w:szCs w:val="20"/>
          <w:color w:val="auto"/>
        </w:rPr>
      </w:pPr>
      <w:r>
        <w:rPr>
          <w:rFonts w:ascii="Arial" w:cs="Arial" w:eastAsia="Arial" w:hAnsi="Arial"/>
          <w:sz w:val="21"/>
          <w:szCs w:val="21"/>
          <w:color w:val="auto"/>
        </w:rPr>
        <w:t xml:space="preserve">service of process upon such party in any Action arising out of or relating to this Agreement shall be effective if notice is given by overnight courier at the address set forth in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the foregoing shall restrict the rights of any party hereto to seek any post-judgment relief regarding, or any appeal from, a final trial court judgment.</w:t>
      </w:r>
    </w:p>
    <w:p>
      <w:pPr>
        <w:spacing w:after="0" w:line="205" w:lineRule="exact"/>
        <w:rPr>
          <w:sz w:val="20"/>
          <w:szCs w:val="20"/>
          <w:color w:val="auto"/>
        </w:rPr>
      </w:pPr>
    </w:p>
    <w:p>
      <w:pPr>
        <w:jc w:val="both"/>
        <w:ind w:firstLine="1304"/>
        <w:spacing w:after="0" w:line="244" w:lineRule="auto"/>
        <w:tabs>
          <w:tab w:leader="none" w:pos="2128" w:val="left"/>
        </w:tabs>
        <w:numPr>
          <w:ilvl w:val="0"/>
          <w:numId w:val="225"/>
        </w:numPr>
        <w:rPr>
          <w:rFonts w:ascii="Arial" w:cs="Arial" w:eastAsia="Arial" w:hAnsi="Arial"/>
          <w:sz w:val="21"/>
          <w:szCs w:val="21"/>
          <w:color w:val="010000"/>
        </w:rPr>
      </w:pPr>
      <w:r>
        <w:rPr>
          <w:rFonts w:ascii="Arial" w:cs="Arial" w:eastAsia="Arial" w:hAnsi="Arial"/>
          <w:sz w:val="21"/>
          <w:szCs w:val="21"/>
          <w:color w:val="auto"/>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EACH PARTY HERETO CERTIFIES AND ACKNOWLEDGES THAT (I) NO REPRESENTATIVE, AGENT OR ATTORNEY OF ANY OTHER PARTY HERETO HAS REPRESENTED, EXPRESSLY OR OTHERWISE, THAT SUCH OTHER PARTY WOULD NOT, IN THE EVENT OF ANY SUCH ACTION,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21"/>
          <w:szCs w:val="21"/>
          <w:u w:val="single" w:color="auto"/>
          <w:color w:val="auto"/>
        </w:rPr>
        <w:t>SECTION 5.06(b)</w:t>
      </w:r>
      <w:r>
        <w:rPr>
          <w:rFonts w:ascii="Arial" w:cs="Arial" w:eastAsia="Arial" w:hAnsi="Arial"/>
          <w:sz w:val="21"/>
          <w:szCs w:val="21"/>
          <w:color w:val="auto"/>
        </w:rPr>
        <w:t>.</w:t>
      </w:r>
    </w:p>
    <w:p>
      <w:pPr>
        <w:spacing w:after="0" w:line="21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010000"/>
        </w:rPr>
        <w:t xml:space="preserve">Section 5.07. </w:t>
      </w:r>
      <w:r>
        <w:rPr>
          <w:rFonts w:ascii="Arial" w:cs="Arial" w:eastAsia="Arial" w:hAnsi="Arial"/>
          <w:sz w:val="21"/>
          <w:szCs w:val="21"/>
          <w:u w:val="single" w:color="auto"/>
          <w:color w:val="000000"/>
        </w:rPr>
        <w:t>Specific Enforcement</w:t>
      </w:r>
      <w:r>
        <w:rPr>
          <w:rFonts w:ascii="Arial" w:cs="Arial" w:eastAsia="Arial" w:hAnsi="Arial"/>
          <w:sz w:val="21"/>
          <w:szCs w:val="21"/>
          <w:color w:val="000000"/>
        </w:rPr>
        <w:t>. The parties hereto agree that irreparable damage for which monetary</w:t>
      </w:r>
      <w:r>
        <w:rPr>
          <w:rFonts w:ascii="Arial" w:cs="Arial" w:eastAsia="Arial" w:hAnsi="Arial"/>
          <w:sz w:val="21"/>
          <w:szCs w:val="21"/>
          <w:color w:val="010000"/>
        </w:rPr>
        <w:t xml:space="preserve"> </w:t>
      </w:r>
      <w:r>
        <w:rPr>
          <w:rFonts w:ascii="Arial" w:cs="Arial" w:eastAsia="Arial" w:hAnsi="Arial"/>
          <w:sz w:val="21"/>
          <w:szCs w:val="21"/>
          <w:color w:val="000000"/>
        </w:rPr>
        <w:t xml:space="preserve">relief, even if available, would not be an adequate remedy, would occur in the event that any provision of this Agreement is not performed in accordance with its specific terms or is otherwise breached. The parties hereto acknowledge and agree that the parties hereto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21"/>
          <w:szCs w:val="21"/>
          <w:u w:val="single" w:color="auto"/>
          <w:color w:val="000000"/>
        </w:rPr>
        <w:t>Section 5.06(a)</w:t>
      </w:r>
      <w:r>
        <w:rPr>
          <w:rFonts w:ascii="Arial" w:cs="Arial" w:eastAsia="Arial" w:hAnsi="Arial"/>
          <w:sz w:val="21"/>
          <w:szCs w:val="21"/>
          <w:color w:val="000000"/>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The parties hereto acknowledge and agree that any party hereto seeking an injunction or injunctions to prevent breaches of this Agreement and to enforce specifically the terms and provisions of this Agreement in accordance with this </w:t>
      </w:r>
      <w:r>
        <w:rPr>
          <w:rFonts w:ascii="Arial" w:cs="Arial" w:eastAsia="Arial" w:hAnsi="Arial"/>
          <w:sz w:val="21"/>
          <w:szCs w:val="21"/>
          <w:u w:val="single" w:color="auto"/>
          <w:color w:val="000000"/>
        </w:rPr>
        <w:t>Section 5.07</w:t>
      </w:r>
      <w:r>
        <w:rPr>
          <w:rFonts w:ascii="Arial" w:cs="Arial" w:eastAsia="Arial" w:hAnsi="Arial"/>
          <w:sz w:val="21"/>
          <w:szCs w:val="21"/>
          <w:color w:val="000000"/>
        </w:rPr>
        <w:t xml:space="preserve"> shall not be required to provide any bond or other security in connection with any such order or injunction.</w:t>
      </w:r>
    </w:p>
    <w:p>
      <w:pPr>
        <w:spacing w:after="0" w:line="21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010000"/>
        </w:rPr>
        <w:t xml:space="preserve">Section 5.08.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one or more counterparts (including by</w:t>
      </w:r>
      <w:r>
        <w:rPr>
          <w:rFonts w:ascii="Arial" w:cs="Arial" w:eastAsia="Arial" w:hAnsi="Arial"/>
          <w:sz w:val="22"/>
          <w:szCs w:val="22"/>
          <w:color w:val="010000"/>
        </w:rPr>
        <w:t xml:space="preserve"> </w:t>
      </w:r>
      <w:r>
        <w:rPr>
          <w:rFonts w:ascii="Arial" w:cs="Arial" w:eastAsia="Arial" w:hAnsi="Arial"/>
          <w:sz w:val="22"/>
          <w:szCs w:val="22"/>
          <w:color w:val="000000"/>
        </w:rPr>
        <w:t>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2" w:name="page203"/>
    <w:bookmarkEnd w:id="202"/>
    <w:p>
      <w:pPr>
        <w:jc w:val="both"/>
        <w:ind w:firstLine="1296"/>
        <w:spacing w:after="0" w:line="275" w:lineRule="auto"/>
        <w:rPr>
          <w:sz w:val="20"/>
          <w:szCs w:val="20"/>
          <w:color w:val="auto"/>
        </w:rPr>
      </w:pPr>
      <w:r>
        <w:rPr>
          <w:rFonts w:ascii="Arial" w:cs="Arial" w:eastAsia="Arial" w:hAnsi="Arial"/>
          <w:sz w:val="19"/>
          <w:szCs w:val="19"/>
          <w:color w:val="010000"/>
        </w:rPr>
        <w:t xml:space="preserve">Section 5.09. </w:t>
      </w:r>
      <w:r>
        <w:rPr>
          <w:rFonts w:ascii="Arial" w:cs="Arial" w:eastAsia="Arial" w:hAnsi="Arial"/>
          <w:sz w:val="19"/>
          <w:szCs w:val="19"/>
          <w:u w:val="single" w:color="auto"/>
          <w:color w:val="000000"/>
        </w:rPr>
        <w:t>Severability.</w:t>
      </w:r>
      <w:r>
        <w:rPr>
          <w:rFonts w:ascii="Arial" w:cs="Arial" w:eastAsia="Arial" w:hAnsi="Arial"/>
          <w:sz w:val="19"/>
          <w:szCs w:val="19"/>
          <w:color w:val="010000"/>
        </w:rPr>
        <w:t xml:space="preserve"> </w:t>
      </w:r>
      <w:r>
        <w:rPr>
          <w:rFonts w:ascii="Arial" w:cs="Arial" w:eastAsia="Arial" w:hAnsi="Arial"/>
          <w:sz w:val="19"/>
          <w:szCs w:val="19"/>
          <w:color w:val="000000"/>
        </w:rPr>
        <w:t>If any term or other provision of this Agreement is finally determined by a court</w:t>
      </w:r>
      <w:r>
        <w:rPr>
          <w:rFonts w:ascii="Arial" w:cs="Arial" w:eastAsia="Arial" w:hAnsi="Arial"/>
          <w:sz w:val="19"/>
          <w:szCs w:val="19"/>
          <w:color w:val="010000"/>
        </w:rPr>
        <w:t xml:space="preserve"> </w:t>
      </w:r>
      <w:r>
        <w:rPr>
          <w:rFonts w:ascii="Arial" w:cs="Arial" w:eastAsia="Arial" w:hAnsi="Arial"/>
          <w:sz w:val="19"/>
          <w:szCs w:val="19"/>
          <w:color w:val="000000"/>
        </w:rPr>
        <w:t xml:space="preserve">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hereto or such party waives its rights under this </w:t>
      </w:r>
      <w:r>
        <w:rPr>
          <w:rFonts w:ascii="Arial" w:cs="Arial" w:eastAsia="Arial" w:hAnsi="Arial"/>
          <w:sz w:val="19"/>
          <w:szCs w:val="19"/>
          <w:u w:val="single" w:color="auto"/>
          <w:color w:val="000000"/>
        </w:rPr>
        <w:t>Section 5.09</w:t>
      </w:r>
      <w:r>
        <w:rPr>
          <w:rFonts w:ascii="Arial" w:cs="Arial" w:eastAsia="Arial" w:hAnsi="Arial"/>
          <w:sz w:val="19"/>
          <w:szCs w:val="19"/>
          <w:color w:val="000000"/>
        </w:rPr>
        <w:t xml:space="preserve"> with respect thereto.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contemplated by this Agreement are fulfilled to the extent possible.</w:t>
      </w:r>
    </w:p>
    <w:p>
      <w:pPr>
        <w:spacing w:after="0" w:line="184"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010000"/>
        </w:rPr>
        <w:t>Section 5.10.</w:t>
      </w:r>
      <w:r>
        <w:rPr>
          <w:sz w:val="20"/>
          <w:szCs w:val="20"/>
          <w:color w:val="auto"/>
        </w:rPr>
        <w:tab/>
      </w:r>
      <w:r>
        <w:rPr>
          <w:rFonts w:ascii="Arial" w:cs="Arial" w:eastAsia="Arial" w:hAnsi="Arial"/>
          <w:sz w:val="19"/>
          <w:szCs w:val="19"/>
          <w:u w:val="single" w:color="auto"/>
          <w:color w:val="auto"/>
        </w:rPr>
        <w:t>Existing Shareholders</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87" w:lineRule="auto"/>
        <w:tabs>
          <w:tab w:leader="none" w:pos="2251" w:val="left"/>
        </w:tabs>
        <w:numPr>
          <w:ilvl w:val="1"/>
          <w:numId w:val="226"/>
        </w:numPr>
        <w:rPr>
          <w:rFonts w:ascii="Arial" w:cs="Arial" w:eastAsia="Arial" w:hAnsi="Arial"/>
          <w:sz w:val="19"/>
          <w:szCs w:val="19"/>
          <w:color w:val="010000"/>
        </w:rPr>
      </w:pPr>
      <w:r>
        <w:rPr>
          <w:rFonts w:ascii="Arial" w:cs="Arial" w:eastAsia="Arial" w:hAnsi="Arial"/>
          <w:sz w:val="19"/>
          <w:szCs w:val="19"/>
          <w:color w:val="auto"/>
        </w:rPr>
        <w:t>The parties hereto agree that the rights of the Existing Shareholders pursuant to Article II (Corporate Governance) and Annex A shall be exercised collectively, by Peter G. Livanos, on behalf of all Existing Shareholders, in accordance with Section 5.10(c). The parties hereto agree that the rights of the Existing Shareholders in relation to Article III (Transferability of Shares) shall be exercised independently and as more particularly described therein.</w:t>
      </w:r>
    </w:p>
    <w:p>
      <w:pPr>
        <w:spacing w:after="0" w:line="169" w:lineRule="exact"/>
        <w:rPr>
          <w:rFonts w:ascii="Arial" w:cs="Arial" w:eastAsia="Arial" w:hAnsi="Arial"/>
          <w:sz w:val="19"/>
          <w:szCs w:val="19"/>
          <w:color w:val="010000"/>
        </w:rPr>
      </w:pPr>
    </w:p>
    <w:p>
      <w:pPr>
        <w:jc w:val="both"/>
        <w:ind w:firstLine="1304"/>
        <w:spacing w:after="0" w:line="248" w:lineRule="auto"/>
        <w:tabs>
          <w:tab w:leader="none" w:pos="2493" w:val="left"/>
        </w:tabs>
        <w:numPr>
          <w:ilvl w:val="1"/>
          <w:numId w:val="226"/>
        </w:numPr>
        <w:rPr>
          <w:rFonts w:ascii="Arial" w:cs="Arial" w:eastAsia="Arial" w:hAnsi="Arial"/>
          <w:sz w:val="21"/>
          <w:szCs w:val="21"/>
          <w:color w:val="010000"/>
        </w:rPr>
      </w:pPr>
      <w:r>
        <w:rPr>
          <w:rFonts w:ascii="Arial" w:cs="Arial" w:eastAsia="Arial" w:hAnsi="Arial"/>
          <w:sz w:val="21"/>
          <w:szCs w:val="21"/>
          <w:color w:val="auto"/>
        </w:rPr>
        <w:t>Other than the Existing Shareholders’ Agreement, as at the date of this Agreement no Existing Shareholder nor any of its Affiliates has any arrangement, agreement or understanding with any Person that relates to the acquisition, voting, holding or disposing of the Shares or any other Equity Interests of the Company or any Subsidiaries of the Company. Following the date of this Agreement the Existing Shareholders shall, reasonably promptly after the entry into any new or modified arrangement, agreement or understanding, notify the New Investor of such arrangement, agreement or understanding and inform New Investor of the material terms thereof.</w:t>
      </w:r>
    </w:p>
    <w:p>
      <w:pPr>
        <w:spacing w:after="0" w:line="203" w:lineRule="exact"/>
        <w:rPr>
          <w:rFonts w:ascii="Arial" w:cs="Arial" w:eastAsia="Arial" w:hAnsi="Arial"/>
          <w:sz w:val="21"/>
          <w:szCs w:val="21"/>
          <w:color w:val="010000"/>
        </w:rPr>
      </w:pPr>
    </w:p>
    <w:p>
      <w:pPr>
        <w:jc w:val="both"/>
        <w:ind w:firstLine="1304"/>
        <w:spacing w:after="0" w:line="269" w:lineRule="auto"/>
        <w:tabs>
          <w:tab w:leader="none" w:pos="2089" w:val="left"/>
        </w:tabs>
        <w:numPr>
          <w:ilvl w:val="1"/>
          <w:numId w:val="226"/>
        </w:numPr>
        <w:rPr>
          <w:rFonts w:ascii="Arial" w:cs="Arial" w:eastAsia="Arial" w:hAnsi="Arial"/>
          <w:sz w:val="19"/>
          <w:szCs w:val="19"/>
          <w:color w:val="010000"/>
        </w:rPr>
      </w:pPr>
      <w:r>
        <w:rPr>
          <w:rFonts w:ascii="Arial" w:cs="Arial" w:eastAsia="Arial" w:hAnsi="Arial"/>
          <w:sz w:val="19"/>
          <w:szCs w:val="19"/>
          <w:color w:val="auto"/>
        </w:rPr>
        <w:t>Olympic LNG Investments Ltd. hereby appoints Mr. Peter G. Livanos to exercise its rights under Article II and Annex A of this Agreement. BSIH hereby appoints BHL to exercise, irrevocably and exclusively, all of its rights under this Agreement. Each Existing Shareholder shall take such further action or execute such other instruments as may be necessary to effectuate the intent of these proxies. These proxies and powers of attorney granted by each Existing Shareholder shall be irrevocable during the term of this Agreement, shall be deemed to be coupled with an interest sufficient in law to support an irrevocable proxy and shall revoke any and all prior proxies granted by any Existing Shareholder with respect to such Existing Shareholder’s Shares (or other Equity Interests in the Company). The power of attorney granted by each Existing Shareholder herein is a durable power of attorney and shall survive the dissolution, bankruptcy, death or incapacity of such Existing Shareholder. The proxy and power of attorney granted hereunder by any Existing Shareholder shall terminate upon the earlier of</w:t>
      </w:r>
    </w:p>
    <w:p>
      <w:pPr>
        <w:spacing w:after="0" w:line="1" w:lineRule="exact"/>
        <w:rPr>
          <w:rFonts w:ascii="Arial" w:cs="Arial" w:eastAsia="Arial" w:hAnsi="Arial"/>
          <w:sz w:val="19"/>
          <w:szCs w:val="19"/>
          <w:color w:val="010000"/>
        </w:rPr>
      </w:pPr>
    </w:p>
    <w:p>
      <w:pPr>
        <w:jc w:val="both"/>
        <w:spacing w:after="0" w:line="280" w:lineRule="auto"/>
        <w:rPr>
          <w:rFonts w:ascii="Arial" w:cs="Arial" w:eastAsia="Arial" w:hAnsi="Arial"/>
          <w:sz w:val="19"/>
          <w:szCs w:val="19"/>
          <w:color w:val="010000"/>
        </w:rPr>
      </w:pPr>
      <w:r>
        <w:rPr>
          <w:rFonts w:ascii="Arial" w:cs="Arial" w:eastAsia="Arial" w:hAnsi="Arial"/>
          <w:sz w:val="19"/>
          <w:szCs w:val="19"/>
          <w:color w:val="auto"/>
        </w:rPr>
        <w:t xml:space="preserve">(i) the termination of this Agreement and (ii) the written agreement of BHL and such Existing Shareholder;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proxy or power of attorney shall terminate prior to the later of (i) the earlier of (A) March 22, 2022 and (B) the redemption or other purchase by the Company of all of the issued and outstanding 8.875% Senior Notes due March 22, 2022 of the Company and (ii) the date on which the termination of such proxy or power of attorney would not give rise to a</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3" w:name="page204"/>
    <w:bookmarkEnd w:id="203"/>
    <w:p>
      <w:pPr>
        <w:spacing w:after="0" w:line="250" w:lineRule="auto"/>
        <w:rPr>
          <w:sz w:val="20"/>
          <w:szCs w:val="20"/>
          <w:color w:val="auto"/>
        </w:rPr>
      </w:pPr>
      <w:r>
        <w:rPr>
          <w:rFonts w:ascii="Arial" w:cs="Arial" w:eastAsia="Arial" w:hAnsi="Arial"/>
          <w:sz w:val="22"/>
          <w:szCs w:val="22"/>
          <w:color w:val="auto"/>
        </w:rPr>
        <w:t>change of control or similar provision under any of the Indebtedness of the Company or any of its Subsidiaries or any vessel charter of the Company or any of its Subsidiaries.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04" w:name="page205"/>
    <w:bookmarkEnd w:id="204"/>
    <w:p>
      <w:pPr>
        <w:ind w:firstLine="1296"/>
        <w:spacing w:after="0" w:line="328" w:lineRule="auto"/>
        <w:rPr>
          <w:sz w:val="20"/>
          <w:szCs w:val="20"/>
          <w:color w:val="auto"/>
        </w:rPr>
      </w:pPr>
      <w:r>
        <w:rPr>
          <w:rFonts w:ascii="Arial" w:cs="Arial" w:eastAsia="Arial" w:hAnsi="Arial"/>
          <w:sz w:val="19"/>
          <w:szCs w:val="19"/>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5" w:name="page206"/>
    <w:bookmarkEnd w:id="205"/>
    <w:p>
      <w:pPr>
        <w:ind w:firstLine="1296"/>
        <w:spacing w:after="0" w:line="328" w:lineRule="auto"/>
        <w:rPr>
          <w:sz w:val="20"/>
          <w:szCs w:val="20"/>
          <w:color w:val="auto"/>
        </w:rPr>
      </w:pPr>
      <w:r>
        <w:rPr>
          <w:rFonts w:ascii="Arial" w:cs="Arial" w:eastAsia="Arial" w:hAnsi="Arial"/>
          <w:sz w:val="19"/>
          <w:szCs w:val="19"/>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GEPIF III (GenPar), LLC, its general partner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6" w:name="page207"/>
    <w:bookmarkEnd w:id="206"/>
    <w:p>
      <w:pPr>
        <w:ind w:firstLine="1296"/>
        <w:spacing w:after="0" w:line="328" w:lineRule="auto"/>
        <w:rPr>
          <w:sz w:val="20"/>
          <w:szCs w:val="20"/>
          <w:color w:val="auto"/>
        </w:rPr>
      </w:pPr>
      <w:r>
        <w:rPr>
          <w:rFonts w:ascii="Arial" w:cs="Arial" w:eastAsia="Arial" w:hAnsi="Arial"/>
          <w:sz w:val="19"/>
          <w:szCs w:val="19"/>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SPECIAL INVESTMENTS HOLDING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u w:val="single" w:color="auto"/>
          <w:color w:val="auto"/>
        </w:rPr>
        <w:t>ANNEX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APPROVAL RIGHTS OF THE NEW INVESTOR AND BHL</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of this Agreement, neither the Company nor any of its Subsidiaries shall take, directly or indirectly, any of the following actions without the prior written approval thereof by each of (i) New Investor and (ii) BHL (which in each case may be given or withheld in each of their sole discretion), in addition to the approval thereof by the Company Board (or a committee thereof) in accordance with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of this Agreement (or, as applicable, the approval of the requisite governing body of any applicable Subsidiary of the Company); provided that no such approval shall be required for the taking of any action by the Company or any of its Subsidiaries contemplated by the budget of the Company for the 2021 fiscal year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In respect of each budget, the New Investor and BHL shall consider and agree if and to what extent the following matters shall be treated as having been approved for the purposes of this Annex A by virtue of the budget being approved and which therefore require no further or separate approval pursuant to this Annex A:</w:t>
      </w:r>
    </w:p>
    <w:p>
      <w:pPr>
        <w:spacing w:after="0" w:line="185" w:lineRule="exact"/>
        <w:rPr>
          <w:sz w:val="20"/>
          <w:szCs w:val="20"/>
          <w:color w:val="auto"/>
        </w:rPr>
      </w:pPr>
    </w:p>
    <w:p>
      <w:pPr>
        <w:jc w:val="both"/>
        <w:ind w:firstLine="1304"/>
        <w:spacing w:after="0" w:line="273" w:lineRule="auto"/>
        <w:tabs>
          <w:tab w:leader="none" w:pos="2557" w:val="left"/>
        </w:tabs>
        <w:numPr>
          <w:ilvl w:val="1"/>
          <w:numId w:val="227"/>
        </w:numPr>
        <w:rPr>
          <w:rFonts w:ascii="Arial" w:cs="Arial" w:eastAsia="Arial" w:hAnsi="Arial"/>
          <w:sz w:val="19"/>
          <w:szCs w:val="19"/>
          <w:color w:val="auto"/>
        </w:rPr>
      </w:pPr>
      <w:r>
        <w:rPr>
          <w:rFonts w:ascii="Arial" w:cs="Arial" w:eastAsia="Arial" w:hAnsi="Arial"/>
          <w:sz w:val="19"/>
          <w:szCs w:val="19"/>
          <w:color w:val="auto"/>
        </w:rPr>
        <w:t>(i) amending or otherwise modifying or changing, or waiving any provision of, the Company Organizational Documents or the organizational documents of the Company’s Subsidiaries or (ii) amending or otherwise modifying or changing the rights, preferences or privileges of any Equity Interests of the Company if, in the case of this clause</w:t>
      </w:r>
    </w:p>
    <w:p>
      <w:pPr>
        <w:spacing w:after="0" w:line="1" w:lineRule="exact"/>
        <w:rPr>
          <w:rFonts w:ascii="Arial" w:cs="Arial" w:eastAsia="Arial" w:hAnsi="Arial"/>
          <w:sz w:val="19"/>
          <w:szCs w:val="19"/>
          <w:color w:val="auto"/>
        </w:rPr>
      </w:pPr>
    </w:p>
    <w:p>
      <w:pPr>
        <w:ind w:right="20" w:firstLine="8"/>
        <w:spacing w:after="0" w:line="308" w:lineRule="auto"/>
        <w:tabs>
          <w:tab w:leader="none" w:pos="323" w:val="left"/>
        </w:tabs>
        <w:numPr>
          <w:ilvl w:val="0"/>
          <w:numId w:val="228"/>
        </w:numPr>
        <w:rPr>
          <w:rFonts w:ascii="Arial" w:cs="Arial" w:eastAsia="Arial" w:hAnsi="Arial"/>
          <w:sz w:val="19"/>
          <w:szCs w:val="19"/>
          <w:color w:val="auto"/>
        </w:rPr>
      </w:pPr>
      <w:r>
        <w:rPr>
          <w:rFonts w:ascii="Arial" w:cs="Arial" w:eastAsia="Arial" w:hAnsi="Arial"/>
          <w:sz w:val="19"/>
          <w:szCs w:val="19"/>
          <w:color w:val="auto"/>
        </w:rPr>
        <w:t>such amendment, modification or change to the rights, preferences or privileges of such Equity Interests adversely affects the New Investor, in its capacity as a shareholder of the Company, or in the New Investor’s rights in such Equity Interests;</w:t>
      </w:r>
    </w:p>
    <w:p>
      <w:pPr>
        <w:spacing w:after="0" w:line="150" w:lineRule="exact"/>
        <w:rPr>
          <w:rFonts w:ascii="Arial" w:cs="Arial" w:eastAsia="Arial" w:hAnsi="Arial"/>
          <w:sz w:val="19"/>
          <w:szCs w:val="19"/>
          <w:color w:val="auto"/>
        </w:rPr>
      </w:pPr>
    </w:p>
    <w:p>
      <w:pPr>
        <w:jc w:val="both"/>
        <w:ind w:firstLine="1304"/>
        <w:spacing w:after="0" w:line="238" w:lineRule="auto"/>
        <w:tabs>
          <w:tab w:leader="none" w:pos="22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adopting any voluntary winding up, liquidation, dissolution or termination of its business, voluntarily filing of (or agreeing to the filing of) any bankruptcy proceeding, voluntarily making an assignment for the benefit of creditors or taking any other comparable action, other than the winding up, liquidation or dissolution of a wholly owned Subsidiary of the Company or wholly owned Subsidiary of the Partnership that is dormant or inactive;</w:t>
      </w:r>
    </w:p>
    <w:p>
      <w:pPr>
        <w:spacing w:after="0" w:line="211" w:lineRule="exact"/>
        <w:rPr>
          <w:rFonts w:ascii="Arial" w:cs="Arial" w:eastAsia="Arial" w:hAnsi="Arial"/>
          <w:sz w:val="22"/>
          <w:szCs w:val="22"/>
          <w:color w:val="auto"/>
        </w:rPr>
      </w:pPr>
    </w:p>
    <w:p>
      <w:pPr>
        <w:jc w:val="both"/>
        <w:ind w:firstLine="1304"/>
        <w:spacing w:after="0" w:line="277" w:lineRule="auto"/>
        <w:tabs>
          <w:tab w:leader="none" w:pos="2585" w:val="left"/>
        </w:tabs>
        <w:numPr>
          <w:ilvl w:val="1"/>
          <w:numId w:val="228"/>
        </w:numPr>
        <w:rPr>
          <w:rFonts w:ascii="Arial" w:cs="Arial" w:eastAsia="Arial" w:hAnsi="Arial"/>
          <w:sz w:val="19"/>
          <w:szCs w:val="19"/>
          <w:color w:val="auto"/>
        </w:rPr>
      </w:pPr>
      <w:r>
        <w:rPr>
          <w:rFonts w:ascii="Arial" w:cs="Arial" w:eastAsia="Arial" w:hAnsi="Arial"/>
          <w:sz w:val="19"/>
          <w:szCs w:val="19"/>
          <w:color w:val="auto"/>
        </w:rPr>
        <w:t xml:space="preserve">a sale of the Company or any of its Subsidiaries, whether by plan or agreement for merger, amalgamation, consolidation, combination, sale of all or substantially all of its assets, recapitalization or similar restructuring or reorganization or otherwise, other (i) than any reorganization transaction, whether in the form of a merger, amalgamation, consolidation or otherwise, solely (A) among the Company and its wholly owned Subsidiaries or among the Company’s wholly owned Subsidiaries or (B) among the Partnership and its wholly owned Subsidiaries or among the Partnership’s wholly owned Subsidiaries or (ii) than the sale of Equity Interests of a Subsidiary of the Company whose only asset is a vessel in connection with a sale of such vessel approved in accordance with clause </w:t>
      </w:r>
      <w:r>
        <w:rPr>
          <w:rFonts w:ascii="Arial" w:cs="Arial" w:eastAsia="Arial" w:hAnsi="Arial"/>
          <w:sz w:val="19"/>
          <w:szCs w:val="19"/>
          <w:u w:val="single" w:color="auto"/>
          <w:color w:val="auto"/>
        </w:rPr>
        <w:t>(o)</w:t>
      </w:r>
      <w:r>
        <w:rPr>
          <w:rFonts w:ascii="Arial" w:cs="Arial" w:eastAsia="Arial" w:hAnsi="Arial"/>
          <w:sz w:val="19"/>
          <w:szCs w:val="19"/>
          <w:color w:val="auto"/>
        </w:rPr>
        <w:t xml:space="preserve"> hereof;</w:t>
      </w:r>
    </w:p>
    <w:p>
      <w:pPr>
        <w:spacing w:after="0" w:line="178" w:lineRule="exact"/>
        <w:rPr>
          <w:rFonts w:ascii="Arial" w:cs="Arial" w:eastAsia="Arial" w:hAnsi="Arial"/>
          <w:sz w:val="19"/>
          <w:szCs w:val="19"/>
          <w:color w:val="auto"/>
        </w:rPr>
      </w:pPr>
    </w:p>
    <w:p>
      <w:pPr>
        <w:ind w:left="2100" w:hanging="796"/>
        <w:spacing w:after="0"/>
        <w:tabs>
          <w:tab w:leader="none" w:pos="210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any initial public offering of the Equity Interests of the Company or any of its Subsidiaries;</w:t>
      </w:r>
    </w:p>
    <w:p>
      <w:pPr>
        <w:spacing w:after="0" w:line="233" w:lineRule="exact"/>
        <w:rPr>
          <w:rFonts w:ascii="Arial" w:cs="Arial" w:eastAsia="Arial" w:hAnsi="Arial"/>
          <w:sz w:val="22"/>
          <w:szCs w:val="22"/>
          <w:color w:val="auto"/>
        </w:rPr>
      </w:pPr>
    </w:p>
    <w:p>
      <w:pPr>
        <w:jc w:val="both"/>
        <w:ind w:firstLine="1304"/>
        <w:spacing w:after="0"/>
        <w:tabs>
          <w:tab w:leader="none" w:pos="2231" w:val="left"/>
        </w:tabs>
        <w:numPr>
          <w:ilvl w:val="1"/>
          <w:numId w:val="228"/>
        </w:numPr>
        <w:rPr>
          <w:rFonts w:ascii="Arial" w:cs="Arial" w:eastAsia="Arial" w:hAnsi="Arial"/>
          <w:sz w:val="22"/>
          <w:szCs w:val="22"/>
          <w:color w:val="auto"/>
        </w:rPr>
      </w:pPr>
      <w:r>
        <w:rPr>
          <w:rFonts w:ascii="Arial" w:cs="Arial" w:eastAsia="Arial" w:hAnsi="Arial"/>
          <w:sz w:val="22"/>
          <w:szCs w:val="22"/>
          <w:color w:val="auto"/>
        </w:rPr>
        <w:t>(i) authorizing, selling or issuing any Equity Interests of the Company to any Person, or increasing or decreasing the amount of authorized or issued number of such Equity Interests, (ii) entering into or effecting any transaction or series of related transactions involving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spacing w:after="0"/>
        <w:rPr>
          <w:sz w:val="20"/>
          <w:szCs w:val="20"/>
          <w:color w:val="auto"/>
        </w:rPr>
      </w:pPr>
      <w:r>
        <w:rPr>
          <w:rFonts w:ascii="Arial" w:cs="Arial" w:eastAsia="Arial" w:hAnsi="Arial"/>
          <w:sz w:val="19"/>
          <w:szCs w:val="19"/>
          <w:color w:val="auto"/>
        </w:rPr>
        <w:t>the redemption or purchase of Equity Interests of the Company or its non-wholly owned Subsidiaries from any Person, or (iii)</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otherwise requiring or permitting any capital contribution to the Company or its Subsidiaries, other than, in the case of clause (ii)</w:t>
      </w:r>
    </w:p>
    <w:p>
      <w:pPr>
        <w:spacing w:after="0" w:line="25" w:lineRule="exact"/>
        <w:rPr>
          <w:sz w:val="20"/>
          <w:szCs w:val="20"/>
          <w:color w:val="auto"/>
        </w:rPr>
      </w:pPr>
    </w:p>
    <w:p>
      <w:pPr>
        <w:jc w:val="both"/>
        <w:ind w:firstLine="8"/>
        <w:spacing w:after="0" w:line="248" w:lineRule="auto"/>
        <w:tabs>
          <w:tab w:leader="none" w:pos="367"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redemption or purchase of Equity Securities of a wholly owned subsidiary of the Company by the Company or another wholly owned Subsidiary of the Company or (B) the redemption or purchase of Equity Securities of a wholly owned Subsidiary of the Partnership by the Partnership or another wholly owned Subsidiary of the Partnership;</w:t>
      </w:r>
    </w:p>
    <w:p>
      <w:pPr>
        <w:spacing w:after="0" w:line="205" w:lineRule="exact"/>
        <w:rPr>
          <w:rFonts w:ascii="Arial" w:cs="Arial" w:eastAsia="Arial" w:hAnsi="Arial"/>
          <w:sz w:val="21"/>
          <w:szCs w:val="21"/>
          <w:color w:val="auto"/>
        </w:rPr>
      </w:pPr>
    </w:p>
    <w:p>
      <w:pPr>
        <w:jc w:val="both"/>
        <w:ind w:firstLine="1304"/>
        <w:spacing w:after="0" w:line="234" w:lineRule="auto"/>
        <w:tabs>
          <w:tab w:leader="none" w:pos="216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 xml:space="preserve">authorizing, issuing, selling or otherwise disposing of any Equity Interests of (i) (A) any wholly owned Subsidiary of the Company to any Person that results in such wholly owned Subsidiary of the Company ceasing to be (directly or indirectly) a wholly owned Subsidiary of the Company, (B) any wholly owned Subsidiary of the Partnership to any Person that results in such wholly owned Subsidiary of the Partnership ceasing to be (directly or indirectly) a wholly owned Subsidiary of the Partnership or (C) any non-wholly owned Subsidiary of the Company, in each other than the sale of Equity Interests of a Subsidiary of the Company whose only asset is a vessel in connection with a sale of such vessel approved in accordance with clause </w:t>
      </w:r>
      <w:r>
        <w:rPr>
          <w:rFonts w:ascii="Arial" w:cs="Arial" w:eastAsia="Arial" w:hAnsi="Arial"/>
          <w:sz w:val="22"/>
          <w:szCs w:val="22"/>
          <w:u w:val="single" w:color="auto"/>
          <w:color w:val="auto"/>
        </w:rPr>
        <w:t>(o)</w:t>
      </w:r>
      <w:r>
        <w:rPr>
          <w:rFonts w:ascii="Arial" w:cs="Arial" w:eastAsia="Arial" w:hAnsi="Arial"/>
          <w:sz w:val="22"/>
          <w:szCs w:val="22"/>
          <w:color w:val="auto"/>
        </w:rPr>
        <w:t xml:space="preserve"> hereof;</w:t>
      </w:r>
    </w:p>
    <w:p>
      <w:pPr>
        <w:spacing w:after="0" w:line="217" w:lineRule="exact"/>
        <w:rPr>
          <w:rFonts w:ascii="Arial" w:cs="Arial" w:eastAsia="Arial" w:hAnsi="Arial"/>
          <w:sz w:val="22"/>
          <w:szCs w:val="22"/>
          <w:color w:val="auto"/>
        </w:rPr>
      </w:pPr>
    </w:p>
    <w:p>
      <w:pPr>
        <w:ind w:left="2100" w:hanging="796"/>
        <w:spacing w:after="0"/>
        <w:tabs>
          <w:tab w:leader="none" w:pos="210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creating any non-wholly owned Subsidiary or forming a joint venture or similar arrangement;</w:t>
      </w:r>
    </w:p>
    <w:p>
      <w:pPr>
        <w:spacing w:after="0" w:line="233" w:lineRule="exact"/>
        <w:rPr>
          <w:rFonts w:ascii="Arial" w:cs="Arial" w:eastAsia="Arial" w:hAnsi="Arial"/>
          <w:sz w:val="22"/>
          <w:szCs w:val="22"/>
          <w:color w:val="auto"/>
        </w:rPr>
      </w:pPr>
    </w:p>
    <w:p>
      <w:pPr>
        <w:jc w:val="both"/>
        <w:ind w:firstLine="1304"/>
        <w:spacing w:after="0" w:line="275" w:lineRule="auto"/>
        <w:tabs>
          <w:tab w:leader="none" w:pos="2178" w:val="left"/>
        </w:tabs>
        <w:numPr>
          <w:ilvl w:val="1"/>
          <w:numId w:val="229"/>
        </w:numPr>
        <w:rPr>
          <w:rFonts w:ascii="Arial" w:cs="Arial" w:eastAsia="Arial" w:hAnsi="Arial"/>
          <w:sz w:val="19"/>
          <w:szCs w:val="19"/>
          <w:color w:val="auto"/>
        </w:rPr>
      </w:pPr>
      <w:r>
        <w:rPr>
          <w:rFonts w:ascii="Arial" w:cs="Arial" w:eastAsia="Arial" w:hAnsi="Arial"/>
          <w:sz w:val="19"/>
          <w:szCs w:val="19"/>
          <w:color w:val="auto"/>
        </w:rPr>
        <w:t xml:space="preserve">purchasing, acquiring or making any investment in, directly or indirectly, any other Person (whether by purchase of Equity Interests, contributions to capital, merger or consolidation, or otherwise) or any assets of any other Person (other than any vessels, which are the subject of clauses </w:t>
      </w:r>
      <w:r>
        <w:rPr>
          <w:rFonts w:ascii="Arial" w:cs="Arial" w:eastAsia="Arial" w:hAnsi="Arial"/>
          <w:sz w:val="19"/>
          <w:szCs w:val="19"/>
          <w:u w:val="single" w:color="auto"/>
          <w:color w:val="auto"/>
        </w:rPr>
        <w:t>(m)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w:t>
      </w:r>
      <w:r>
        <w:rPr>
          <w:rFonts w:ascii="Arial" w:cs="Arial" w:eastAsia="Arial" w:hAnsi="Arial"/>
          <w:sz w:val="19"/>
          <w:szCs w:val="19"/>
          <w:color w:val="auto"/>
        </w:rPr>
        <w:t>), other than (i) purchases, acquisitions or investments during any twelve-month period with an aggregate Enterprise Value for all such purchases, acquisitions or investments of less than $65,000,000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purchase, acquisition or investment is on demonstrable arms’-length terms), (ii) investments by the Company or any wholly owned Subsidiary of the Company in any other wholly owned Subsidiary of the Company, (iii) investments by the Partnership or any wholly owned Subsidiary of the Partnership in any other wholly owned Subsidiary of the Partnership or (iv) acquisitions approved pursuant to clause </w:t>
      </w:r>
      <w:r>
        <w:rPr>
          <w:rFonts w:ascii="Arial" w:cs="Arial" w:eastAsia="Arial" w:hAnsi="Arial"/>
          <w:sz w:val="19"/>
          <w:szCs w:val="19"/>
          <w:u w:val="single" w:color="auto"/>
          <w:color w:val="auto"/>
        </w:rPr>
        <w:t>(p)</w:t>
      </w:r>
      <w:r>
        <w:rPr>
          <w:rFonts w:ascii="Arial" w:cs="Arial" w:eastAsia="Arial" w:hAnsi="Arial"/>
          <w:sz w:val="19"/>
          <w:szCs w:val="19"/>
          <w:color w:val="auto"/>
        </w:rPr>
        <w:t xml:space="preserve"> hereof;</w:t>
      </w:r>
    </w:p>
    <w:p>
      <w:pPr>
        <w:spacing w:after="0" w:line="184" w:lineRule="exact"/>
        <w:rPr>
          <w:rFonts w:ascii="Arial" w:cs="Arial" w:eastAsia="Arial" w:hAnsi="Arial"/>
          <w:sz w:val="19"/>
          <w:szCs w:val="19"/>
          <w:color w:val="auto"/>
        </w:rPr>
      </w:pPr>
    </w:p>
    <w:p>
      <w:pPr>
        <w:jc w:val="both"/>
        <w:ind w:firstLine="1304"/>
        <w:spacing w:after="0" w:line="272" w:lineRule="auto"/>
        <w:tabs>
          <w:tab w:leader="none" w:pos="2066" w:val="left"/>
        </w:tabs>
        <w:numPr>
          <w:ilvl w:val="1"/>
          <w:numId w:val="229"/>
        </w:numPr>
        <w:rPr>
          <w:rFonts w:ascii="Arial" w:cs="Arial" w:eastAsia="Arial" w:hAnsi="Arial"/>
          <w:sz w:val="19"/>
          <w:szCs w:val="19"/>
          <w:color w:val="auto"/>
        </w:rPr>
      </w:pPr>
      <w:r>
        <w:rPr>
          <w:rFonts w:ascii="Arial" w:cs="Arial" w:eastAsia="Arial" w:hAnsi="Arial"/>
          <w:sz w:val="19"/>
          <w:szCs w:val="19"/>
          <w:color w:val="auto"/>
        </w:rPr>
        <w:t>(i) materially amending the terms of any Indebtedness of the Company or any of its Subsidiaries or (ii) incurring any Indebtedness of the Company or any of its Subsidiaries, including the renewal, extension, replacement or refinancing of any Indebtedness existing on the date of this Agreement or any Indebtedness otherwise incurred in accordance with this Agreement, if such incurrence, after taking into account the use of proceeds thereof, would result in the Company’s projected consolidated EBITDA to debt service ratio (calculated after giving effect to such incurrence) at any time during the term of such Indebtedness to be less than 1.2:1.0 (and otherwise determined in a manner consistent with the Company’s existing credit agreements) other than (A) intercompany indebtedness (I) among the Company and its wholly owned Subsidiaries or among the Company’s wholly owned Subsidiaries or (II) among the Partnership and its wholly owned Subsidiaries or among the Partnership’s wholly owned Subsidiaries, (B) Indebtedness incurred in connection with the renewal, extension, replacement or refinancing of any indebtedness existing on the date hereof or of any indebtedness otherwise incurred in accordance with this Agreement which does not exceed the amount of, and is on terms that are at least as favorable to the Company and its Subsidiaries in all material respects as the terms of, the Indebtedness being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spacing w:after="0"/>
        <w:rPr>
          <w:sz w:val="20"/>
          <w:szCs w:val="20"/>
          <w:color w:val="auto"/>
        </w:rPr>
      </w:pPr>
      <w:r>
        <w:rPr>
          <w:rFonts w:ascii="Arial" w:cs="Arial" w:eastAsia="Arial" w:hAnsi="Arial"/>
          <w:sz w:val="19"/>
          <w:szCs w:val="19"/>
          <w:color w:val="auto"/>
        </w:rPr>
        <w:t>renewed, extended, replaced or refinanced or (C) Indebtedness incurred in accordance with Section 4.09 of the Agreement;</w:t>
      </w:r>
    </w:p>
    <w:p>
      <w:pPr>
        <w:spacing w:after="0" w:line="268" w:lineRule="exact"/>
        <w:rPr>
          <w:sz w:val="20"/>
          <w:szCs w:val="20"/>
          <w:color w:val="auto"/>
        </w:rPr>
      </w:pPr>
    </w:p>
    <w:p>
      <w:pPr>
        <w:jc w:val="both"/>
        <w:ind w:firstLine="1304"/>
        <w:spacing w:after="0" w:line="270" w:lineRule="auto"/>
        <w:tabs>
          <w:tab w:leader="none" w:pos="2253" w:val="left"/>
        </w:tabs>
        <w:numPr>
          <w:ilvl w:val="1"/>
          <w:numId w:val="230"/>
        </w:numPr>
        <w:rPr>
          <w:rFonts w:ascii="Arial" w:cs="Arial" w:eastAsia="Arial" w:hAnsi="Arial"/>
          <w:sz w:val="19"/>
          <w:szCs w:val="19"/>
          <w:color w:val="auto"/>
        </w:rPr>
      </w:pPr>
      <w:r>
        <w:rPr>
          <w:rFonts w:ascii="Arial" w:cs="Arial" w:eastAsia="Arial" w:hAnsi="Arial"/>
          <w:sz w:val="19"/>
          <w:szCs w:val="19"/>
          <w:color w:val="auto"/>
        </w:rPr>
        <w:t>(i) declaring or paying any dividends or other distributions on account of any Equity Interests of the Company that are (A) not paid in cash or (B) not paid on a pro rata basis, (ii) changing the dividend or distribution policy of the Company or any of its Subsidiaries, (iii) failing to distribute all Available Cash in accordance with this Agreement or (iv) entering into any agreement or arrangement that prohibits or otherwise restricts any dividends or distributions on account of any Equity Interests of the Company or its Subsidiaries, other than agreements for Indebtedness approved in accordance with clause</w:t>
      </w:r>
    </w:p>
    <w:p>
      <w:pPr>
        <w:spacing w:after="0" w:line="4" w:lineRule="exact"/>
        <w:rPr>
          <w:rFonts w:ascii="Arial" w:cs="Arial" w:eastAsia="Arial" w:hAnsi="Arial"/>
          <w:sz w:val="19"/>
          <w:szCs w:val="19"/>
          <w:color w:val="auto"/>
        </w:rPr>
      </w:pPr>
    </w:p>
    <w:p>
      <w:pPr>
        <w:ind w:right="20" w:firstLine="8"/>
        <w:spacing w:after="0" w:line="236" w:lineRule="auto"/>
        <w:tabs>
          <w:tab w:leader="none" w:pos="289" w:val="left"/>
        </w:tabs>
        <w:numPr>
          <w:ilvl w:val="0"/>
          <w:numId w:val="231"/>
        </w:numPr>
        <w:rPr>
          <w:rFonts w:ascii="Arial" w:cs="Arial" w:eastAsia="Arial" w:hAnsi="Arial"/>
          <w:sz w:val="22"/>
          <w:szCs w:val="22"/>
          <w:color w:val="auto"/>
        </w:rPr>
      </w:pPr>
      <w:r>
        <w:rPr>
          <w:rFonts w:ascii="Arial" w:cs="Arial" w:eastAsia="Arial" w:hAnsi="Arial"/>
          <w:sz w:val="22"/>
          <w:szCs w:val="22"/>
          <w:color w:val="auto"/>
        </w:rPr>
        <w:t>hereof or with respect to the Company’s 8.75% Series A Cumulative Redeemable Perpetual Preference Shares, par value $0.01 per share or the existing preference units of the Partnership;</w:t>
      </w:r>
    </w:p>
    <w:p>
      <w:pPr>
        <w:spacing w:after="0" w:line="213" w:lineRule="exact"/>
        <w:rPr>
          <w:rFonts w:ascii="Arial" w:cs="Arial" w:eastAsia="Arial" w:hAnsi="Arial"/>
          <w:sz w:val="22"/>
          <w:szCs w:val="22"/>
          <w:color w:val="auto"/>
        </w:rPr>
      </w:pPr>
    </w:p>
    <w:p>
      <w:pPr>
        <w:jc w:val="both"/>
        <w:ind w:firstLine="1304"/>
        <w:spacing w:after="0" w:line="287" w:lineRule="auto"/>
        <w:tabs>
          <w:tab w:leader="none" w:pos="2223" w:val="left"/>
        </w:tabs>
        <w:numPr>
          <w:ilvl w:val="1"/>
          <w:numId w:val="231"/>
        </w:numPr>
        <w:rPr>
          <w:rFonts w:ascii="Arial" w:cs="Arial" w:eastAsia="Arial" w:hAnsi="Arial"/>
          <w:sz w:val="19"/>
          <w:szCs w:val="19"/>
          <w:color w:val="auto"/>
        </w:rPr>
      </w:pPr>
      <w:r>
        <w:rPr>
          <w:rFonts w:ascii="Arial" w:cs="Arial" w:eastAsia="Arial" w:hAnsi="Arial"/>
          <w:sz w:val="19"/>
          <w:szCs w:val="19"/>
          <w:color w:val="auto"/>
        </w:rPr>
        <w:t>entering into, making any material amendments or modifications to, terminating or waiving any rights under, any agreement with, or otherwise engaging in any Affiliate Transaction with, any Shareholder or any of its Affiliates (excluding the Company and its Subsidiaries), in each case other than compensation arrangements with directors, officers or employees in the ordinary course of business consistent with past practice and the Company’s then existing budget;</w:t>
      </w:r>
    </w:p>
    <w:p>
      <w:pPr>
        <w:spacing w:after="0" w:line="169" w:lineRule="exact"/>
        <w:rPr>
          <w:rFonts w:ascii="Arial" w:cs="Arial" w:eastAsia="Arial" w:hAnsi="Arial"/>
          <w:sz w:val="19"/>
          <w:szCs w:val="19"/>
          <w:color w:val="auto"/>
        </w:rPr>
      </w:pPr>
    </w:p>
    <w:p>
      <w:pPr>
        <w:jc w:val="both"/>
        <w:ind w:firstLine="1304"/>
        <w:spacing w:after="0" w:line="252" w:lineRule="auto"/>
        <w:tabs>
          <w:tab w:leader="none" w:pos="2198" w:val="left"/>
        </w:tabs>
        <w:numPr>
          <w:ilvl w:val="1"/>
          <w:numId w:val="231"/>
        </w:numPr>
        <w:rPr>
          <w:rFonts w:ascii="Arial" w:cs="Arial" w:eastAsia="Arial" w:hAnsi="Arial"/>
          <w:sz w:val="21"/>
          <w:szCs w:val="21"/>
          <w:color w:val="auto"/>
        </w:rPr>
      </w:pPr>
      <w:r>
        <w:rPr>
          <w:rFonts w:ascii="Arial" w:cs="Arial" w:eastAsia="Arial" w:hAnsi="Arial"/>
          <w:sz w:val="21"/>
          <w:szCs w:val="21"/>
          <w:color w:val="auto"/>
        </w:rPr>
        <w:t>entering into, making any material amendments or modifications to, terminating or waiving any rights under, or renewing any agreement or understanding with a third party for the charter-out by the Company or any of its Subsidiaries of (a) any Newbuilding or (b) any other vessel (excluding a Newbuilding) with a term of greater than 2 years (including any extension options granted to the charterer thereunder and the term length of any such extension);</w:t>
      </w:r>
    </w:p>
    <w:p>
      <w:pPr>
        <w:spacing w:after="0" w:line="200" w:lineRule="exact"/>
        <w:rPr>
          <w:rFonts w:ascii="Arial" w:cs="Arial" w:eastAsia="Arial" w:hAnsi="Arial"/>
          <w:sz w:val="21"/>
          <w:szCs w:val="21"/>
          <w:color w:val="auto"/>
        </w:rPr>
      </w:pPr>
    </w:p>
    <w:p>
      <w:pPr>
        <w:ind w:firstLine="1304"/>
        <w:spacing w:after="0" w:line="250" w:lineRule="auto"/>
        <w:tabs>
          <w:tab w:leader="none" w:pos="2165" w:val="left"/>
        </w:tabs>
        <w:numPr>
          <w:ilvl w:val="1"/>
          <w:numId w:val="231"/>
        </w:numPr>
        <w:rPr>
          <w:rFonts w:ascii="Arial" w:cs="Arial" w:eastAsia="Arial" w:hAnsi="Arial"/>
          <w:sz w:val="22"/>
          <w:szCs w:val="22"/>
          <w:color w:val="auto"/>
        </w:rPr>
      </w:pPr>
      <w:r>
        <w:rPr>
          <w:rFonts w:ascii="Arial" w:cs="Arial" w:eastAsia="Arial" w:hAnsi="Arial"/>
          <w:sz w:val="22"/>
          <w:szCs w:val="22"/>
          <w:color w:val="auto"/>
        </w:rPr>
        <w:t>entering into, making any material amendments or modifications to, terminating or waiving any material rights under any agreement or understanding for Newbuilding or the conversion of an existing vessel;</w:t>
      </w:r>
    </w:p>
    <w:p>
      <w:pPr>
        <w:spacing w:after="0" w:line="201" w:lineRule="exact"/>
        <w:rPr>
          <w:rFonts w:ascii="Arial" w:cs="Arial" w:eastAsia="Arial" w:hAnsi="Arial"/>
          <w:sz w:val="22"/>
          <w:szCs w:val="22"/>
          <w:color w:val="auto"/>
        </w:rPr>
      </w:pPr>
    </w:p>
    <w:p>
      <w:pPr>
        <w:jc w:val="both"/>
        <w:ind w:firstLine="1304"/>
        <w:spacing w:after="0" w:line="246" w:lineRule="auto"/>
        <w:tabs>
          <w:tab w:leader="none" w:pos="2129" w:val="left"/>
        </w:tabs>
        <w:numPr>
          <w:ilvl w:val="1"/>
          <w:numId w:val="231"/>
        </w:numPr>
        <w:rPr>
          <w:rFonts w:ascii="Arial" w:cs="Arial" w:eastAsia="Arial" w:hAnsi="Arial"/>
          <w:sz w:val="21"/>
          <w:szCs w:val="21"/>
          <w:color w:val="auto"/>
        </w:rPr>
      </w:pPr>
      <w:r>
        <w:rPr>
          <w:rFonts w:ascii="Arial" w:cs="Arial" w:eastAsia="Arial" w:hAnsi="Arial"/>
          <w:sz w:val="21"/>
          <w:szCs w:val="21"/>
          <w:color w:val="auto"/>
        </w:rPr>
        <w:t>entering into, making any material amendments or modifications to, terminating or waiving any material rights under (i) any collective bargaining agreement (other than ordinary course agreements with the International Transport Workers’ Federation), (ii) any agreement or understanding providing for vessel management or commercial management by any Person other than the Company or any of its wholly-owned Subsidiaries or providing for vessel management or commercial management to any Person other than the Company and its Subsidiaries, (iii) the Omnibus Agreement, or (iv) any agreement that 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w:t>
      </w:r>
    </w:p>
    <w:p>
      <w:pPr>
        <w:spacing w:after="0" w:line="206" w:lineRule="exact"/>
        <w:rPr>
          <w:rFonts w:ascii="Arial" w:cs="Arial" w:eastAsia="Arial" w:hAnsi="Arial"/>
          <w:sz w:val="21"/>
          <w:szCs w:val="21"/>
          <w:color w:val="auto"/>
        </w:rPr>
      </w:pPr>
    </w:p>
    <w:p>
      <w:pPr>
        <w:jc w:val="both"/>
        <w:ind w:firstLine="1304"/>
        <w:spacing w:after="0" w:line="276" w:lineRule="auto"/>
        <w:tabs>
          <w:tab w:leader="none" w:pos="2076" w:val="left"/>
        </w:tabs>
        <w:numPr>
          <w:ilvl w:val="1"/>
          <w:numId w:val="231"/>
        </w:numPr>
        <w:rPr>
          <w:rFonts w:ascii="Arial" w:cs="Arial" w:eastAsia="Arial" w:hAnsi="Arial"/>
          <w:sz w:val="19"/>
          <w:szCs w:val="19"/>
          <w:color w:val="auto"/>
        </w:rPr>
      </w:pPr>
      <w:r>
        <w:rPr>
          <w:rFonts w:ascii="Arial" w:cs="Arial" w:eastAsia="Arial" w:hAnsi="Arial"/>
          <w:sz w:val="19"/>
          <w:szCs w:val="19"/>
          <w:color w:val="auto"/>
        </w:rPr>
        <w:t>(i) selling or otherwise disposing of vessels or other assets of the Company or its Subsidiaries (other than the Partnership and its Subsidiaries) to the Partnership or its Subsidiaries, other than as required by the Omnibus Agreement,</w:t>
      </w:r>
    </w:p>
    <w:p>
      <w:pPr>
        <w:spacing w:after="0" w:line="1" w:lineRule="exact"/>
        <w:rPr>
          <w:rFonts w:ascii="Arial" w:cs="Arial" w:eastAsia="Arial" w:hAnsi="Arial"/>
          <w:sz w:val="19"/>
          <w:szCs w:val="19"/>
          <w:color w:val="auto"/>
        </w:rPr>
      </w:pPr>
    </w:p>
    <w:p>
      <w:pPr>
        <w:jc w:val="both"/>
        <w:ind w:firstLine="8"/>
        <w:spacing w:after="0" w:line="234" w:lineRule="auto"/>
        <w:tabs>
          <w:tab w:leader="none" w:pos="32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selling or otherwise disposing of any assets or Persons (other than vessels or the sale of Equity Interests of a Subsidiary of the Company whose only asset is a vessel), other than dispositions during any twelve-month period with an aggregate Enterprise Value for all dispositions of less than $65,000,000 (</w:t>
      </w:r>
      <w:r>
        <w:rPr>
          <w:rFonts w:ascii="Arial" w:cs="Arial" w:eastAsia="Arial" w:hAnsi="Arial"/>
          <w:sz w:val="22"/>
          <w:szCs w:val="22"/>
          <w:u w:val="single" w:color="auto"/>
          <w:color w:val="auto"/>
        </w:rPr>
        <w:t>provided</w:t>
      </w:r>
      <w:r>
        <w:rPr>
          <w:rFonts w:ascii="Arial" w:cs="Arial" w:eastAsia="Arial" w:hAnsi="Arial"/>
          <w:sz w:val="22"/>
          <w:szCs w:val="22"/>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0" w:name="page211"/>
    <w:bookmarkEnd w:id="210"/>
    <w:p>
      <w:pPr>
        <w:jc w:val="both"/>
        <w:spacing w:after="0"/>
        <w:rPr>
          <w:sz w:val="20"/>
          <w:szCs w:val="20"/>
          <w:color w:val="auto"/>
        </w:rPr>
      </w:pPr>
      <w:r>
        <w:rPr>
          <w:rFonts w:ascii="Arial" w:cs="Arial" w:eastAsia="Arial" w:hAnsi="Arial"/>
          <w:sz w:val="22"/>
          <w:szCs w:val="22"/>
          <w:color w:val="auto"/>
        </w:rPr>
        <w:t>such disposition is on demonstrable arms’-length terms), or (iii) selling or otherwise disposing of any vessels, other than, during any twelve-month period, the disposition of vessels with an aggregate Enterprise Value for all dispositions of less than $65,000,000 (</w:t>
      </w:r>
      <w:r>
        <w:rPr>
          <w:rFonts w:ascii="Arial" w:cs="Arial" w:eastAsia="Arial" w:hAnsi="Arial"/>
          <w:sz w:val="22"/>
          <w:szCs w:val="22"/>
          <w:u w:val="single" w:color="auto"/>
          <w:color w:val="auto"/>
        </w:rPr>
        <w:t>provided</w:t>
      </w:r>
      <w:r>
        <w:rPr>
          <w:rFonts w:ascii="Arial" w:cs="Arial" w:eastAsia="Arial" w:hAnsi="Arial"/>
          <w:sz w:val="22"/>
          <w:szCs w:val="22"/>
          <w:color w:val="auto"/>
        </w:rPr>
        <w:t>, that such disposition is on demonstrable arms’ length terms);</w:t>
      </w:r>
    </w:p>
    <w:p>
      <w:pPr>
        <w:spacing w:after="0" w:line="213" w:lineRule="exact"/>
        <w:rPr>
          <w:sz w:val="20"/>
          <w:szCs w:val="20"/>
          <w:color w:val="auto"/>
        </w:rPr>
      </w:pPr>
    </w:p>
    <w:p>
      <w:pPr>
        <w:jc w:val="both"/>
        <w:ind w:firstLine="1304"/>
        <w:spacing w:after="0"/>
        <w:tabs>
          <w:tab w:leader="none" w:pos="238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acquiring any second-hand vessels, other than, during any twelve-month period, the acquisition of second-hand vessels with an aggregate for all such vessels of less than $65,000,000 (</w:t>
      </w:r>
      <w:r>
        <w:rPr>
          <w:rFonts w:ascii="Arial" w:cs="Arial" w:eastAsia="Arial" w:hAnsi="Arial"/>
          <w:sz w:val="22"/>
          <w:szCs w:val="22"/>
          <w:u w:val="single" w:color="auto"/>
          <w:color w:val="auto"/>
        </w:rPr>
        <w:t>provided</w:t>
      </w:r>
      <w:r>
        <w:rPr>
          <w:rFonts w:ascii="Arial" w:cs="Arial" w:eastAsia="Arial" w:hAnsi="Arial"/>
          <w:sz w:val="22"/>
          <w:szCs w:val="22"/>
          <w:color w:val="auto"/>
        </w:rPr>
        <w:t>, that such acquisition is on demonstrable arms’-length terms);</w:t>
      </w:r>
    </w:p>
    <w:p>
      <w:pPr>
        <w:spacing w:after="0" w:line="213" w:lineRule="exact"/>
        <w:rPr>
          <w:rFonts w:ascii="Arial" w:cs="Arial" w:eastAsia="Arial" w:hAnsi="Arial"/>
          <w:sz w:val="22"/>
          <w:szCs w:val="22"/>
          <w:color w:val="auto"/>
        </w:rPr>
      </w:pPr>
    </w:p>
    <w:p>
      <w:pPr>
        <w:jc w:val="both"/>
        <w:ind w:firstLine="1304"/>
        <w:spacing w:after="0"/>
        <w:tabs>
          <w:tab w:leader="none" w:pos="227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adopting or materially amending or modifying any management incentive plan for the benefit of any members of the senior leadership team of the Company or any equity incentive plan for the benefit of any employees of the Company or its Subsidiaries;</w:t>
      </w:r>
    </w:p>
    <w:p>
      <w:pPr>
        <w:spacing w:after="0" w:line="213" w:lineRule="exact"/>
        <w:rPr>
          <w:rFonts w:ascii="Arial" w:cs="Arial" w:eastAsia="Arial" w:hAnsi="Arial"/>
          <w:sz w:val="22"/>
          <w:szCs w:val="22"/>
          <w:color w:val="auto"/>
        </w:rPr>
      </w:pPr>
    </w:p>
    <w:p>
      <w:pPr>
        <w:jc w:val="both"/>
        <w:ind w:firstLine="1304"/>
        <w:spacing w:after="0" w:line="277" w:lineRule="auto"/>
        <w:tabs>
          <w:tab w:leader="none" w:pos="2157"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hiring, terminating without cause or materially modifying the terms of employment or compensation of the Chief Executive Officer, the Chief Financial Officer or the Chief Operating Officer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termination for cause, resignation, death or disability of the then-serving Chief Executive Officer, Chief Financial Officer or Chief Operating Officer of the Company, such approval shall not be required for the appointment of an interim Chief Executive Officer, an interim Chief Financial Officer or an interim Chief Operating Officer, respectively, for a period not to exceed twelve months and with total annual compensation not in excess of the total annual compensation of such predecessor Chief Executive Officer, Chief Financial Officer or Chief Operating Officer, respectively;</w:t>
      </w:r>
    </w:p>
    <w:p>
      <w:pPr>
        <w:spacing w:after="0" w:line="178" w:lineRule="exact"/>
        <w:rPr>
          <w:rFonts w:ascii="Arial" w:cs="Arial" w:eastAsia="Arial" w:hAnsi="Arial"/>
          <w:sz w:val="19"/>
          <w:szCs w:val="19"/>
          <w:color w:val="auto"/>
        </w:rPr>
      </w:pPr>
    </w:p>
    <w:p>
      <w:pPr>
        <w:jc w:val="both"/>
        <w:ind w:firstLine="1304"/>
        <w:spacing w:after="0" w:line="236" w:lineRule="auto"/>
        <w:tabs>
          <w:tab w:leader="none" w:pos="229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making any changes in financial accounting methods, principles or practices materially affecting the consolidated assets, liabilities or results of operations of the Company and its Subsidiaries, except as may be required by (A) IFRS (or any interpretation thereof), including pursuant to standards, guidelines and interpretations of the International Accounting Standards Board or any similar organization or (B) any applicable Laws, including Regulation S-X under the Securities Act;</w:t>
      </w:r>
    </w:p>
    <w:p>
      <w:pPr>
        <w:spacing w:after="0" w:line="214" w:lineRule="exact"/>
        <w:rPr>
          <w:rFonts w:ascii="Arial" w:cs="Arial" w:eastAsia="Arial" w:hAnsi="Arial"/>
          <w:sz w:val="22"/>
          <w:szCs w:val="22"/>
          <w:color w:val="auto"/>
        </w:rPr>
      </w:pPr>
    </w:p>
    <w:p>
      <w:pPr>
        <w:ind w:left="2040" w:hanging="736"/>
        <w:spacing w:after="0"/>
        <w:tabs>
          <w:tab w:leader="none" w:pos="204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changing the Company’s auditors, other than to another “Big 4” accounting firm;</w:t>
      </w:r>
    </w:p>
    <w:p>
      <w:pPr>
        <w:spacing w:after="0" w:line="233" w:lineRule="exact"/>
        <w:rPr>
          <w:rFonts w:ascii="Arial" w:cs="Arial" w:eastAsia="Arial" w:hAnsi="Arial"/>
          <w:sz w:val="22"/>
          <w:szCs w:val="22"/>
          <w:color w:val="auto"/>
        </w:rPr>
      </w:pPr>
    </w:p>
    <w:p>
      <w:pPr>
        <w:jc w:val="both"/>
        <w:ind w:firstLine="1304"/>
        <w:spacing w:after="0"/>
        <w:tabs>
          <w:tab w:leader="none" w:pos="214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 making any changes to material tax practices, policies or procedures of the Company or (ii) changing the legal form or tax classification of the Company or any of its Subsidiaries, other than in the case of clause (i) in the ordinary course of business (including to facilitate tax planning in the ordinary course of business);</w:t>
      </w:r>
    </w:p>
    <w:p>
      <w:pPr>
        <w:spacing w:after="0" w:line="213" w:lineRule="exact"/>
        <w:rPr>
          <w:rFonts w:ascii="Arial" w:cs="Arial" w:eastAsia="Arial" w:hAnsi="Arial"/>
          <w:sz w:val="22"/>
          <w:szCs w:val="22"/>
          <w:color w:val="auto"/>
        </w:rPr>
      </w:pPr>
    </w:p>
    <w:p>
      <w:pPr>
        <w:ind w:firstLine="1304"/>
        <w:spacing w:after="0" w:line="250" w:lineRule="auto"/>
        <w:tabs>
          <w:tab w:leader="none" w:pos="2155" w:val="left"/>
        </w:tabs>
        <w:numPr>
          <w:ilvl w:val="0"/>
          <w:numId w:val="233"/>
        </w:numPr>
        <w:rPr>
          <w:rFonts w:ascii="Arial" w:cs="Arial" w:eastAsia="Arial" w:hAnsi="Arial"/>
          <w:sz w:val="22"/>
          <w:szCs w:val="22"/>
          <w:color w:val="auto"/>
        </w:rPr>
      </w:pPr>
      <w:r>
        <w:rPr>
          <w:rFonts w:ascii="Arial" w:cs="Arial" w:eastAsia="Arial" w:hAnsi="Arial"/>
          <w:sz w:val="22"/>
          <w:szCs w:val="22"/>
          <w:color w:val="auto"/>
        </w:rPr>
        <w:t>changing the business purpose of the Company and its Subsidiaries from the Business or entering into a new line of business other than the Business;</w:t>
      </w:r>
    </w:p>
    <w:p>
      <w:pPr>
        <w:spacing w:after="0" w:line="201" w:lineRule="exact"/>
        <w:rPr>
          <w:rFonts w:ascii="Arial" w:cs="Arial" w:eastAsia="Arial" w:hAnsi="Arial"/>
          <w:sz w:val="22"/>
          <w:szCs w:val="22"/>
          <w:color w:val="auto"/>
        </w:rPr>
      </w:pPr>
    </w:p>
    <w:p>
      <w:pPr>
        <w:jc w:val="both"/>
        <w:ind w:firstLine="1304"/>
        <w:spacing w:after="0" w:line="249" w:lineRule="auto"/>
        <w:tabs>
          <w:tab w:leader="none" w:pos="2151" w:val="left"/>
        </w:tabs>
        <w:numPr>
          <w:ilvl w:val="0"/>
          <w:numId w:val="233"/>
        </w:numPr>
        <w:rPr>
          <w:rFonts w:ascii="Arial" w:cs="Arial" w:eastAsia="Arial" w:hAnsi="Arial"/>
          <w:sz w:val="21"/>
          <w:szCs w:val="21"/>
          <w:color w:val="auto"/>
        </w:rPr>
      </w:pPr>
      <w:r>
        <w:rPr>
          <w:rFonts w:ascii="Arial" w:cs="Arial" w:eastAsia="Arial" w:hAnsi="Arial"/>
          <w:sz w:val="21"/>
          <w:szCs w:val="21"/>
          <w:color w:val="auto"/>
        </w:rPr>
        <w:t>settling or compromising any pending or threatened Action, other than the settlement or compromise (i) of any Action in which the Company or any of its Subsidiaries is named as a nominal defendant, (ii) in the ordinary course of business so long as such settlement or compromise is covered by insurance, or (iii) where the amount to be paid by the Company or any of its Subsidiaries does not exceed $15,000,000, in the case of each of clauses (i) through (iii), so long as such settlement or compromise does not (A) impose any material restrictions on any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jc w:val="both"/>
        <w:spacing w:after="0" w:line="238" w:lineRule="auto"/>
        <w:rPr>
          <w:sz w:val="20"/>
          <w:szCs w:val="20"/>
          <w:color w:val="auto"/>
        </w:rPr>
      </w:pPr>
      <w:r>
        <w:rPr>
          <w:rFonts w:ascii="Arial" w:cs="Arial" w:eastAsia="Arial" w:hAnsi="Arial"/>
          <w:sz w:val="22"/>
          <w:szCs w:val="22"/>
          <w:color w:val="auto"/>
        </w:rPr>
        <w:t>the future activities of the Company or any of its Affiliates, or (B) involve a criminal matter, a matter of moral turpitude or any other matter that could reasonably be expected to have a material and adverse impact on the reputation of, or the willingness of other Persons to engage in transactions with, the Company, the New Investor, the Existing Shareholders or any of their respective Affiliates;</w:t>
      </w:r>
    </w:p>
    <w:p>
      <w:pPr>
        <w:spacing w:after="0" w:line="212" w:lineRule="exact"/>
        <w:rPr>
          <w:sz w:val="20"/>
          <w:szCs w:val="20"/>
          <w:color w:val="auto"/>
        </w:rPr>
      </w:pPr>
    </w:p>
    <w:p>
      <w:pPr>
        <w:jc w:val="both"/>
        <w:ind w:firstLine="1304"/>
        <w:spacing w:after="0" w:line="234" w:lineRule="auto"/>
        <w:tabs>
          <w:tab w:leader="none" w:pos="234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(i) settling, compromising or otherwise entering into any agreement, including a non-prosecution agreement, to resolve any pending or threatened Action relating to Anti-Bribery Laws, Economic Sanctions or Money Laundering Laws, (ii) engaging in any conduct or action that would or would reasonably be likely to result in the Company or any of its Subsidiaries violating any Anti-Bribery Laws, Economic Sanctions or Money Laundering Laws or (iii) engaging in any transactions or dealings involving any Sanctioned Person, or with or in any country or territory that is the target of any Economic Sanctions (each such country, a “</w:t>
      </w:r>
      <w:r>
        <w:rPr>
          <w:rFonts w:ascii="Arial" w:cs="Arial" w:eastAsia="Arial" w:hAnsi="Arial"/>
          <w:sz w:val="22"/>
          <w:szCs w:val="22"/>
          <w:u w:val="single" w:color="auto"/>
          <w:color w:val="auto"/>
        </w:rPr>
        <w:t>Sanctioned Country</w:t>
      </w:r>
      <w:r>
        <w:rPr>
          <w:rFonts w:ascii="Arial" w:cs="Arial" w:eastAsia="Arial" w:hAnsi="Arial"/>
          <w:sz w:val="22"/>
          <w:szCs w:val="22"/>
          <w:color w:val="auto"/>
        </w:rPr>
        <w:t>” including without limitation Cuba, Iran, Syria, North Korea and the Crimea region of the Ukraine) or the acceptance of any payments or revenues from or in involving any Sanctioned Country or Sanctioned Person;</w:t>
      </w:r>
    </w:p>
    <w:p>
      <w:pPr>
        <w:spacing w:after="0" w:line="213" w:lineRule="exact"/>
        <w:rPr>
          <w:rFonts w:ascii="Arial" w:cs="Arial" w:eastAsia="Arial" w:hAnsi="Arial"/>
          <w:sz w:val="22"/>
          <w:szCs w:val="22"/>
          <w:color w:val="auto"/>
        </w:rPr>
      </w:pPr>
    </w:p>
    <w:p>
      <w:pPr>
        <w:jc w:val="both"/>
        <w:ind w:firstLine="1304"/>
        <w:spacing w:after="0" w:line="269" w:lineRule="auto"/>
        <w:tabs>
          <w:tab w:leader="none" w:pos="2216"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(i) approving the annual operating and capital budgets (including any amendments thereto that would result in expenditures in excess of 105% of the total expenditures contemplated by the budget or in excess of 110% for any line item in the budget;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New Investor and BHL are unable to agree on an operating budget that is acceptable to each for any fiscal year, then unless and until such an acceptable operating budget is approved for such fiscal year, the operating budget from the prior fiscal year (including assumptions regarding interest rates) shall be deemed to be the approved operating budget except that (w) any one-time or non-recurring items will be deleted, (x) any recurring expenses from the previous year’s budget shall be increased by the change in CPI as reported by the U.S. Bureau of Labor Statistics from the date of the last budget,</w:t>
      </w:r>
    </w:p>
    <w:p>
      <w:pPr>
        <w:spacing w:after="0" w:line="4" w:lineRule="exact"/>
        <w:rPr>
          <w:rFonts w:ascii="Arial" w:cs="Arial" w:eastAsia="Arial" w:hAnsi="Arial"/>
          <w:sz w:val="19"/>
          <w:szCs w:val="19"/>
          <w:color w:val="auto"/>
        </w:rPr>
      </w:pPr>
    </w:p>
    <w:p>
      <w:pPr>
        <w:jc w:val="both"/>
        <w:ind w:firstLine="8"/>
        <w:spacing w:after="0" w:line="266" w:lineRule="auto"/>
        <w:tabs>
          <w:tab w:leader="none" w:pos="308"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any item that would have otherwise required the consent of the New Investor and BHL in accordance with this Annex A shall be excluded and (z) any assumptions regarding foreign exchange rates and interest rates shall be based on the applicable closing foreign exchange rates and interest rates on the day the budget from the previous year was agreed, (ii) incurring any expenditure that is inconsistent with the operating or capital budget then in effect, other than (i) additional aggregate expenditures less than</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5% of the total expenditures contemplated by such budget or (B) 10% for any line item in such budget;</w:t>
      </w:r>
    </w:p>
    <w:p>
      <w:pPr>
        <w:spacing w:after="0" w:line="215" w:lineRule="exact"/>
        <w:rPr>
          <w:rFonts w:ascii="Arial" w:cs="Arial" w:eastAsia="Arial" w:hAnsi="Arial"/>
          <w:sz w:val="19"/>
          <w:szCs w:val="19"/>
          <w:color w:val="auto"/>
        </w:rPr>
      </w:pPr>
    </w:p>
    <w:p>
      <w:pPr>
        <w:jc w:val="both"/>
        <w:ind w:firstLine="1304"/>
        <w:spacing w:after="0"/>
        <w:tabs>
          <w:tab w:leader="none" w:pos="2213" w:val="left"/>
        </w:tabs>
        <w:numPr>
          <w:ilvl w:val="1"/>
          <w:numId w:val="235"/>
        </w:numPr>
        <w:rPr>
          <w:rFonts w:ascii="Arial" w:cs="Arial" w:eastAsia="Arial" w:hAnsi="Arial"/>
          <w:sz w:val="22"/>
          <w:szCs w:val="22"/>
          <w:color w:val="auto"/>
        </w:rPr>
      </w:pPr>
      <w:r>
        <w:rPr>
          <w:rFonts w:ascii="Arial" w:cs="Arial" w:eastAsia="Arial" w:hAnsi="Arial"/>
          <w:sz w:val="22"/>
          <w:szCs w:val="22"/>
          <w:color w:val="auto"/>
        </w:rPr>
        <w:t>making, or causing a Person to make, a “Surrender Election” (as such term is defined in the Seventh Amended and Restated Agreement of Limited Partnership of the Partnership, dated as of August 5, 2020, as it may be further amended, restated, modified or supplemented);</w:t>
      </w:r>
    </w:p>
    <w:p>
      <w:pPr>
        <w:spacing w:after="0" w:line="213" w:lineRule="exact"/>
        <w:rPr>
          <w:sz w:val="20"/>
          <w:szCs w:val="20"/>
          <w:color w:val="auto"/>
        </w:rPr>
      </w:pPr>
    </w:p>
    <w:p>
      <w:pPr>
        <w:jc w:val="both"/>
        <w:ind w:firstLine="1304"/>
        <w:spacing w:after="0" w:line="282" w:lineRule="auto"/>
        <w:tabs>
          <w:tab w:leader="none" w:pos="224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requiring the return of the Exchange Fund (as such term is defined in the Merger Agreement) to the Company or making any determination to (i) issue any Additional Amount (as such term is defined in the Merger Agreement) out of the Exchange Fund or (ii) pay, or cause the payment of, the excess of the Appraised Fair Value (as such term is defined in the Merger Agreement) over the Merger Consideration (as such term is defined in the Merger Agreement) to be paid out of the Exchange Fund; or committing or agreeing, in writing or otherwise, to take any of the foregoing actions.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1)"/>
      <w:numFmt w:val="lowerRoman"/>
      <w:start w:val="3"/>
    </w:lvl>
  </w:abstractNum>
  <w:abstractNum w:abstractNumId="1">
    <w:nsid w:val="4C9B0904"/>
    <w:multiLevelType w:val="hybridMultilevel"/>
    <w:lvl w:ilvl="0">
      <w:lvlJc w:val="left"/>
      <w:lvlText w:val="(%1)"/>
      <w:numFmt w:val="lowerLetter"/>
      <w:start w:val="1"/>
    </w:lvl>
  </w:abstractNum>
  <w:abstractNum w:abstractNumId="2">
    <w:nsid w:val="6AA7B75C"/>
    <w:multiLevelType w:val="hybridMultilevel"/>
    <w:lvl w:ilvl="0">
      <w:lvlJc w:val="left"/>
      <w:lvlText w:val="(%1)"/>
      <w:numFmt w:val="lowerLetter"/>
      <w:start w:val="2"/>
    </w:lvl>
  </w:abstractNum>
  <w:abstractNum w:abstractNumId="3">
    <w:nsid w:val="1DF029D3"/>
    <w:multiLevelType w:val="hybridMultilevel"/>
    <w:lvl w:ilvl="0">
      <w:lvlJc w:val="left"/>
      <w:lvlText w:val="(%1)"/>
      <w:numFmt w:val="lowerLetter"/>
      <w:start w:val="1"/>
    </w:lvl>
  </w:abstractNum>
  <w:abstractNum w:abstractNumId="4">
    <w:nsid w:val="5675FF36"/>
    <w:multiLevelType w:val="hybridMultilevel"/>
    <w:lvl w:ilvl="0">
      <w:lvlJc w:val="left"/>
      <w:lvlText w:val="(%1)"/>
      <w:numFmt w:val="lowerLetter"/>
      <w:start w:val="3"/>
    </w:lvl>
  </w:abstractNum>
  <w:abstractNum w:abstractNumId="5">
    <w:nsid w:val="3DD15094"/>
    <w:multiLevelType w:val="hybridMultilevel"/>
    <w:lvl w:ilvl="0">
      <w:lvlJc w:val="left"/>
      <w:lvlText w:val="(%1)"/>
      <w:numFmt w:val="lowerLetter"/>
      <w:start w:val="7"/>
    </w:lvl>
  </w:abstractNum>
  <w:abstractNum w:abstractNumId="6">
    <w:nsid w:val="3DB012B3"/>
    <w:multiLevelType w:val="hybridMultilevel"/>
    <w:lvl w:ilvl="0">
      <w:lvlJc w:val="left"/>
      <w:lvlText w:val="(%1)"/>
      <w:numFmt w:val="lowerLetter"/>
      <w:start w:val="1"/>
    </w:lvl>
  </w:abstractNum>
  <w:abstractNum w:abstractNumId="7">
    <w:nsid w:val="2708C9AF"/>
    <w:multiLevelType w:val="hybridMultilevel"/>
    <w:lvl w:ilvl="0">
      <w:lvlJc w:val="left"/>
      <w:lvlText w:val="(%1)"/>
      <w:numFmt w:val="lowerLetter"/>
      <w:start w:val="4"/>
    </w:lvl>
  </w:abstractNum>
  <w:abstractNum w:abstractNumId="8">
    <w:nsid w:val="5B25ACE2"/>
    <w:multiLevelType w:val="hybridMultilevel"/>
    <w:lvl w:ilvl="0">
      <w:lvlJc w:val="left"/>
      <w:lvlText w:val="%1"/>
      <w:numFmt w:val="lowerLetter"/>
      <w:start w:val="1"/>
    </w:lvl>
    <w:lvl w:ilvl="1">
      <w:lvlJc w:val="left"/>
      <w:lvlText w:val="(%2)"/>
      <w:numFmt w:val="lowerLetter"/>
      <w:start w:val="1"/>
    </w:lvl>
  </w:abstractNum>
  <w:abstractNum w:abstractNumId="9">
    <w:nsid w:val="175DFCF0"/>
    <w:multiLevelType w:val="hybridMultilevel"/>
    <w:lvl w:ilvl="0">
      <w:lvlJc w:val="left"/>
      <w:lvlText w:val="(%1)"/>
      <w:numFmt w:val="lowerLetter"/>
      <w:start w:val="4"/>
    </w:lvl>
    <w:lvl w:ilvl="1">
      <w:lvlJc w:val="left"/>
      <w:lvlText w:val="%2"/>
      <w:numFmt w:val="lowerLetter"/>
      <w:start w:val="1"/>
    </w:lvl>
  </w:abstractNum>
  <w:abstractNum w:abstractNumId="10">
    <w:nsid w:val="4F97E3E4"/>
    <w:multiLevelType w:val="hybridMultilevel"/>
    <w:lvl w:ilvl="0">
      <w:lvlJc w:val="left"/>
      <w:lvlText w:val="(%1)"/>
      <w:numFmt w:val="lowerLetter"/>
      <w:start w:val="5"/>
    </w:lvl>
  </w:abstractNum>
  <w:abstractNum w:abstractNumId="11">
    <w:nsid w:val="53B0A9E"/>
    <w:multiLevelType w:val="hybridMultilevel"/>
    <w:lvl w:ilvl="0">
      <w:lvlJc w:val="left"/>
      <w:lvlText w:val="(%1)"/>
      <w:numFmt w:val="lowerLetter"/>
      <w:start w:val="1"/>
    </w:lvl>
  </w:abstractNum>
  <w:abstractNum w:abstractNumId="12">
    <w:nsid w:val="34FD6B4F"/>
    <w:multiLevelType w:val="hybridMultilevel"/>
    <w:lvl w:ilvl="0">
      <w:lvlJc w:val="left"/>
      <w:lvlText w:val="(%1)"/>
      <w:numFmt w:val="lowerLetter"/>
      <w:start w:val="1"/>
    </w:lvl>
  </w:abstractNum>
  <w:abstractNum w:abstractNumId="13">
    <w:nsid w:val="5915FF32"/>
    <w:multiLevelType w:val="hybridMultilevel"/>
    <w:lvl w:ilvl="0">
      <w:lvlJc w:val="left"/>
      <w:lvlText w:val="(%1)"/>
      <w:numFmt w:val="lowerLetter"/>
      <w:start w:val="2"/>
    </w:lvl>
  </w:abstractNum>
  <w:abstractNum w:abstractNumId="14">
    <w:nsid w:val="56438D15"/>
    <w:multiLevelType w:val="hybridMultilevel"/>
    <w:lvl w:ilvl="0">
      <w:lvlJc w:val="left"/>
      <w:lvlText w:val="(%1)"/>
      <w:numFmt w:val="lowerLetter"/>
      <w:start w:val="4"/>
    </w:lvl>
  </w:abstractNum>
  <w:abstractNum w:abstractNumId="15">
    <w:nsid w:val="519E3149"/>
    <w:multiLevelType w:val="hybridMultilevel"/>
    <w:lvl w:ilvl="0">
      <w:lvlJc w:val="left"/>
      <w:lvlText w:val="(%1)"/>
      <w:numFmt w:val="lowerLetter"/>
      <w:start w:val="1"/>
    </w:lvl>
  </w:abstractNum>
  <w:abstractNum w:abstractNumId="16">
    <w:nsid w:val="2C6E4AFD"/>
    <w:multiLevelType w:val="hybridMultilevel"/>
    <w:lvl w:ilvl="0">
      <w:lvlJc w:val="left"/>
      <w:lvlText w:val="%1"/>
      <w:numFmt w:val="lowerLetter"/>
      <w:start w:val="1"/>
    </w:lvl>
    <w:lvl w:ilvl="1">
      <w:lvlJc w:val="left"/>
      <w:lvlText w:val="(%2)"/>
      <w:numFmt w:val="lowerLetter"/>
      <w:start w:val="2"/>
    </w:lvl>
  </w:abstractNum>
  <w:abstractNum w:abstractNumId="17">
    <w:nsid w:val="17A1B582"/>
    <w:multiLevelType w:val="hybridMultilevel"/>
    <w:lvl w:ilvl="0">
      <w:lvlJc w:val="left"/>
      <w:lvlText w:val="(%1)"/>
      <w:numFmt w:val="lowerLetter"/>
      <w:start w:val="9"/>
    </w:lvl>
    <w:lvl w:ilvl="1">
      <w:lvlJc w:val="left"/>
      <w:lvlText w:val="(%2)"/>
      <w:numFmt w:val="lowerLetter"/>
      <w:start w:val="4"/>
    </w:lvl>
  </w:abstractNum>
  <w:abstractNum w:abstractNumId="18">
    <w:nsid w:val="4DF72E4E"/>
    <w:multiLevelType w:val="hybridMultilevel"/>
    <w:lvl w:ilvl="0">
      <w:lvlJc w:val="left"/>
      <w:lvlText w:val="(%1)"/>
      <w:numFmt w:val="lowerLetter"/>
      <w:start w:val="9"/>
    </w:lvl>
    <w:lvl w:ilvl="1">
      <w:lvlJc w:val="left"/>
      <w:lvlText w:val="%2"/>
      <w:numFmt w:val="lowerLetter"/>
      <w:start w:val="1"/>
    </w:lvl>
  </w:abstractNum>
  <w:abstractNum w:abstractNumId="19">
    <w:nsid w:val="5046B5A9"/>
    <w:multiLevelType w:val="hybridMultilevel"/>
    <w:lvl w:ilvl="0">
      <w:lvlJc w:val="left"/>
      <w:lvlText w:val="(%1)"/>
      <w:numFmt w:val="lowerLetter"/>
      <w:start w:val="5"/>
    </w:lvl>
  </w:abstractNum>
  <w:abstractNum w:abstractNumId="20">
    <w:nsid w:val="5D888A08"/>
    <w:multiLevelType w:val="hybridMultilevel"/>
    <w:lvl w:ilvl="0">
      <w:lvlJc w:val="left"/>
      <w:lvlText w:val="(%1)"/>
      <w:numFmt w:val="lowerLetter"/>
      <w:start w:val="1"/>
    </w:lvl>
  </w:abstractNum>
  <w:abstractNum w:abstractNumId="21">
    <w:nsid w:val="2A082C70"/>
    <w:multiLevelType w:val="hybridMultilevel"/>
    <w:lvl w:ilvl="0">
      <w:lvlJc w:val="left"/>
      <w:lvlText w:val="(%1)"/>
      <w:numFmt w:val="lowerLetter"/>
      <w:start w:val="2"/>
    </w:lvl>
  </w:abstractNum>
  <w:abstractNum w:abstractNumId="22">
    <w:nsid w:val="5EC6AFD4"/>
    <w:multiLevelType w:val="hybridMultilevel"/>
    <w:lvl w:ilvl="0">
      <w:lvlJc w:val="left"/>
      <w:lvlText w:val="(%1)"/>
      <w:numFmt w:val="lowerLetter"/>
      <w:start w:val="4"/>
    </w:lvl>
  </w:abstractNum>
  <w:abstractNum w:abstractNumId="23">
    <w:nsid w:val="19E21BB2"/>
    <w:multiLevelType w:val="hybridMultilevel"/>
    <w:lvl w:ilvl="0">
      <w:lvlJc w:val="left"/>
      <w:lvlText w:val="(%1)"/>
      <w:numFmt w:val="lowerRoman"/>
      <w:start w:val="1"/>
    </w:lvl>
  </w:abstractNum>
  <w:abstractNum w:abstractNumId="24">
    <w:nsid w:val="75E0858A"/>
    <w:multiLevelType w:val="hybridMultilevel"/>
    <w:lvl w:ilvl="0">
      <w:lvlJc w:val="left"/>
      <w:lvlText w:val="(%1)"/>
      <w:numFmt w:val="lowerLetter"/>
      <w:start w:val="2"/>
    </w:lvl>
  </w:abstractNum>
  <w:abstractNum w:abstractNumId="25">
    <w:nsid w:val="57A61A29"/>
    <w:multiLevelType w:val="hybridMultilevel"/>
    <w:lvl w:ilvl="0">
      <w:lvlJc w:val="left"/>
      <w:lvlText w:val="(%1)"/>
      <w:numFmt w:val="lowerLetter"/>
      <w:start w:val="1"/>
    </w:lvl>
  </w:abstractNum>
  <w:abstractNum w:abstractNumId="26">
    <w:nsid w:val="5399C654"/>
    <w:multiLevelType w:val="hybridMultilevel"/>
    <w:lvl w:ilvl="0">
      <w:lvlJc w:val="left"/>
      <w:lvlText w:val="(%1)"/>
      <w:numFmt w:val="lowerLetter"/>
      <w:start w:val="1"/>
    </w:lvl>
  </w:abstractNum>
  <w:abstractNum w:abstractNumId="27">
    <w:nsid w:val="20EE1348"/>
    <w:multiLevelType w:val="hybridMultilevel"/>
    <w:lvl w:ilvl="0">
      <w:lvlJc w:val="left"/>
      <w:lvlText w:val="(%1)"/>
      <w:numFmt w:val="lowerLetter"/>
      <w:start w:val="2"/>
    </w:lvl>
  </w:abstractNum>
  <w:abstractNum w:abstractNumId="28">
    <w:nsid w:val="4427069A"/>
    <w:multiLevelType w:val="hybridMultilevel"/>
    <w:lvl w:ilvl="0">
      <w:lvlJc w:val="left"/>
      <w:lvlText w:val="(%1)"/>
      <w:numFmt w:val="lowerLetter"/>
      <w:start w:val="1"/>
    </w:lvl>
  </w:abstractNum>
  <w:abstractNum w:abstractNumId="29">
    <w:nsid w:val="B37E80A"/>
    <w:multiLevelType w:val="hybridMultilevel"/>
    <w:lvl w:ilvl="0">
      <w:lvlJc w:val="left"/>
      <w:lvlText w:val="%1"/>
      <w:numFmt w:val="lowerRoman"/>
      <w:start w:val="1"/>
    </w:lvl>
    <w:lvl w:ilvl="1">
      <w:lvlJc w:val="left"/>
      <w:lvlText w:val="(%2)"/>
      <w:numFmt w:val="lowerLetter"/>
      <w:start w:val="5"/>
    </w:lvl>
  </w:abstractNum>
  <w:abstractNum w:abstractNumId="30">
    <w:nsid w:val="2157F6BC"/>
    <w:multiLevelType w:val="hybridMultilevel"/>
    <w:lvl w:ilvl="0">
      <w:lvlJc w:val="left"/>
      <w:lvlText w:val="(%1)"/>
      <w:numFmt w:val="lowerRoman"/>
      <w:start w:val="4"/>
    </w:lvl>
    <w:lvl w:ilvl="1">
      <w:lvlJc w:val="left"/>
      <w:lvlText w:val="(%2)"/>
      <w:numFmt w:val="lowerLetter"/>
      <w:start w:val="10"/>
    </w:lvl>
  </w:abstractNum>
  <w:abstractNum w:abstractNumId="31">
    <w:nsid w:val="704E1DD5"/>
    <w:multiLevelType w:val="hybridMultilevel"/>
    <w:lvl w:ilvl="0">
      <w:lvlJc w:val="left"/>
      <w:lvlText w:val="(%1)"/>
      <w:numFmt w:val="lowerLetter"/>
      <w:start w:val="14"/>
    </w:lvl>
  </w:abstractNum>
  <w:abstractNum w:abstractNumId="32">
    <w:nsid w:val="57D2F10E"/>
    <w:multiLevelType w:val="hybridMultilevel"/>
    <w:lvl w:ilvl="0">
      <w:lvlJc w:val="left"/>
      <w:lvlText w:val="(%1)"/>
      <w:numFmt w:val="lowerLetter"/>
      <w:start w:val="1"/>
    </w:lvl>
  </w:abstractNum>
  <w:abstractNum w:abstractNumId="33">
    <w:nsid w:val="BFFAE18"/>
    <w:multiLevelType w:val="hybridMultilevel"/>
    <w:lvl w:ilvl="0">
      <w:lvlJc w:val="left"/>
      <w:lvlText w:val="(%1)"/>
      <w:numFmt w:val="lowerLetter"/>
      <w:start w:val="5"/>
    </w:lvl>
  </w:abstractNum>
  <w:abstractNum w:abstractNumId="34">
    <w:nsid w:val="E3E47A8"/>
    <w:multiLevelType w:val="hybridMultilevel"/>
    <w:lvl w:ilvl="0">
      <w:lvlJc w:val="left"/>
      <w:lvlText w:val="(%1)"/>
      <w:numFmt w:val="lowerLetter"/>
      <w:start w:val="2"/>
    </w:lvl>
  </w:abstractNum>
  <w:abstractNum w:abstractNumId="35">
    <w:nsid w:val="2E48F044"/>
    <w:multiLevelType w:val="hybridMultilevel"/>
    <w:lvl w:ilvl="0">
      <w:lvlJc w:val="left"/>
      <w:lvlText w:val="(%1)"/>
      <w:numFmt w:val="lowerLetter"/>
      <w:start w:val="1"/>
    </w:lvl>
  </w:abstractNum>
  <w:abstractNum w:abstractNumId="36">
    <w:nsid w:val="49D0FEAC"/>
    <w:multiLevelType w:val="hybridMultilevel"/>
    <w:lvl w:ilvl="0">
      <w:lvlJc w:val="left"/>
      <w:lvlText w:val="%1"/>
      <w:numFmt w:val="lowerLetter"/>
      <w:start w:val="1"/>
    </w:lvl>
    <w:lvl w:ilvl="1">
      <w:lvlJc w:val="left"/>
      <w:lvlText w:val="(%2)"/>
      <w:numFmt w:val="lowerLetter"/>
      <w:start w:val="2"/>
    </w:lvl>
  </w:abstractNum>
  <w:abstractNum w:abstractNumId="37">
    <w:nsid w:val="4BEE5A5B"/>
    <w:multiLevelType w:val="hybridMultilevel"/>
    <w:lvl w:ilvl="0">
      <w:lvlJc w:val="left"/>
      <w:lvlText w:val="(%1)"/>
      <w:numFmt w:val="lowerLetter"/>
      <w:start w:val="35"/>
    </w:lvl>
    <w:lvl w:ilvl="1">
      <w:lvlJc w:val="left"/>
      <w:lvlText w:val="(%2)"/>
      <w:numFmt w:val="lowerLetter"/>
      <w:start w:val="4"/>
    </w:lvl>
  </w:abstractNum>
  <w:abstractNum w:abstractNumId="38">
    <w:nsid w:val="5551B9F3"/>
    <w:multiLevelType w:val="hybridMultilevel"/>
    <w:lvl w:ilvl="0">
      <w:lvlJc w:val="left"/>
      <w:lvlText w:val="(%1)"/>
      <w:numFmt w:val="lowerLetter"/>
      <w:start w:val="1"/>
    </w:lvl>
  </w:abstractNum>
  <w:abstractNum w:abstractNumId="39">
    <w:nsid w:val="24F6AB8E"/>
    <w:multiLevelType w:val="hybridMultilevel"/>
    <w:lvl w:ilvl="0">
      <w:lvlJc w:val="left"/>
      <w:lvlText w:val="(%1)"/>
      <w:numFmt w:val="lowerRoman"/>
      <w:start w:val="1"/>
    </w:lvl>
  </w:abstractNum>
  <w:abstractNum w:abstractNumId="40">
    <w:nsid w:val="634C574C"/>
    <w:multiLevelType w:val="hybridMultilevel"/>
    <w:lvl w:ilvl="0">
      <w:lvlJc w:val="left"/>
      <w:lvlText w:val="(%1)"/>
      <w:numFmt w:val="lowerRoman"/>
      <w:start w:val="9"/>
    </w:lvl>
  </w:abstractNum>
  <w:abstractNum w:abstractNumId="41">
    <w:nsid w:val="24E99DD7"/>
    <w:multiLevelType w:val="hybridMultilevel"/>
    <w:lvl w:ilvl="0">
      <w:lvlJc w:val="left"/>
      <w:lvlText w:val="(%1)"/>
      <w:numFmt w:val="lowerLetter"/>
      <w:start w:val="2"/>
    </w:lvl>
  </w:abstractNum>
  <w:abstractNum w:abstractNumId="42">
    <w:nsid w:val="2A31B62D"/>
    <w:multiLevelType w:val="hybridMultilevel"/>
    <w:lvl w:ilvl="0">
      <w:lvlJc w:val="left"/>
      <w:lvlText w:val="%1"/>
      <w:numFmt w:val="lowerLetter"/>
      <w:start w:val="1"/>
    </w:lvl>
    <w:lvl w:ilvl="1">
      <w:lvlJc w:val="left"/>
      <w:lvlText w:val="(%2)"/>
      <w:numFmt w:val="lowerLetter"/>
      <w:start w:val="1"/>
    </w:lvl>
  </w:abstractNum>
  <w:abstractNum w:abstractNumId="43">
    <w:nsid w:val="1849C29B"/>
    <w:multiLevelType w:val="hybridMultilevel"/>
    <w:lvl w:ilvl="0">
      <w:lvlJc w:val="left"/>
      <w:lvlText w:val="(%1)"/>
      <w:numFmt w:val="lowerLetter"/>
      <w:start w:val="61"/>
    </w:lvl>
    <w:lvl w:ilvl="1">
      <w:lvlJc w:val="left"/>
      <w:lvlText w:val="(%2)"/>
      <w:numFmt w:val="lowerLetter"/>
      <w:start w:val="2"/>
    </w:lvl>
  </w:abstractNum>
  <w:abstractNum w:abstractNumId="44">
    <w:nsid w:val="7DFF9D09"/>
    <w:multiLevelType w:val="hybridMultilevel"/>
    <w:lvl w:ilvl="0">
      <w:lvlJc w:val="left"/>
      <w:lvlText w:val="(%1)"/>
      <w:numFmt w:val="lowerLetter"/>
      <w:start w:val="4"/>
    </w:lvl>
  </w:abstractNum>
  <w:abstractNum w:abstractNumId="45">
    <w:nsid w:val="754342"/>
    <w:multiLevelType w:val="hybridMultilevel"/>
    <w:lvl w:ilvl="0">
      <w:lvlJc w:val="left"/>
      <w:lvlText w:val="(%1)"/>
      <w:numFmt w:val="lowerLetter"/>
      <w:start w:val="1"/>
    </w:lvl>
  </w:abstractNum>
  <w:abstractNum w:abstractNumId="46">
    <w:nsid w:val="69E7F3E5"/>
    <w:multiLevelType w:val="hybridMultilevel"/>
    <w:lvl w:ilvl="0">
      <w:lvlJc w:val="left"/>
      <w:lvlText w:val="%1"/>
      <w:numFmt w:val="lowerLetter"/>
      <w:start w:val="1"/>
    </w:lvl>
    <w:lvl w:ilvl="1">
      <w:lvlJc w:val="left"/>
      <w:lvlText w:val="(%2)"/>
      <w:numFmt w:val="lowerLetter"/>
      <w:start w:val="3"/>
    </w:lvl>
  </w:abstractNum>
  <w:abstractNum w:abstractNumId="47">
    <w:nsid w:val="2A6DE806"/>
    <w:multiLevelType w:val="hybridMultilevel"/>
    <w:lvl w:ilvl="0">
      <w:lvlJc w:val="left"/>
      <w:lvlText w:val="(%1)"/>
      <w:numFmt w:val="lowerLetter"/>
      <w:start w:val="35"/>
    </w:lvl>
    <w:lvl w:ilvl="1">
      <w:lvlJc w:val="left"/>
      <w:lvlText w:val="%2"/>
      <w:numFmt w:val="lowerLetter"/>
      <w:start w:val="1"/>
    </w:lvl>
  </w:abstractNum>
  <w:abstractNum w:abstractNumId="48">
    <w:nsid w:val="1816F8C4"/>
    <w:multiLevelType w:val="hybridMultilevel"/>
    <w:lvl w:ilvl="0">
      <w:lvlJc w:val="left"/>
      <w:lvlText w:val="(%1)"/>
      <w:numFmt w:val="lowerLetter"/>
      <w:start w:val="6"/>
    </w:lvl>
  </w:abstractNum>
  <w:abstractNum w:abstractNumId="49">
    <w:nsid w:val="37DF2233"/>
    <w:multiLevelType w:val="hybridMultilevel"/>
    <w:lvl w:ilvl="0">
      <w:lvlJc w:val="left"/>
      <w:lvlText w:val="(%1)"/>
      <w:numFmt w:val="lowerLetter"/>
      <w:start w:val="1"/>
    </w:lvl>
  </w:abstractNum>
  <w:abstractNum w:abstractNumId="50">
    <w:nsid w:val="7AB49DAF"/>
    <w:multiLevelType w:val="hybridMultilevel"/>
    <w:lvl w:ilvl="0">
      <w:lvlJc w:val="left"/>
      <w:lvlText w:val="(%1)"/>
      <w:numFmt w:val="lowerLetter"/>
      <w:start w:val="1"/>
    </w:lvl>
  </w:abstractNum>
  <w:abstractNum w:abstractNumId="51">
    <w:nsid w:val="759F82CD"/>
    <w:multiLevelType w:val="hybridMultilevel"/>
    <w:lvl w:ilvl="0">
      <w:lvlJc w:val="left"/>
      <w:lvlText w:val="%1"/>
      <w:numFmt w:val="lowerLetter"/>
      <w:start w:val="1"/>
    </w:lvl>
    <w:lvl w:ilvl="1">
      <w:lvlJc w:val="left"/>
      <w:lvlText w:val="(%2)"/>
      <w:numFmt w:val="lowerLetter"/>
      <w:start w:val="2"/>
    </w:lvl>
  </w:abstractNum>
  <w:abstractNum w:abstractNumId="52">
    <w:nsid w:val="61E74EA3"/>
    <w:multiLevelType w:val="hybridMultilevel"/>
    <w:lvl w:ilvl="0">
      <w:lvlJc w:val="left"/>
      <w:lvlText w:val="(%1)"/>
      <w:numFmt w:val="lowerLetter"/>
      <w:start w:val="24"/>
    </w:lvl>
    <w:lvl w:ilvl="1">
      <w:lvlJc w:val="left"/>
      <w:lvlText w:val="(%2)"/>
      <w:numFmt w:val="lowerLetter"/>
      <w:start w:val="4"/>
    </w:lvl>
  </w:abstractNum>
  <w:abstractNum w:abstractNumId="53">
    <w:nsid w:val="597B4D84"/>
    <w:multiLevelType w:val="hybridMultilevel"/>
    <w:lvl w:ilvl="0">
      <w:lvlJc w:val="left"/>
      <w:lvlText w:val="(%1)"/>
      <w:numFmt w:val="lowerLetter"/>
      <w:start w:val="1"/>
    </w:lvl>
  </w:abstractNum>
  <w:abstractNum w:abstractNumId="54">
    <w:nsid w:val="F819E7F"/>
    <w:multiLevelType w:val="hybridMultilevel"/>
    <w:lvl w:ilvl="0">
      <w:lvlJc w:val="left"/>
      <w:lvlText w:val="(%1)"/>
      <w:numFmt w:val="lowerLetter"/>
      <w:start w:val="1"/>
    </w:lvl>
  </w:abstractNum>
  <w:abstractNum w:abstractNumId="55">
    <w:nsid w:val="57C7D42D"/>
    <w:multiLevelType w:val="hybridMultilevel"/>
    <w:lvl w:ilvl="0">
      <w:lvlJc w:val="left"/>
      <w:lvlText w:val="(%1)"/>
      <w:numFmt w:val="lowerLetter"/>
      <w:start w:val="2"/>
    </w:lvl>
  </w:abstractNum>
  <w:abstractNum w:abstractNumId="56">
    <w:nsid w:val="312167AD"/>
    <w:multiLevelType w:val="hybridMultilevel"/>
    <w:lvl w:ilvl="0">
      <w:lvlJc w:val="left"/>
      <w:lvlText w:val="(%1)"/>
      <w:numFmt w:val="lowerLetter"/>
      <w:start w:val="2"/>
    </w:lvl>
  </w:abstractNum>
  <w:abstractNum w:abstractNumId="57">
    <w:nsid w:val="631B64D4"/>
    <w:multiLevelType w:val="hybridMultilevel"/>
    <w:lvl w:ilvl="0">
      <w:lvlJc w:val="left"/>
      <w:lvlText w:val="%1"/>
      <w:numFmt w:val="upperLetter"/>
      <w:start w:val="1"/>
    </w:lvl>
    <w:lvl w:ilvl="1">
      <w:lvlJc w:val="left"/>
      <w:lvlText w:val="(%2)"/>
      <w:numFmt w:val="lowerRoman"/>
      <w:start w:val="1"/>
    </w:lvl>
  </w:abstractNum>
  <w:abstractNum w:abstractNumId="58">
    <w:nsid w:val="78B5E776"/>
    <w:multiLevelType w:val="hybridMultilevel"/>
    <w:lvl w:ilvl="0">
      <w:lvlJc w:val="left"/>
      <w:lvlText w:val="(%1)"/>
      <w:numFmt w:val="upperLetter"/>
      <w:start w:val="1"/>
    </w:lvl>
    <w:lvl w:ilvl="1">
      <w:lvlJc w:val="left"/>
      <w:lvlText w:val="%2"/>
      <w:numFmt w:val="lowerRoman"/>
      <w:start w:val="1"/>
    </w:lvl>
  </w:abstractNum>
  <w:abstractNum w:abstractNumId="59">
    <w:nsid w:val="75486E47"/>
    <w:multiLevelType w:val="hybridMultilevel"/>
    <w:lvl w:ilvl="0">
      <w:lvlJc w:val="left"/>
      <w:lvlText w:val="(%1)"/>
      <w:numFmt w:val="lowerRoman"/>
      <w:start w:val="4"/>
    </w:lvl>
  </w:abstractNum>
  <w:abstractNum w:abstractNumId="60">
    <w:nsid w:val="6E534CDE"/>
    <w:multiLevelType w:val="hybridMultilevel"/>
    <w:lvl w:ilvl="0">
      <w:lvlJc w:val="left"/>
      <w:lvlText w:val="(%1)"/>
      <w:numFmt w:val="lowerLetter"/>
      <w:start w:val="3"/>
    </w:lvl>
  </w:abstractNum>
  <w:abstractNum w:abstractNumId="61">
    <w:nsid w:val="1A0DDE32"/>
    <w:multiLevelType w:val="hybridMultilevel"/>
    <w:lvl w:ilvl="0">
      <w:lvlJc w:val="left"/>
      <w:lvlText w:val="(%1)"/>
      <w:numFmt w:val="lowerLetter"/>
      <w:start w:val="6"/>
    </w:lvl>
  </w:abstractNum>
  <w:abstractNum w:abstractNumId="62">
    <w:nsid w:val="65968C1C"/>
    <w:multiLevelType w:val="hybridMultilevel"/>
    <w:lvl w:ilvl="0">
      <w:lvlJc w:val="left"/>
      <w:lvlText w:val="%1"/>
      <w:numFmt w:val="lowerLetter"/>
      <w:start w:val="1"/>
    </w:lvl>
    <w:lvl w:ilvl="1">
      <w:lvlJc w:val="left"/>
      <w:lvlText w:val="(%2)"/>
      <w:numFmt w:val="lowerLetter"/>
      <w:start w:val="1"/>
    </w:lvl>
  </w:abstractNum>
  <w:abstractNum w:abstractNumId="63">
    <w:nsid w:val="46263DEC"/>
    <w:multiLevelType w:val="hybridMultilevel"/>
    <w:lvl w:ilvl="0">
      <w:lvlJc w:val="left"/>
      <w:lvlText w:val="(%1)"/>
      <w:numFmt w:val="lowerLetter"/>
      <w:start w:val="35"/>
    </w:lvl>
    <w:lvl w:ilvl="1">
      <w:lvlJc w:val="left"/>
      <w:lvlText w:val="(%2)"/>
      <w:numFmt w:val="lowerLetter"/>
      <w:start w:val="2"/>
    </w:lvl>
  </w:abstractNum>
  <w:abstractNum w:abstractNumId="64">
    <w:nsid w:val="260D8C4A"/>
    <w:multiLevelType w:val="hybridMultilevel"/>
    <w:lvl w:ilvl="0">
      <w:lvlJc w:val="left"/>
      <w:lvlText w:val="%1"/>
      <w:numFmt w:val="upperLetter"/>
      <w:start w:val="1"/>
    </w:lvl>
    <w:lvl w:ilvl="1">
      <w:lvlJc w:val="left"/>
      <w:lvlText w:val="(%2)"/>
      <w:numFmt w:val="lowerLetter"/>
      <w:start w:val="3"/>
    </w:lvl>
  </w:abstractNum>
  <w:abstractNum w:abstractNumId="65">
    <w:nsid w:val="73D4D3C4"/>
    <w:multiLevelType w:val="hybridMultilevel"/>
    <w:lvl w:ilvl="0">
      <w:lvlJc w:val="left"/>
      <w:lvlText w:val="(%1)"/>
      <w:numFmt w:val="upperLetter"/>
      <w:start w:val="1"/>
    </w:lvl>
    <w:lvl w:ilvl="1">
      <w:lvlJc w:val="left"/>
      <w:lvlText w:val="%2"/>
      <w:numFmt w:val="lowerLetter"/>
      <w:start w:val="1"/>
    </w:lvl>
  </w:abstractNum>
  <w:abstractNum w:abstractNumId="66">
    <w:nsid w:val="746F2E30"/>
    <w:multiLevelType w:val="hybridMultilevel"/>
    <w:lvl w:ilvl="0">
      <w:lvlJc w:val="left"/>
      <w:lvlText w:val="(%1)"/>
      <w:numFmt w:val="lowerLetter"/>
      <w:start w:val="5"/>
    </w:lvl>
  </w:abstractNum>
  <w:abstractNum w:abstractNumId="67">
    <w:nsid w:val="6FDE8AF6"/>
    <w:multiLevelType w:val="hybridMultilevel"/>
    <w:lvl w:ilvl="0">
      <w:lvlJc w:val="left"/>
      <w:lvlText w:val="(%1)"/>
      <w:numFmt w:val="lowerLetter"/>
      <w:start w:val="6"/>
    </w:lvl>
  </w:abstractNum>
  <w:abstractNum w:abstractNumId="68">
    <w:nsid w:val="3FC32E20"/>
    <w:multiLevelType w:val="hybridMultilevel"/>
    <w:lvl w:ilvl="0">
      <w:lvlJc w:val="left"/>
      <w:lvlText w:val="(%1)"/>
      <w:numFmt w:val="lowerRoman"/>
      <w:start w:val="4"/>
    </w:lvl>
    <w:lvl w:ilvl="1">
      <w:lvlJc w:val="left"/>
      <w:lvlText w:val="(%2)"/>
      <w:numFmt w:val="lowerLetter"/>
      <w:start w:val="9"/>
    </w:lvl>
  </w:abstractNum>
  <w:abstractNum w:abstractNumId="69">
    <w:nsid w:val="49C0E823"/>
    <w:multiLevelType w:val="hybridMultilevel"/>
    <w:lvl w:ilvl="0">
      <w:lvlJc w:val="left"/>
      <w:lvlText w:val="(%1)"/>
      <w:numFmt w:val="lowerLetter"/>
      <w:start w:val="1"/>
    </w:lvl>
  </w:abstractNum>
  <w:abstractNum w:abstractNumId="70">
    <w:nsid w:val="14D53685"/>
    <w:multiLevelType w:val="hybridMultilevel"/>
    <w:lvl w:ilvl="0">
      <w:lvlJc w:val="left"/>
      <w:lvlText w:val="(%1)"/>
      <w:numFmt w:val="lowerLetter"/>
      <w:start w:val="2"/>
    </w:lvl>
  </w:abstractNum>
  <w:abstractNum w:abstractNumId="71">
    <w:nsid w:val="230F856C"/>
    <w:multiLevelType w:val="hybridMultilevel"/>
    <w:lvl w:ilvl="0">
      <w:lvlJc w:val="left"/>
      <w:lvlText w:val="(%1)"/>
      <w:numFmt w:val="lowerLetter"/>
      <w:start w:val="9"/>
    </w:lvl>
    <w:lvl w:ilvl="1">
      <w:lvlJc w:val="left"/>
      <w:lvlText w:val="(%2)"/>
      <w:numFmt w:val="lowerLetter"/>
      <w:start w:val="3"/>
    </w:lvl>
  </w:abstractNum>
  <w:abstractNum w:abstractNumId="72">
    <w:nsid w:val="6EAA85FB"/>
    <w:multiLevelType w:val="hybridMultilevel"/>
    <w:lvl w:ilvl="0">
      <w:lvlJc w:val="left"/>
      <w:lvlText w:val="(%1)"/>
      <w:numFmt w:val="lowerLetter"/>
      <w:start w:val="6"/>
    </w:lvl>
  </w:abstractNum>
  <w:abstractNum w:abstractNumId="73">
    <w:nsid w:val="3F06ECB2"/>
    <w:multiLevelType w:val="hybridMultilevel"/>
    <w:lvl w:ilvl="0">
      <w:lvlJc w:val="left"/>
      <w:lvlText w:val="(%1)"/>
      <w:numFmt w:val="lowerLetter"/>
      <w:start w:val="1"/>
    </w:lvl>
  </w:abstractNum>
  <w:abstractNum w:abstractNumId="74">
    <w:nsid w:val="3B594807"/>
    <w:multiLevelType w:val="hybridMultilevel"/>
    <w:lvl w:ilvl="0">
      <w:lvlJc w:val="left"/>
      <w:lvlText w:val="(%1)"/>
      <w:numFmt w:val="lowerLetter"/>
      <w:start w:val="3"/>
    </w:lvl>
  </w:abstractNum>
  <w:abstractNum w:abstractNumId="75">
    <w:nsid w:val="6CAA2304"/>
    <w:multiLevelType w:val="hybridMultilevel"/>
    <w:lvl w:ilvl="0">
      <w:lvlJc w:val="left"/>
      <w:lvlText w:val="(%1)"/>
      <w:numFmt w:val="lowerRoman"/>
      <w:start w:val="7"/>
    </w:lvl>
  </w:abstractNum>
  <w:abstractNum w:abstractNumId="76">
    <w:nsid w:val="3F7C2FF4"/>
    <w:multiLevelType w:val="hybridMultilevel"/>
    <w:lvl w:ilvl="0">
      <w:lvlJc w:val="left"/>
      <w:lvlText w:val="(%1)"/>
      <w:numFmt w:val="lowerLetter"/>
      <w:start w:val="1"/>
    </w:lvl>
  </w:abstractNum>
  <w:abstractNum w:abstractNumId="77">
    <w:nsid w:val="25413BEC"/>
    <w:multiLevelType w:val="hybridMultilevel"/>
    <w:lvl w:ilvl="0">
      <w:lvlJc w:val="left"/>
      <w:lvlText w:val="(%1)"/>
      <w:numFmt w:val="lowerLetter"/>
      <w:start w:val="2"/>
    </w:lvl>
  </w:abstractNum>
  <w:abstractNum w:abstractNumId="78">
    <w:nsid w:val="17180B0B"/>
    <w:multiLevelType w:val="hybridMultilevel"/>
    <w:lvl w:ilvl="0">
      <w:lvlJc w:val="left"/>
      <w:lvlText w:val="(%1)"/>
      <w:numFmt w:val="lowerLetter"/>
      <w:start w:val="1"/>
    </w:lvl>
  </w:abstractNum>
  <w:abstractNum w:abstractNumId="79">
    <w:nsid w:val="579328B9"/>
    <w:multiLevelType w:val="hybridMultilevel"/>
    <w:lvl w:ilvl="0">
      <w:lvlJc w:val="left"/>
      <w:lvlText w:val="(%1)"/>
      <w:numFmt w:val="lowerLetter"/>
      <w:start w:val="1"/>
    </w:lvl>
  </w:abstractNum>
  <w:abstractNum w:abstractNumId="80">
    <w:nsid w:val="5D205E20"/>
    <w:multiLevelType w:val="hybridMultilevel"/>
    <w:lvl w:ilvl="0">
      <w:lvlJc w:val="left"/>
      <w:lvlText w:val="(%1)"/>
      <w:numFmt w:val="lowerLetter"/>
      <w:start w:val="2"/>
    </w:lvl>
  </w:abstractNum>
  <w:abstractNum w:abstractNumId="81">
    <w:nsid w:val="11CCA8BA"/>
    <w:multiLevelType w:val="hybridMultilevel"/>
    <w:lvl w:ilvl="0">
      <w:lvlJc w:val="left"/>
      <w:lvlText w:val="(%1)"/>
      <w:numFmt w:val="lowerLetter"/>
      <w:start w:val="1"/>
    </w:lvl>
  </w:abstractNum>
  <w:abstractNum w:abstractNumId="82">
    <w:nsid w:val="4D32AB86"/>
    <w:multiLevelType w:val="hybridMultilevel"/>
    <w:lvl w:ilvl="0">
      <w:lvlJc w:val="left"/>
      <w:lvlText w:val="(%1)"/>
      <w:numFmt w:val="lowerLetter"/>
      <w:start w:val="1"/>
    </w:lvl>
  </w:abstractNum>
  <w:abstractNum w:abstractNumId="83">
    <w:nsid w:val="3F07ACC3"/>
    <w:multiLevelType w:val="hybridMultilevel"/>
    <w:lvl w:ilvl="0">
      <w:lvlJc w:val="left"/>
      <w:lvlText w:val="(%1)"/>
      <w:numFmt w:val="lowerRoman"/>
      <w:start w:val="1"/>
    </w:lvl>
  </w:abstractNum>
  <w:abstractNum w:abstractNumId="84">
    <w:nsid w:val="6B47F63E"/>
    <w:multiLevelType w:val="hybridMultilevel"/>
    <w:lvl w:ilvl="0">
      <w:lvlJc w:val="left"/>
      <w:lvlText w:val="(%1)"/>
      <w:numFmt w:val="lowerRoman"/>
      <w:start w:val="1"/>
    </w:lvl>
  </w:abstractNum>
  <w:abstractNum w:abstractNumId="85">
    <w:nsid w:val="5CB44A05"/>
    <w:multiLevelType w:val="hybridMultilevel"/>
    <w:lvl w:ilvl="0">
      <w:lvlJc w:val="left"/>
      <w:lvlText w:val="(%1)"/>
      <w:numFmt w:val="lowerRoman"/>
      <w:start w:val="1"/>
    </w:lvl>
  </w:abstractNum>
  <w:abstractNum w:abstractNumId="86">
    <w:nsid w:val="16CF80F1"/>
    <w:multiLevelType w:val="hybridMultilevel"/>
    <w:lvl w:ilvl="0">
      <w:lvlJc w:val="left"/>
      <w:lvlText w:val="(%1)"/>
      <w:numFmt w:val="lowerRoman"/>
      <w:start w:val="3"/>
    </w:lvl>
  </w:abstractNum>
  <w:abstractNum w:abstractNumId="87">
    <w:nsid w:val="1C695DEC"/>
    <w:multiLevelType w:val="hybridMultilevel"/>
    <w:lvl w:ilvl="0">
      <w:lvlJc w:val="left"/>
      <w:lvlText w:val="%1"/>
      <w:numFmt w:val="decimal"/>
      <w:start w:val="1"/>
    </w:lvl>
    <w:lvl w:ilvl="1">
      <w:lvlJc w:val="left"/>
      <w:lvlText w:val="(%2)"/>
      <w:numFmt w:val="lowerRoman"/>
      <w:start w:val="1"/>
    </w:lvl>
  </w:abstractNum>
  <w:abstractNum w:abstractNumId="88">
    <w:nsid w:val="3FCFAED9"/>
    <w:multiLevelType w:val="hybridMultilevel"/>
    <w:lvl w:ilvl="0">
      <w:lvlJc w:val="left"/>
      <w:lvlText w:val="(%1)"/>
      <w:numFmt w:val="decimal"/>
      <w:start w:val="1"/>
    </w:lvl>
    <w:lvl w:ilvl="1">
      <w:lvlJc w:val="left"/>
      <w:lvlText w:val="%2"/>
      <w:numFmt w:val="lowerRoman"/>
      <w:start w:val="1"/>
    </w:lvl>
  </w:abstractNum>
  <w:abstractNum w:abstractNumId="89">
    <w:nsid w:val="F856867"/>
    <w:multiLevelType w:val="hybridMultilevel"/>
    <w:lvl w:ilvl="0">
      <w:lvlJc w:val="left"/>
      <w:lvlText w:val="(%1)"/>
      <w:numFmt w:val="lowerRoman"/>
      <w:start w:val="2"/>
    </w:lvl>
  </w:abstractNum>
  <w:abstractNum w:abstractNumId="90">
    <w:nsid w:val="11B1CC33"/>
    <w:multiLevelType w:val="hybridMultilevel"/>
    <w:lvl w:ilvl="0">
      <w:lvlJc w:val="left"/>
      <w:lvlText w:val="(%1)"/>
      <w:numFmt w:val="lowerLetter"/>
      <w:start w:val="26"/>
    </w:lvl>
  </w:abstractNum>
  <w:abstractNum w:abstractNumId="91">
    <w:nsid w:val="2E22FBB7"/>
    <w:multiLevelType w:val="hybridMultilevel"/>
    <w:lvl w:ilvl="0">
      <w:lvlJc w:val="left"/>
      <w:lvlText w:val="(%1)"/>
      <w:numFmt w:val="lowerLetter"/>
      <w:start w:val="2"/>
    </w:lvl>
  </w:abstractNum>
  <w:abstractNum w:abstractNumId="92">
    <w:nsid w:val="29934699"/>
    <w:multiLevelType w:val="hybridMultilevel"/>
    <w:lvl w:ilvl="0">
      <w:lvlJc w:val="left"/>
      <w:lvlText w:val="(%1)"/>
      <w:numFmt w:val="lowerLetter"/>
      <w:start w:val="5"/>
    </w:lvl>
  </w:abstractNum>
  <w:abstractNum w:abstractNumId="93">
    <w:nsid w:val="77485850"/>
    <w:multiLevelType w:val="hybridMultilevel"/>
    <w:lvl w:ilvl="0">
      <w:lvlJc w:val="left"/>
      <w:lvlText w:val="(%1)"/>
      <w:numFmt w:val="lowerLetter"/>
      <w:start w:val="2"/>
    </w:lvl>
  </w:abstractNum>
  <w:abstractNum w:abstractNumId="94">
    <w:nsid w:val="744939A3"/>
    <w:multiLevelType w:val="hybridMultilevel"/>
    <w:lvl w:ilvl="0">
      <w:lvlJc w:val="left"/>
      <w:lvlText w:val="(%1)"/>
      <w:numFmt w:val="lowerRoman"/>
      <w:start w:val="2"/>
    </w:lvl>
  </w:abstractNum>
  <w:abstractNum w:abstractNumId="95">
    <w:nsid w:val="4FA0D2E3"/>
    <w:multiLevelType w:val="hybridMultilevel"/>
    <w:lvl w:ilvl="0">
      <w:lvlJc w:val="left"/>
      <w:lvlText w:val="(%1)"/>
      <w:numFmt w:val="upperLetter"/>
      <w:start w:val="3"/>
    </w:lvl>
  </w:abstractNum>
  <w:abstractNum w:abstractNumId="96">
    <w:nsid w:val="6B1D2C14"/>
    <w:multiLevelType w:val="hybridMultilevel"/>
    <w:lvl w:ilvl="0">
      <w:lvlJc w:val="left"/>
      <w:lvlText w:val="(%1)"/>
      <w:numFmt w:val="lowerRoman"/>
      <w:start w:val="2"/>
    </w:lvl>
  </w:abstractNum>
  <w:abstractNum w:abstractNumId="97">
    <w:nsid w:val="68B867D3"/>
    <w:multiLevelType w:val="hybridMultilevel"/>
    <w:lvl w:ilvl="0">
      <w:lvlJc w:val="left"/>
      <w:lvlText w:val="(%1)"/>
      <w:numFmt w:val="lowerLetter"/>
      <w:start w:val="1"/>
    </w:lvl>
  </w:abstractNum>
  <w:abstractNum w:abstractNumId="98">
    <w:nsid w:val="3F7F5DD9"/>
    <w:multiLevelType w:val="hybridMultilevel"/>
    <w:lvl w:ilvl="0">
      <w:lvlJc w:val="left"/>
      <w:lvlText w:val="(%1)"/>
      <w:numFmt w:val="lowerLetter"/>
      <w:start w:val="2"/>
    </w:lvl>
  </w:abstractNum>
  <w:abstractNum w:abstractNumId="99">
    <w:nsid w:val="2AE05A34"/>
    <w:multiLevelType w:val="hybridMultilevel"/>
    <w:lvl w:ilvl="0">
      <w:lvlJc w:val="left"/>
      <w:lvlText w:val="(%1)"/>
      <w:numFmt w:val="decimal"/>
      <w:start w:val="1"/>
    </w:lvl>
  </w:abstractNum>
  <w:abstractNum w:abstractNumId="100">
    <w:nsid w:val="32794FF7"/>
    <w:multiLevelType w:val="hybridMultilevel"/>
    <w:lvl w:ilvl="0">
      <w:lvlJc w:val="left"/>
      <w:lvlText w:val="(%1)"/>
      <w:numFmt w:val="upperLetter"/>
      <w:start w:val="1"/>
    </w:lvl>
  </w:abstractNum>
  <w:abstractNum w:abstractNumId="101">
    <w:nsid w:val="5454945E"/>
    <w:multiLevelType w:val="hybridMultilevel"/>
    <w:lvl w:ilvl="0">
      <w:lvlJc w:val="left"/>
      <w:lvlText w:val="%1."/>
      <w:numFmt w:val="decimal"/>
      <w:start w:val="1"/>
    </w:lvl>
  </w:abstractNum>
  <w:abstractNum w:abstractNumId="102">
    <w:nsid w:val="4DEFDFA0"/>
    <w:multiLevelType w:val="hybridMultilevel"/>
    <w:lvl w:ilvl="0">
      <w:lvlJc w:val="left"/>
      <w:lvlText w:val="%1."/>
      <w:numFmt w:val="decimal"/>
      <w:start w:val="2"/>
    </w:lvl>
    <w:lvl w:ilvl="1">
      <w:lvlJc w:val="left"/>
      <w:lvlText w:val="(%2)"/>
      <w:numFmt w:val="lowerLetter"/>
      <w:start w:val="1"/>
    </w:lvl>
  </w:abstractNum>
  <w:abstractNum w:abstractNumId="103">
    <w:nsid w:val="2123D5F2"/>
    <w:multiLevelType w:val="hybridMultilevel"/>
    <w:lvl w:ilvl="0">
      <w:lvlJc w:val="left"/>
      <w:lvlText w:val="%1."/>
      <w:numFmt w:val="decimal"/>
      <w:start w:val="3"/>
    </w:lvl>
  </w:abstractNum>
  <w:abstractNum w:abstractNumId="104">
    <w:nsid w:val="135B8110"/>
    <w:multiLevelType w:val="hybridMultilevel"/>
    <w:lvl w:ilvl="0">
      <w:lvlJc w:val="left"/>
      <w:lvlText w:val="%1."/>
      <w:numFmt w:val="decimal"/>
      <w:start w:val="4"/>
    </w:lvl>
  </w:abstractNum>
  <w:abstractNum w:abstractNumId="105">
    <w:nsid w:val="94927A8"/>
    <w:multiLevelType w:val="hybridMultilevel"/>
    <w:lvl w:ilvl="0">
      <w:lvlJc w:val="left"/>
      <w:lvlText w:val="%1."/>
      <w:numFmt w:val="decimal"/>
      <w:start w:val="5"/>
    </w:lvl>
  </w:abstractNum>
  <w:abstractNum w:abstractNumId="106">
    <w:nsid w:val="DCDF8F6"/>
    <w:multiLevelType w:val="hybridMultilevel"/>
    <w:lvl w:ilvl="0">
      <w:lvlJc w:val="left"/>
      <w:lvlText w:val="%1."/>
      <w:numFmt w:val="decimal"/>
      <w:start w:val="6"/>
    </w:lvl>
  </w:abstractNum>
  <w:abstractNum w:abstractNumId="107">
    <w:nsid w:val="52D7B105"/>
    <w:multiLevelType w:val="hybridMultilevel"/>
    <w:lvl w:ilvl="0">
      <w:lvlJc w:val="left"/>
      <w:lvlText w:val="(%1)"/>
      <w:numFmt w:val="lowerLetter"/>
      <w:start w:val="1"/>
    </w:lvl>
  </w:abstractNum>
  <w:abstractNum w:abstractNumId="108">
    <w:nsid w:val="2E8A6394"/>
    <w:multiLevelType w:val="hybridMultilevel"/>
    <w:lvl w:ilvl="0">
      <w:lvlJc w:val="left"/>
      <w:lvlText w:val="(%1)"/>
      <w:numFmt w:val="lowerLetter"/>
      <w:start w:val="2"/>
    </w:lvl>
  </w:abstractNum>
  <w:abstractNum w:abstractNumId="109">
    <w:nsid w:val="24E60401"/>
    <w:multiLevelType w:val="hybridMultilevel"/>
    <w:lvl w:ilvl="0">
      <w:lvlJc w:val="left"/>
      <w:lvlText w:val="%1."/>
      <w:numFmt w:val="decimal"/>
      <w:start w:val="8"/>
    </w:lvl>
  </w:abstractNum>
  <w:abstractNum w:abstractNumId="110">
    <w:nsid w:val="2A6AD9BE"/>
    <w:multiLevelType w:val="hybridMultilevel"/>
    <w:lvl w:ilvl="0">
      <w:lvlJc w:val="left"/>
      <w:lvlText w:val="%1."/>
      <w:numFmt w:val="decimal"/>
      <w:start w:val="9"/>
    </w:lvl>
  </w:abstractNum>
  <w:abstractNum w:abstractNumId="111">
    <w:nsid w:val="BAAC1B4"/>
    <w:multiLevelType w:val="hybridMultilevel"/>
    <w:lvl w:ilvl="0">
      <w:lvlJc w:val="left"/>
      <w:lvlText w:val="%1."/>
      <w:numFmt w:val="decimal"/>
      <w:start w:val="10"/>
    </w:lvl>
  </w:abstractNum>
  <w:abstractNum w:abstractNumId="112">
    <w:nsid w:val="36B2ACBC"/>
    <w:multiLevelType w:val="hybridMultilevel"/>
    <w:lvl w:ilvl="0">
      <w:lvlJc w:val="left"/>
      <w:lvlText w:val="%1."/>
      <w:numFmt w:val="decimal"/>
      <w:start w:val="1"/>
    </w:lvl>
  </w:abstractNum>
  <w:abstractNum w:abstractNumId="113">
    <w:nsid w:val="779D8544"/>
    <w:multiLevelType w:val="hybridMultilevel"/>
    <w:lvl w:ilvl="0">
      <w:lvlJc w:val="left"/>
      <w:lvlText w:val="%1."/>
      <w:numFmt w:val="decimal"/>
      <w:start w:val="2"/>
    </w:lvl>
  </w:abstractNum>
  <w:abstractNum w:abstractNumId="114">
    <w:nsid w:val="4AB26E78"/>
    <w:multiLevelType w:val="hybridMultilevel"/>
    <w:lvl w:ilvl="0">
      <w:lvlJc w:val="left"/>
      <w:lvlText w:val="%1."/>
      <w:numFmt w:val="decimal"/>
      <w:start w:val="3"/>
    </w:lvl>
    <w:lvl w:ilvl="1">
      <w:lvlJc w:val="left"/>
      <w:lvlText w:val="(%2)"/>
      <w:numFmt w:val="lowerLetter"/>
      <w:start w:val="1"/>
    </w:lvl>
  </w:abstractNum>
  <w:abstractNum w:abstractNumId="115">
    <w:nsid w:val="21FAA2FA"/>
    <w:multiLevelType w:val="hybridMultilevel"/>
    <w:lvl w:ilvl="0">
      <w:lvlJc w:val="left"/>
      <w:lvlText w:val="%1."/>
      <w:numFmt w:val="decimal"/>
      <w:start w:val="7"/>
    </w:lvl>
  </w:abstractNum>
  <w:abstractNum w:abstractNumId="116">
    <w:nsid w:val="5451CF49"/>
    <w:multiLevelType w:val="hybridMultilevel"/>
    <w:lvl w:ilvl="0">
      <w:lvlJc w:val="left"/>
      <w:lvlText w:val="%1."/>
      <w:numFmt w:val="decimal"/>
      <w:start w:val="8"/>
    </w:lvl>
  </w:abstractNum>
  <w:abstractNum w:abstractNumId="117">
    <w:nsid w:val="6181EF69"/>
    <w:multiLevelType w:val="hybridMultilevel"/>
    <w:lvl w:ilvl="0">
      <w:lvlJc w:val="left"/>
      <w:lvlText w:val="%1."/>
      <w:numFmt w:val="decimal"/>
      <w:start w:val="12"/>
    </w:lvl>
  </w:abstractNum>
  <w:abstractNum w:abstractNumId="118">
    <w:nsid w:val="3E6400E6"/>
    <w:multiLevelType w:val="hybridMultilevel"/>
    <w:lvl w:ilvl="0">
      <w:lvlJc w:val="left"/>
      <w:lvlText w:val="%1."/>
      <w:numFmt w:val="decimal"/>
      <w:start w:val="15"/>
    </w:lvl>
  </w:abstractNum>
  <w:abstractNum w:abstractNumId="119">
    <w:nsid w:val="14217E23"/>
    <w:multiLevelType w:val="hybridMultilevel"/>
    <w:lvl w:ilvl="0">
      <w:lvlJc w:val="left"/>
      <w:lvlText w:val="%1."/>
      <w:numFmt w:val="decimal"/>
      <w:start w:val="24"/>
    </w:lvl>
  </w:abstractNum>
  <w:abstractNum w:abstractNumId="120">
    <w:nsid w:val="710757D0"/>
    <w:multiLevelType w:val="hybridMultilevel"/>
    <w:lvl w:ilvl="0">
      <w:lvlJc w:val="left"/>
      <w:lvlText w:val="%1."/>
      <w:numFmt w:val="decimal"/>
      <w:start w:val="25"/>
    </w:lvl>
  </w:abstractNum>
  <w:abstractNum w:abstractNumId="121">
    <w:nsid w:val="5015CD1A"/>
    <w:multiLevelType w:val="hybridMultilevel"/>
    <w:lvl w:ilvl="0">
      <w:lvlJc w:val="left"/>
      <w:lvlText w:val="%1."/>
      <w:numFmt w:val="decimal"/>
      <w:start w:val="30"/>
    </w:lvl>
  </w:abstractNum>
  <w:abstractNum w:abstractNumId="122">
    <w:nsid w:val="424479DA"/>
    <w:multiLevelType w:val="hybridMultilevel"/>
    <w:lvl w:ilvl="0">
      <w:lvlJc w:val="left"/>
      <w:lvlText w:val="%1."/>
      <w:numFmt w:val="decimal"/>
      <w:start w:val="35"/>
    </w:lvl>
  </w:abstractNum>
  <w:abstractNum w:abstractNumId="123">
    <w:nsid w:val="1A9A9E69"/>
    <w:multiLevelType w:val="hybridMultilevel"/>
    <w:lvl w:ilvl="0">
      <w:lvlJc w:val="left"/>
      <w:lvlText w:val="%1."/>
      <w:numFmt w:val="decimal"/>
      <w:start w:val="36"/>
    </w:lvl>
  </w:abstractNum>
  <w:abstractNum w:abstractNumId="124">
    <w:nsid w:val="475E256A"/>
    <w:multiLevelType w:val="hybridMultilevel"/>
    <w:lvl w:ilvl="0">
      <w:lvlJc w:val="left"/>
      <w:lvlText w:val="%1."/>
      <w:numFmt w:val="decimal"/>
      <w:start w:val="37"/>
    </w:lvl>
  </w:abstractNum>
  <w:abstractNum w:abstractNumId="125">
    <w:nsid w:val="368DB37E"/>
    <w:multiLevelType w:val="hybridMultilevel"/>
    <w:lvl w:ilvl="0">
      <w:lvlJc w:val="left"/>
      <w:lvlText w:val="%1."/>
      <w:numFmt w:val="decimal"/>
      <w:start w:val="39"/>
    </w:lvl>
  </w:abstractNum>
  <w:abstractNum w:abstractNumId="126">
    <w:nsid w:val="6A3B714C"/>
    <w:multiLevelType w:val="hybridMultilevel"/>
    <w:lvl w:ilvl="0">
      <w:lvlJc w:val="left"/>
      <w:lvlText w:val="%1."/>
      <w:numFmt w:val="decimal"/>
      <w:start w:val="40"/>
    </w:lvl>
    <w:lvl w:ilvl="1">
      <w:lvlJc w:val="left"/>
      <w:lvlText w:val="(%2)"/>
      <w:numFmt w:val="lowerLetter"/>
      <w:start w:val="1"/>
    </w:lvl>
  </w:abstractNum>
  <w:abstractNum w:abstractNumId="127">
    <w:nsid w:val="327B517E"/>
    <w:multiLevelType w:val="hybridMultilevel"/>
    <w:lvl w:ilvl="0">
      <w:lvlJc w:val="left"/>
      <w:lvlText w:val="(%1)"/>
      <w:numFmt w:val="lowerLetter"/>
      <w:start w:val="5"/>
    </w:lvl>
  </w:abstractNum>
  <w:abstractNum w:abstractNumId="128">
    <w:nsid w:val="1F461B51"/>
    <w:multiLevelType w:val="hybridMultilevel"/>
    <w:lvl w:ilvl="0">
      <w:lvlJc w:val="left"/>
      <w:lvlText w:val="%1."/>
      <w:numFmt w:val="decimal"/>
      <w:start w:val="41"/>
    </w:lvl>
  </w:abstractNum>
  <w:abstractNum w:abstractNumId="129">
    <w:nsid w:val="29BACF25"/>
    <w:multiLevelType w:val="hybridMultilevel"/>
    <w:lvl w:ilvl="0">
      <w:lvlJc w:val="left"/>
      <w:lvlText w:val="%1."/>
      <w:numFmt w:val="decimal"/>
      <w:start w:val="44"/>
    </w:lvl>
  </w:abstractNum>
  <w:abstractNum w:abstractNumId="130">
    <w:nsid w:val="5D5BABB3"/>
    <w:multiLevelType w:val="hybridMultilevel"/>
    <w:lvl w:ilvl="0">
      <w:lvlJc w:val="left"/>
      <w:lvlText w:val="%1."/>
      <w:numFmt w:val="decimal"/>
      <w:start w:val="45"/>
    </w:lvl>
  </w:abstractNum>
  <w:abstractNum w:abstractNumId="131">
    <w:nsid w:val="51BF6B48"/>
    <w:multiLevelType w:val="hybridMultilevel"/>
    <w:lvl w:ilvl="0">
      <w:lvlJc w:val="left"/>
      <w:lvlText w:val="%1."/>
      <w:numFmt w:val="decimal"/>
      <w:start w:val="51"/>
    </w:lvl>
  </w:abstractNum>
  <w:abstractNum w:abstractNumId="132">
    <w:nsid w:val="7E0F6384"/>
    <w:multiLevelType w:val="hybridMultilevel"/>
    <w:lvl w:ilvl="0">
      <w:lvlJc w:val="left"/>
      <w:lvlText w:val="%1."/>
      <w:numFmt w:val="decimal"/>
      <w:start w:val="55"/>
    </w:lvl>
  </w:abstractNum>
  <w:abstractNum w:abstractNumId="133">
    <w:nsid w:val="2B4B8B53"/>
    <w:multiLevelType w:val="hybridMultilevel"/>
    <w:lvl w:ilvl="0">
      <w:lvlJc w:val="left"/>
      <w:lvlText w:val="%1."/>
      <w:numFmt w:val="decimal"/>
      <w:start w:val="56"/>
    </w:lvl>
  </w:abstractNum>
  <w:abstractNum w:abstractNumId="134">
    <w:nsid w:val="72E3413A"/>
    <w:multiLevelType w:val="hybridMultilevel"/>
    <w:lvl w:ilvl="0">
      <w:lvlJc w:val="left"/>
      <w:lvlText w:val="%1."/>
      <w:numFmt w:val="decimal"/>
      <w:start w:val="57"/>
    </w:lvl>
    <w:lvl w:ilvl="1">
      <w:lvlJc w:val="left"/>
      <w:lvlText w:val="(%2)"/>
      <w:numFmt w:val="lowerLetter"/>
      <w:start w:val="1"/>
    </w:lvl>
  </w:abstractNum>
  <w:abstractNum w:abstractNumId="135">
    <w:nsid w:val="116AE494"/>
    <w:multiLevelType w:val="hybridMultilevel"/>
    <w:lvl w:ilvl="0">
      <w:lvlJc w:val="left"/>
      <w:lvlText w:val="%1"/>
      <w:numFmt w:val="decimal"/>
      <w:start w:val="1"/>
    </w:lvl>
    <w:lvl w:ilvl="1">
      <w:lvlJc w:val="left"/>
      <w:lvlText w:val="(%2)"/>
      <w:numFmt w:val="lowerLetter"/>
      <w:start w:val="2"/>
    </w:lvl>
  </w:abstractNum>
  <w:abstractNum w:abstractNumId="136">
    <w:nsid w:val="3494B2FB"/>
    <w:multiLevelType w:val="hybridMultilevel"/>
    <w:lvl w:ilvl="0">
      <w:lvlJc w:val="left"/>
      <w:lvlText w:val="%1."/>
      <w:numFmt w:val="decimal"/>
      <w:start w:val="61"/>
    </w:lvl>
    <w:lvl w:ilvl="1">
      <w:lvlJc w:val="left"/>
      <w:lvlText w:val="%2"/>
      <w:numFmt w:val="lowerLetter"/>
      <w:start w:val="1"/>
    </w:lvl>
  </w:abstractNum>
  <w:abstractNum w:abstractNumId="137">
    <w:nsid w:val="B13A31"/>
    <w:multiLevelType w:val="hybridMultilevel"/>
    <w:lvl w:ilvl="0">
      <w:lvlJc w:val="left"/>
      <w:lvlText w:val="%1."/>
      <w:numFmt w:val="decimal"/>
      <w:start w:val="68"/>
    </w:lvl>
  </w:abstractNum>
  <w:abstractNum w:abstractNumId="138">
    <w:nsid w:val="64429599"/>
    <w:multiLevelType w:val="hybridMultilevel"/>
    <w:lvl w:ilvl="0">
      <w:lvlJc w:val="left"/>
      <w:lvlText w:val="%1."/>
      <w:numFmt w:val="decimal"/>
      <w:start w:val="70"/>
    </w:lvl>
  </w:abstractNum>
  <w:abstractNum w:abstractNumId="139">
    <w:nsid w:val="631F1690"/>
    <w:multiLevelType w:val="hybridMultilevel"/>
    <w:lvl w:ilvl="0">
      <w:lvlJc w:val="left"/>
      <w:lvlText w:val="%1."/>
      <w:numFmt w:val="decimal"/>
      <w:start w:val="72"/>
    </w:lvl>
  </w:abstractNum>
  <w:abstractNum w:abstractNumId="140">
    <w:nsid w:val="25973E32"/>
    <w:multiLevelType w:val="hybridMultilevel"/>
    <w:lvl w:ilvl="0">
      <w:lvlJc w:val="left"/>
      <w:lvlText w:val="%1."/>
      <w:numFmt w:val="decimal"/>
      <w:start w:val="75"/>
    </w:lvl>
    <w:lvl w:ilvl="1">
      <w:lvlJc w:val="left"/>
      <w:lvlText w:val="(%2)"/>
      <w:numFmt w:val="lowerLetter"/>
      <w:start w:val="1"/>
    </w:lvl>
  </w:abstractNum>
  <w:abstractNum w:abstractNumId="141">
    <w:nsid w:val="EAD6F57"/>
    <w:multiLevelType w:val="hybridMultilevel"/>
    <w:lvl w:ilvl="0">
      <w:lvlJc w:val="left"/>
      <w:lvlText w:val="%1."/>
      <w:numFmt w:val="decimal"/>
      <w:start w:val="77"/>
    </w:lvl>
  </w:abstractNum>
  <w:abstractNum w:abstractNumId="142">
    <w:nsid w:val="6EC9D844"/>
    <w:multiLevelType w:val="hybridMultilevel"/>
    <w:lvl w:ilvl="0">
      <w:lvlJc w:val="left"/>
      <w:lvlText w:val="%1."/>
      <w:numFmt w:val="decimal"/>
      <w:start w:val="79"/>
    </w:lvl>
  </w:abstractNum>
  <w:abstractNum w:abstractNumId="143">
    <w:nsid w:val="5C49EAEE"/>
    <w:multiLevelType w:val="hybridMultilevel"/>
    <w:lvl w:ilvl="0">
      <w:lvlJc w:val="left"/>
      <w:lvlText w:val="%1."/>
      <w:numFmt w:val="decimal"/>
      <w:start w:val="81"/>
    </w:lvl>
  </w:abstractNum>
  <w:abstractNum w:abstractNumId="144">
    <w:nsid w:val="64AF49B"/>
    <w:multiLevelType w:val="hybridMultilevel"/>
    <w:lvl w:ilvl="0">
      <w:lvlJc w:val="left"/>
      <w:lvlText w:val="%1."/>
      <w:numFmt w:val="decimal"/>
      <w:start w:val="84"/>
    </w:lvl>
  </w:abstractNum>
  <w:abstractNum w:abstractNumId="145">
    <w:nsid w:val="397C46BC"/>
    <w:multiLevelType w:val="hybridMultilevel"/>
    <w:lvl w:ilvl="0">
      <w:lvlJc w:val="left"/>
      <w:lvlText w:val="%1."/>
      <w:numFmt w:val="decimal"/>
      <w:start w:val="85"/>
    </w:lvl>
  </w:abstractNum>
  <w:abstractNum w:abstractNumId="146">
    <w:nsid w:val="7E448DE9"/>
    <w:multiLevelType w:val="hybridMultilevel"/>
    <w:lvl w:ilvl="0">
      <w:lvlJc w:val="left"/>
      <w:lvlText w:val="%1."/>
      <w:numFmt w:val="decimal"/>
      <w:start w:val="89"/>
    </w:lvl>
  </w:abstractNum>
  <w:abstractNum w:abstractNumId="147">
    <w:nsid w:val="5A9CC3E5"/>
    <w:multiLevelType w:val="hybridMultilevel"/>
    <w:lvl w:ilvl="0">
      <w:lvlJc w:val="left"/>
      <w:lvlText w:val="%1."/>
      <w:numFmt w:val="decimal"/>
      <w:start w:val="90"/>
    </w:lvl>
  </w:abstractNum>
  <w:abstractNum w:abstractNumId="148">
    <w:nsid w:val="1AFE3625"/>
    <w:multiLevelType w:val="hybridMultilevel"/>
    <w:lvl w:ilvl="0">
      <w:lvlJc w:val="left"/>
      <w:lvlText w:val="%1."/>
      <w:numFmt w:val="decimal"/>
      <w:start w:val="95"/>
    </w:lvl>
  </w:abstractNum>
  <w:abstractNum w:abstractNumId="149">
    <w:nsid w:val="3CA88ECF"/>
    <w:multiLevelType w:val="hybridMultilevel"/>
    <w:lvl w:ilvl="0">
      <w:lvlJc w:val="left"/>
      <w:lvlText w:val="%1."/>
      <w:numFmt w:val="decimal"/>
      <w:start w:val="98"/>
    </w:lvl>
  </w:abstractNum>
  <w:abstractNum w:abstractNumId="150">
    <w:nsid w:val="6EBE4208"/>
    <w:multiLevelType w:val="hybridMultilevel"/>
    <w:lvl w:ilvl="0">
      <w:lvlJc w:val="left"/>
      <w:lvlText w:val="%1."/>
      <w:numFmt w:val="decimal"/>
      <w:start w:val="101"/>
    </w:lvl>
  </w:abstractNum>
  <w:abstractNum w:abstractNumId="151">
    <w:nsid w:val="C058DF5"/>
    <w:multiLevelType w:val="hybridMultilevel"/>
    <w:lvl w:ilvl="0">
      <w:lvlJc w:val="left"/>
      <w:lvlText w:val="%1."/>
      <w:numFmt w:val="decimal"/>
      <w:start w:val="102"/>
    </w:lvl>
  </w:abstractNum>
  <w:abstractNum w:abstractNumId="152">
    <w:nsid w:val="CBE5BE9"/>
    <w:multiLevelType w:val="hybridMultilevel"/>
    <w:lvl w:ilvl="0">
      <w:lvlJc w:val="left"/>
      <w:lvlText w:val="%1."/>
      <w:numFmt w:val="decimal"/>
      <w:start w:val="104"/>
    </w:lvl>
    <w:lvl w:ilvl="1">
      <w:lvlJc w:val="left"/>
      <w:lvlText w:val="(%2)"/>
      <w:numFmt w:val="lowerLetter"/>
      <w:start w:val="1"/>
    </w:lvl>
  </w:abstractNum>
  <w:abstractNum w:abstractNumId="153">
    <w:nsid w:val="3102BBE2"/>
    <w:multiLevelType w:val="hybridMultilevel"/>
    <w:lvl w:ilvl="0">
      <w:lvlJc w:val="left"/>
      <w:lvlText w:val="%1."/>
      <w:numFmt w:val="decimal"/>
      <w:start w:val="111"/>
    </w:lvl>
  </w:abstractNum>
  <w:abstractNum w:abstractNumId="154">
    <w:nsid w:val="26A02C5E"/>
    <w:multiLevelType w:val="hybridMultilevel"/>
    <w:lvl w:ilvl="0">
      <w:lvlJc w:val="left"/>
      <w:lvlText w:val="%1."/>
      <w:numFmt w:val="decimal"/>
      <w:start w:val="112"/>
    </w:lvl>
  </w:abstractNum>
  <w:abstractNum w:abstractNumId="155">
    <w:nsid w:val="541C8153"/>
    <w:multiLevelType w:val="hybridMultilevel"/>
    <w:lvl w:ilvl="0">
      <w:lvlJc w:val="left"/>
      <w:lvlText w:val="%1."/>
      <w:numFmt w:val="decimal"/>
      <w:start w:val="114"/>
    </w:lvl>
  </w:abstractNum>
  <w:abstractNum w:abstractNumId="156">
    <w:nsid w:val="67906F60"/>
    <w:multiLevelType w:val="hybridMultilevel"/>
    <w:lvl w:ilvl="0">
      <w:lvlJc w:val="left"/>
      <w:lvlText w:val="%1."/>
      <w:numFmt w:val="decimal"/>
      <w:start w:val="116"/>
    </w:lvl>
  </w:abstractNum>
  <w:abstractNum w:abstractNumId="157">
    <w:nsid w:val="10DB9DAA"/>
    <w:multiLevelType w:val="hybridMultilevel"/>
    <w:lvl w:ilvl="0">
      <w:lvlJc w:val="left"/>
      <w:lvlText w:val="%1."/>
      <w:numFmt w:val="decimal"/>
      <w:start w:val="119"/>
    </w:lvl>
    <w:lvl w:ilvl="1">
      <w:lvlJc w:val="left"/>
      <w:lvlText w:val="(%2)"/>
      <w:numFmt w:val="lowerLetter"/>
      <w:start w:val="1"/>
    </w:lvl>
  </w:abstractNum>
  <w:abstractNum w:abstractNumId="158">
    <w:nsid w:val="697D2D2"/>
    <w:multiLevelType w:val="hybridMultilevel"/>
    <w:lvl w:ilvl="0">
      <w:lvlJc w:val="left"/>
      <w:lvlText w:val="%1."/>
      <w:numFmt w:val="decimal"/>
      <w:start w:val="120"/>
    </w:lvl>
    <w:lvl w:ilvl="1">
      <w:lvlJc w:val="left"/>
      <w:lvlText w:val="(%2)"/>
      <w:numFmt w:val="lowerLetter"/>
      <w:start w:val="1"/>
    </w:lvl>
  </w:abstractNum>
  <w:abstractNum w:abstractNumId="159">
    <w:nsid w:val="6D68AB2"/>
    <w:multiLevelType w:val="hybridMultilevel"/>
    <w:lvl w:ilvl="0">
      <w:lvlJc w:val="left"/>
      <w:lvlText w:val="%1."/>
      <w:numFmt w:val="decimal"/>
      <w:start w:val="123"/>
    </w:lvl>
  </w:abstractNum>
  <w:abstractNum w:abstractNumId="160">
    <w:nsid w:val="3A966CD0"/>
    <w:multiLevelType w:val="hybridMultilevel"/>
    <w:lvl w:ilvl="0">
      <w:lvlJc w:val="left"/>
      <w:lvlText w:val="%1."/>
      <w:numFmt w:val="decimal"/>
      <w:start w:val="125"/>
    </w:lvl>
  </w:abstractNum>
  <w:abstractNum w:abstractNumId="161">
    <w:nsid w:val="63F37E85"/>
    <w:multiLevelType w:val="hybridMultilevel"/>
    <w:lvl w:ilvl="0">
      <w:lvlJc w:val="left"/>
      <w:lvlText w:val="%1."/>
      <w:numFmt w:val="decimal"/>
      <w:start w:val="127"/>
    </w:lvl>
    <w:lvl w:ilvl="1">
      <w:lvlJc w:val="left"/>
      <w:lvlText w:val="(%2)"/>
      <w:numFmt w:val="lowerLetter"/>
      <w:start w:val="1"/>
    </w:lvl>
  </w:abstractNum>
  <w:abstractNum w:abstractNumId="162">
    <w:nsid w:val="5895F5FA"/>
    <w:multiLevelType w:val="hybridMultilevel"/>
    <w:lvl w:ilvl="0">
      <w:lvlJc w:val="left"/>
      <w:lvlText w:val="%1."/>
      <w:numFmt w:val="decimal"/>
      <w:start w:val="133"/>
    </w:lvl>
  </w:abstractNum>
  <w:abstractNum w:abstractNumId="163">
    <w:nsid w:val="38A5D054"/>
    <w:multiLevelType w:val="hybridMultilevel"/>
    <w:lvl w:ilvl="0">
      <w:lvlJc w:val="left"/>
      <w:lvlText w:val="%1."/>
      <w:numFmt w:val="decimal"/>
      <w:start w:val="134"/>
    </w:lvl>
  </w:abstractNum>
  <w:abstractNum w:abstractNumId="164">
    <w:nsid w:val="F3F09D8"/>
    <w:multiLevelType w:val="hybridMultilevel"/>
    <w:lvl w:ilvl="0">
      <w:lvlJc w:val="left"/>
      <w:lvlText w:val="%1."/>
      <w:numFmt w:val="decimal"/>
      <w:start w:val="135"/>
    </w:lvl>
  </w:abstractNum>
  <w:abstractNum w:abstractNumId="165">
    <w:nsid w:val="4B793735"/>
    <w:multiLevelType w:val="hybridMultilevel"/>
    <w:lvl w:ilvl="0">
      <w:lvlJc w:val="left"/>
      <w:lvlText w:val="%1."/>
      <w:numFmt w:val="decimal"/>
      <w:start w:val="136"/>
    </w:lvl>
  </w:abstractNum>
  <w:abstractNum w:abstractNumId="166">
    <w:nsid w:val="4A10B4E8"/>
    <w:multiLevelType w:val="hybridMultilevel"/>
    <w:lvl w:ilvl="0">
      <w:lvlJc w:val="left"/>
      <w:lvlText w:val="%1."/>
      <w:numFmt w:val="decimal"/>
      <w:start w:val="137"/>
    </w:lvl>
  </w:abstractNum>
  <w:abstractNum w:abstractNumId="167">
    <w:nsid w:val="43D3BCD4"/>
    <w:multiLevelType w:val="hybridMultilevel"/>
    <w:lvl w:ilvl="0">
      <w:lvlJc w:val="left"/>
      <w:lvlText w:val="%1."/>
      <w:numFmt w:val="decimal"/>
      <w:start w:val="138"/>
    </w:lvl>
    <w:lvl w:ilvl="1">
      <w:lvlJc w:val="left"/>
      <w:lvlText w:val="(%2)"/>
      <w:numFmt w:val="lowerLetter"/>
      <w:start w:val="1"/>
    </w:lvl>
  </w:abstractNum>
  <w:abstractNum w:abstractNumId="168">
    <w:nsid w:val="4C2A7166"/>
    <w:multiLevelType w:val="hybridMultilevel"/>
    <w:lvl w:ilvl="0">
      <w:lvlJc w:val="left"/>
      <w:lvlText w:val="%1."/>
      <w:numFmt w:val="decimal"/>
      <w:start w:val="139"/>
    </w:lvl>
    <w:lvl w:ilvl="1">
      <w:lvlJc w:val="left"/>
      <w:lvlText w:val="(%2)"/>
      <w:numFmt w:val="lowerLetter"/>
      <w:start w:val="1"/>
    </w:lvl>
  </w:abstractNum>
  <w:abstractNum w:abstractNumId="169">
    <w:nsid w:val="2E534A82"/>
    <w:multiLevelType w:val="hybridMultilevel"/>
    <w:lvl w:ilvl="0">
      <w:lvlJc w:val="left"/>
      <w:lvlText w:val="(%1)"/>
      <w:numFmt w:val="lowerLetter"/>
      <w:start w:val="3"/>
    </w:lvl>
  </w:abstractNum>
  <w:abstractNum w:abstractNumId="170">
    <w:nsid w:val="26F2D364"/>
    <w:multiLevelType w:val="hybridMultilevel"/>
    <w:lvl w:ilvl="0">
      <w:lvlJc w:val="left"/>
      <w:lvlText w:val="%1."/>
      <w:numFmt w:val="decimal"/>
      <w:start w:val="140"/>
    </w:lvl>
  </w:abstractNum>
  <w:abstractNum w:abstractNumId="171">
    <w:nsid w:val="71C1AF98"/>
    <w:multiLevelType w:val="hybridMultilevel"/>
    <w:lvl w:ilvl="0">
      <w:lvlJc w:val="left"/>
      <w:lvlText w:val="%1."/>
      <w:numFmt w:val="decimal"/>
      <w:start w:val="142"/>
    </w:lvl>
  </w:abstractNum>
  <w:abstractNum w:abstractNumId="172">
    <w:nsid w:val="3D00B9D9"/>
    <w:multiLevelType w:val="hybridMultilevel"/>
    <w:lvl w:ilvl="0">
      <w:lvlJc w:val="left"/>
      <w:lvlText w:val="%1."/>
      <w:numFmt w:val="decimal"/>
      <w:start w:val="143"/>
    </w:lvl>
  </w:abstractNum>
  <w:abstractNum w:abstractNumId="173">
    <w:nsid w:val="15BCABA8"/>
    <w:multiLevelType w:val="hybridMultilevel"/>
    <w:lvl w:ilvl="0">
      <w:lvlJc w:val="left"/>
      <w:lvlText w:val="%1."/>
      <w:numFmt w:val="decimal"/>
      <w:start w:val="149"/>
    </w:lvl>
  </w:abstractNum>
  <w:abstractNum w:abstractNumId="174">
    <w:nsid w:val="4E0B9A87"/>
    <w:multiLevelType w:val="hybridMultilevel"/>
    <w:lvl w:ilvl="0">
      <w:lvlJc w:val="left"/>
      <w:lvlText w:val="%1."/>
      <w:numFmt w:val="decimal"/>
      <w:start w:val="150"/>
    </w:lvl>
  </w:abstractNum>
  <w:abstractNum w:abstractNumId="175">
    <w:nsid w:val="434BAE75"/>
    <w:multiLevelType w:val="hybridMultilevel"/>
    <w:lvl w:ilvl="0">
      <w:lvlJc w:val="left"/>
      <w:lvlText w:val="%1."/>
      <w:numFmt w:val="decimal"/>
      <w:start w:val="151"/>
    </w:lvl>
  </w:abstractNum>
  <w:abstractNum w:abstractNumId="176">
    <w:nsid w:val="4F38F265"/>
    <w:multiLevelType w:val="hybridMultilevel"/>
    <w:lvl w:ilvl="0">
      <w:lvlJc w:val="left"/>
      <w:lvlText w:val="%1."/>
      <w:numFmt w:val="decimal"/>
      <w:start w:val="154"/>
    </w:lvl>
  </w:abstractNum>
  <w:abstractNum w:abstractNumId="177">
    <w:nsid w:val="4C502870"/>
    <w:multiLevelType w:val="hybridMultilevel"/>
    <w:lvl w:ilvl="0">
      <w:lvlJc w:val="left"/>
      <w:lvlText w:val="%1."/>
      <w:numFmt w:val="decimal"/>
      <w:start w:val="1"/>
    </w:lvl>
  </w:abstractNum>
  <w:abstractNum w:abstractNumId="178">
    <w:nsid w:val="1DE8725A"/>
    <w:multiLevelType w:val="hybridMultilevel"/>
    <w:lvl w:ilvl="0">
      <w:lvlJc w:val="left"/>
      <w:lvlText w:val="(%1)"/>
      <w:numFmt w:val="lowerLetter"/>
      <w:start w:val="1"/>
    </w:lvl>
  </w:abstractNum>
  <w:abstractNum w:abstractNumId="179">
    <w:nsid w:val="6A37288A"/>
    <w:multiLevelType w:val="hybridMultilevel"/>
    <w:lvl w:ilvl="0">
      <w:lvlJc w:val="left"/>
      <w:lvlText w:val="(%1)"/>
      <w:numFmt w:val="lowerLetter"/>
      <w:start w:val="1"/>
    </w:lvl>
  </w:abstractNum>
  <w:abstractNum w:abstractNumId="180">
    <w:nsid w:val="8F8B73F"/>
    <w:multiLevelType w:val="hybridMultilevel"/>
    <w:lvl w:ilvl="0">
      <w:lvlJc w:val="left"/>
      <w:lvlText w:val="(%1)"/>
      <w:numFmt w:val="lowerLetter"/>
      <w:start w:val="1"/>
    </w:lvl>
  </w:abstractNum>
  <w:abstractNum w:abstractNumId="181">
    <w:nsid w:val="CA6B462"/>
    <w:multiLevelType w:val="hybridMultilevel"/>
    <w:lvl w:ilvl="0">
      <w:lvlJc w:val="left"/>
      <w:lvlText w:val="(%1)"/>
      <w:numFmt w:val="lowerLetter"/>
      <w:start w:val="2"/>
    </w:lvl>
  </w:abstractNum>
  <w:abstractNum w:abstractNumId="182">
    <w:nsid w:val="763CB680"/>
    <w:multiLevelType w:val="hybridMultilevel"/>
    <w:lvl w:ilvl="0">
      <w:lvlJc w:val="left"/>
      <w:lvlText w:val="(%1)"/>
      <w:numFmt w:val="lowerLetter"/>
      <w:start w:val="1"/>
    </w:lvl>
  </w:abstractNum>
  <w:abstractNum w:abstractNumId="183">
    <w:nsid w:val="15B71329"/>
    <w:multiLevelType w:val="hybridMultilevel"/>
    <w:lvl w:ilvl="0">
      <w:lvlJc w:val="left"/>
      <w:lvlText w:val="(%1)"/>
      <w:numFmt w:val="lowerLetter"/>
      <w:start w:val="2"/>
    </w:lvl>
  </w:abstractNum>
  <w:abstractNum w:abstractNumId="184">
    <w:nsid w:val="3DA97044"/>
    <w:multiLevelType w:val="hybridMultilevel"/>
    <w:lvl w:ilvl="0">
      <w:lvlJc w:val="left"/>
      <w:lvlText w:val="(%1)"/>
      <w:numFmt w:val="lowerLetter"/>
      <w:start w:val="1"/>
    </w:lvl>
  </w:abstractNum>
  <w:abstractNum w:abstractNumId="185">
    <w:nsid w:val="1CDCE2DE"/>
    <w:multiLevelType w:val="hybridMultilevel"/>
    <w:lvl w:ilvl="0">
      <w:lvlJc w:val="left"/>
      <w:lvlText w:val="(%1)"/>
      <w:numFmt w:val="lowerLetter"/>
      <w:start w:val="2"/>
    </w:lvl>
  </w:abstractNum>
  <w:abstractNum w:abstractNumId="186">
    <w:nsid w:val="69D3947C"/>
    <w:multiLevelType w:val="hybridMultilevel"/>
    <w:lvl w:ilvl="0">
      <w:lvlJc w:val="left"/>
      <w:lvlText w:val="(%1)"/>
      <w:numFmt w:val="lowerLetter"/>
      <w:start w:val="1"/>
    </w:lvl>
  </w:abstractNum>
  <w:abstractNum w:abstractNumId="187">
    <w:nsid w:val="2539DFA5"/>
    <w:multiLevelType w:val="hybridMultilevel"/>
    <w:lvl w:ilvl="0">
      <w:lvlJc w:val="left"/>
      <w:lvlText w:val="(%1)"/>
      <w:numFmt w:val="lowerLetter"/>
      <w:start w:val="1"/>
    </w:lvl>
  </w:abstractNum>
  <w:abstractNum w:abstractNumId="188">
    <w:nsid w:val="2DB88089"/>
    <w:multiLevelType w:val="hybridMultilevel"/>
    <w:lvl w:ilvl="0">
      <w:lvlJc w:val="left"/>
      <w:lvlText w:val="1"/>
      <w:numFmt w:val="bullet"/>
      <w:start w:val="1"/>
    </w:lvl>
  </w:abstractNum>
  <w:abstractNum w:abstractNumId="189">
    <w:nsid w:val="706B674E"/>
    <w:multiLevelType w:val="hybridMultilevel"/>
    <w:lvl w:ilvl="0">
      <w:lvlJc w:val="left"/>
      <w:lvlText w:val="(%1)"/>
      <w:numFmt w:val="lowerLetter"/>
      <w:start w:val="1"/>
    </w:lvl>
  </w:abstractNum>
  <w:abstractNum w:abstractNumId="190">
    <w:nsid w:val="2C106A57"/>
    <w:multiLevelType w:val="hybridMultilevel"/>
    <w:lvl w:ilvl="0">
      <w:lvlJc w:val="left"/>
      <w:lvlText w:val="(%1)"/>
      <w:numFmt w:val="lowerLetter"/>
      <w:start w:val="4"/>
    </w:lvl>
  </w:abstractNum>
  <w:abstractNum w:abstractNumId="191">
    <w:nsid w:val="684EED59"/>
    <w:multiLevelType w:val="hybridMultilevel"/>
    <w:lvl w:ilvl="0">
      <w:lvlJc w:val="left"/>
      <w:lvlText w:val="(%1)"/>
      <w:numFmt w:val="lowerLetter"/>
      <w:start w:val="1"/>
    </w:lvl>
  </w:abstractNum>
  <w:abstractNum w:abstractNumId="192">
    <w:nsid w:val="545EE5D3"/>
    <w:multiLevelType w:val="hybridMultilevel"/>
    <w:lvl w:ilvl="0">
      <w:lvlJc w:val="left"/>
      <w:lvlText w:val="(%1)"/>
      <w:numFmt w:val="lowerLetter"/>
      <w:start w:val="3"/>
    </w:lvl>
  </w:abstractNum>
  <w:abstractNum w:abstractNumId="193">
    <w:nsid w:val="4A66051"/>
    <w:multiLevelType w:val="hybridMultilevel"/>
    <w:lvl w:ilvl="0">
      <w:lvlJc w:val="left"/>
      <w:lvlText w:val="(%1)"/>
      <w:numFmt w:val="lowerLetter"/>
      <w:start w:val="1"/>
    </w:lvl>
  </w:abstractNum>
  <w:abstractNum w:abstractNumId="194">
    <w:nsid w:val="20F4BDAD"/>
    <w:multiLevelType w:val="hybridMultilevel"/>
    <w:lvl w:ilvl="0">
      <w:lvlJc w:val="left"/>
      <w:lvlText w:val="(%1)"/>
      <w:numFmt w:val="lowerLetter"/>
      <w:start w:val="1"/>
    </w:lvl>
  </w:abstractNum>
  <w:abstractNum w:abstractNumId="195">
    <w:nsid w:val="639DEFAC"/>
    <w:multiLevelType w:val="hybridMultilevel"/>
    <w:lvl w:ilvl="0">
      <w:lvlJc w:val="left"/>
      <w:lvlText w:val="%1"/>
      <w:numFmt w:val="lowerLetter"/>
      <w:start w:val="1"/>
    </w:lvl>
    <w:lvl w:ilvl="1">
      <w:lvlJc w:val="left"/>
      <w:lvlText w:val="(%2)"/>
      <w:numFmt w:val="lowerLetter"/>
      <w:start w:val="1"/>
    </w:lvl>
  </w:abstractNum>
  <w:abstractNum w:abstractNumId="196">
    <w:nsid w:val="501F9786"/>
    <w:multiLevelType w:val="hybridMultilevel"/>
    <w:lvl w:ilvl="0">
      <w:lvlJc w:val="left"/>
      <w:lvlText w:val="(%1)"/>
      <w:numFmt w:val="lowerLetter"/>
      <w:start w:val="35"/>
    </w:lvl>
    <w:lvl w:ilvl="1">
      <w:lvlJc w:val="left"/>
      <w:lvlText w:val="(%2)"/>
      <w:numFmt w:val="lowerLetter"/>
      <w:start w:val="3"/>
    </w:lvl>
  </w:abstractNum>
  <w:abstractNum w:abstractNumId="197">
    <w:nsid w:val="6B057295"/>
    <w:multiLevelType w:val="hybridMultilevel"/>
    <w:lvl w:ilvl="0">
      <w:lvlJc w:val="left"/>
      <w:lvlText w:val="(%1)"/>
      <w:numFmt w:val="lowerLetter"/>
      <w:start w:val="1"/>
    </w:lvl>
  </w:abstractNum>
  <w:abstractNum w:abstractNumId="198">
    <w:nsid w:val="2771AC80"/>
    <w:multiLevelType w:val="hybridMultilevel"/>
    <w:lvl w:ilvl="0">
      <w:lvlJc w:val="left"/>
      <w:lvlText w:val="%1"/>
      <w:numFmt w:val="lowerLetter"/>
      <w:start w:val="1"/>
    </w:lvl>
    <w:lvl w:ilvl="1">
      <w:lvlJc w:val="left"/>
      <w:lvlText w:val="(%2)"/>
      <w:numFmt w:val="lowerLetter"/>
      <w:start w:val="1"/>
    </w:lvl>
  </w:abstractNum>
  <w:abstractNum w:abstractNumId="199">
    <w:nsid w:val="1C4A08EC"/>
    <w:multiLevelType w:val="hybridMultilevel"/>
    <w:lvl w:ilvl="0">
      <w:lvlJc w:val="left"/>
      <w:lvlText w:val="(%1)"/>
      <w:numFmt w:val="lowerLetter"/>
      <w:start w:val="35"/>
    </w:lvl>
    <w:lvl w:ilvl="1">
      <w:lvlJc w:val="left"/>
      <w:lvlText w:val="%2"/>
      <w:numFmt w:val="lowerLetter"/>
      <w:start w:val="1"/>
    </w:lvl>
  </w:abstractNum>
  <w:abstractNum w:abstractNumId="200">
    <w:nsid w:val="1958BD17"/>
    <w:multiLevelType w:val="hybridMultilevel"/>
    <w:lvl w:ilvl="0">
      <w:lvlJc w:val="left"/>
      <w:lvlText w:val="(%1)"/>
      <w:numFmt w:val="lowerLetter"/>
      <w:start w:val="22"/>
    </w:lvl>
    <w:lvl w:ilvl="1">
      <w:lvlJc w:val="left"/>
      <w:lvlText w:val="(%2)"/>
      <w:numFmt w:val="lowerLetter"/>
      <w:start w:val="2"/>
    </w:lvl>
  </w:abstractNum>
  <w:abstractNum w:abstractNumId="201">
    <w:nsid w:val="4E647FE4"/>
    <w:multiLevelType w:val="hybridMultilevel"/>
    <w:lvl w:ilvl="0">
      <w:lvlJc w:val="left"/>
      <w:lvlText w:val="(%1)"/>
      <w:numFmt w:val="lowerLetter"/>
      <w:start w:val="3"/>
    </w:lvl>
  </w:abstractNum>
  <w:abstractNum w:abstractNumId="202">
    <w:nsid w:val="E0BB885"/>
    <w:multiLevelType w:val="hybridMultilevel"/>
    <w:lvl w:ilvl="0">
      <w:lvlJc w:val="left"/>
      <w:lvlText w:val="(%1)"/>
      <w:numFmt w:val="lowerLetter"/>
      <w:start w:val="1"/>
    </w:lvl>
  </w:abstractNum>
  <w:abstractNum w:abstractNumId="203">
    <w:nsid w:val="565976F1"/>
    <w:multiLevelType w:val="hybridMultilevel"/>
    <w:lvl w:ilvl="0">
      <w:lvlJc w:val="left"/>
      <w:lvlText w:val="(%1)"/>
      <w:numFmt w:val="lowerLetter"/>
      <w:start w:val="3"/>
    </w:lvl>
  </w:abstractNum>
  <w:abstractNum w:abstractNumId="204">
    <w:nsid w:val="64212B8C"/>
    <w:multiLevelType w:val="hybridMultilevel"/>
    <w:lvl w:ilvl="0">
      <w:lvlJc w:val="left"/>
      <w:lvlText w:val="(%1)"/>
      <w:numFmt w:val="lowerLetter"/>
      <w:start w:val="2"/>
    </w:lvl>
  </w:abstractNum>
  <w:abstractNum w:abstractNumId="205">
    <w:nsid w:val="5C17530C"/>
    <w:multiLevelType w:val="hybridMultilevel"/>
    <w:lvl w:ilvl="0">
      <w:lvlJc w:val="left"/>
      <w:lvlText w:val="(%1)"/>
      <w:numFmt w:val="lowerLetter"/>
      <w:start w:val="2"/>
    </w:lvl>
  </w:abstractNum>
  <w:abstractNum w:abstractNumId="206">
    <w:nsid w:val="19A52566"/>
    <w:multiLevelType w:val="hybridMultilevel"/>
    <w:lvl w:ilvl="0">
      <w:lvlJc w:val="left"/>
      <w:lvlText w:val="(%1)"/>
      <w:numFmt w:val="lowerRoman"/>
      <w:start w:val="1"/>
    </w:lvl>
  </w:abstractNum>
  <w:abstractNum w:abstractNumId="207">
    <w:nsid w:val="335A1DF1"/>
    <w:multiLevelType w:val="hybridMultilevel"/>
    <w:lvl w:ilvl="0">
      <w:lvlJc w:val="left"/>
      <w:lvlText w:val="(%1)"/>
      <w:numFmt w:val="lowerLetter"/>
      <w:start w:val="4"/>
    </w:lvl>
  </w:abstractNum>
  <w:abstractNum w:abstractNumId="208">
    <w:nsid w:val="28677B7C"/>
    <w:multiLevelType w:val="hybridMultilevel"/>
    <w:lvl w:ilvl="0">
      <w:lvlJc w:val="left"/>
      <w:lvlText w:val="(%1)"/>
      <w:numFmt w:val="lowerLetter"/>
      <w:start w:val="5"/>
    </w:lvl>
  </w:abstractNum>
  <w:abstractNum w:abstractNumId="209">
    <w:nsid w:val="378D97C0"/>
    <w:multiLevelType w:val="hybridMultilevel"/>
    <w:lvl w:ilvl="0">
      <w:lvlJc w:val="left"/>
      <w:lvlText w:val="(%1)"/>
      <w:numFmt w:val="lowerLetter"/>
      <w:start w:val="1"/>
    </w:lvl>
  </w:abstractNum>
  <w:abstractNum w:abstractNumId="210">
    <w:nsid w:val="1D91467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11">
    <w:nsid w:val="316032B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12">
    <w:nsid w:val="44344C22"/>
    <w:multiLevelType w:val="hybridMultilevel"/>
    <w:lvl w:ilvl="0">
      <w:lvlJc w:val="left"/>
      <w:lvlText w:val="(%1)"/>
      <w:numFmt w:val="lowerLetter"/>
      <w:start w:val="4"/>
    </w:lvl>
  </w:abstractNum>
  <w:abstractNum w:abstractNumId="213">
    <w:nsid w:val="13CDFCFC"/>
    <w:multiLevelType w:val="hybridMultilevel"/>
    <w:lvl w:ilvl="0">
      <w:lvlJc w:val="left"/>
      <w:lvlText w:val="(%1)"/>
      <w:numFmt w:val="lowerLetter"/>
      <w:start w:val="8"/>
    </w:lvl>
    <w:lvl w:ilvl="1">
      <w:lvlJc w:val="left"/>
      <w:lvlText w:val="(%2)"/>
      <w:numFmt w:val="lowerRoman"/>
      <w:start w:val="1"/>
    </w:lvl>
  </w:abstractNum>
  <w:abstractNum w:abstractNumId="214">
    <w:nsid w:val="471745E4"/>
    <w:multiLevelType w:val="hybridMultilevel"/>
    <w:lvl w:ilvl="0">
      <w:lvlJc w:val="left"/>
      <w:lvlText w:val="(%1)"/>
      <w:numFmt w:val="lowerLetter"/>
      <w:start w:val="1"/>
    </w:lvl>
  </w:abstractNum>
  <w:abstractNum w:abstractNumId="215">
    <w:nsid w:val="1DDBC66"/>
    <w:multiLevelType w:val="hybridMultilevel"/>
    <w:lvl w:ilvl="0">
      <w:lvlJc w:val="left"/>
      <w:lvlText w:val="(%1)"/>
      <w:numFmt w:val="lowerLetter"/>
      <w:start w:val="5"/>
    </w:lvl>
  </w:abstractNum>
  <w:abstractNum w:abstractNumId="216">
    <w:nsid w:val="30AADFDA"/>
    <w:multiLevelType w:val="hybridMultilevel"/>
    <w:lvl w:ilvl="0">
      <w:lvlJc w:val="left"/>
      <w:lvlText w:val="(%1)"/>
      <w:numFmt w:val="lowerLetter"/>
      <w:start w:val="1"/>
    </w:lvl>
    <w:lvl w:ilvl="1">
      <w:lvlJc w:val="left"/>
      <w:lvlText w:val="(%2)"/>
      <w:numFmt w:val="lowerLetter"/>
      <w:start w:val="9"/>
    </w:lvl>
  </w:abstractNum>
  <w:abstractNum w:abstractNumId="217">
    <w:nsid w:val="30EADA61"/>
    <w:multiLevelType w:val="hybridMultilevel"/>
    <w:lvl w:ilvl="0">
      <w:lvlJc w:val="left"/>
      <w:lvlText w:val="(%1)"/>
      <w:numFmt w:val="lowerRoman"/>
      <w:start w:val="2"/>
    </w:lvl>
  </w:abstractNum>
  <w:abstractNum w:abstractNumId="218">
    <w:nsid w:val="27179C0B"/>
    <w:multiLevelType w:val="hybridMultilevel"/>
    <w:lvl w:ilvl="0">
      <w:lvlJc w:val="left"/>
      <w:lvlText w:val="(%1)"/>
      <w:numFmt w:val="lowerLetter"/>
      <w:start w:val="2"/>
    </w:lvl>
  </w:abstractNum>
  <w:abstractNum w:abstractNumId="219">
    <w:nsid w:val="5E636063"/>
    <w:multiLevelType w:val="hybridMultilevel"/>
    <w:lvl w:ilvl="0">
      <w:lvlJc w:val="left"/>
      <w:lvlText w:val="(%1)"/>
      <w:numFmt w:val="lowerLetter"/>
      <w:start w:val="1"/>
    </w:lvl>
  </w:abstractNum>
  <w:abstractNum w:abstractNumId="220">
    <w:nsid w:val="215641AF"/>
    <w:multiLevelType w:val="hybridMultilevel"/>
    <w:lvl w:ilvl="0">
      <w:lvlJc w:val="left"/>
      <w:lvlText w:val="(%1)"/>
      <w:numFmt w:val="lowerLetter"/>
      <w:start w:val="6"/>
    </w:lvl>
  </w:abstractNum>
  <w:abstractNum w:abstractNumId="221">
    <w:nsid w:val="53280662"/>
    <w:multiLevelType w:val="hybridMultilevel"/>
    <w:lvl w:ilvl="0">
      <w:lvlJc w:val="left"/>
      <w:lvlText w:val="(%1)"/>
      <w:numFmt w:val="lowerLetter"/>
      <w:start w:val="1"/>
    </w:lvl>
  </w:abstractNum>
  <w:abstractNum w:abstractNumId="222">
    <w:nsid w:val="46B24DBC"/>
    <w:multiLevelType w:val="hybridMultilevel"/>
    <w:lvl w:ilvl="0">
      <w:lvlJc w:val="left"/>
      <w:lvlText w:val="(%1)"/>
      <w:numFmt w:val="lowerLetter"/>
      <w:start w:val="3"/>
    </w:lvl>
  </w:abstractNum>
  <w:abstractNum w:abstractNumId="223">
    <w:nsid w:val="75B52783"/>
    <w:multiLevelType w:val="hybridMultilevel"/>
    <w:lvl w:ilvl="0">
      <w:lvlJc w:val="left"/>
      <w:lvlText w:val="(%1)"/>
      <w:numFmt w:val="lowerLetter"/>
      <w:start w:val="1"/>
    </w:lvl>
  </w:abstractNum>
  <w:abstractNum w:abstractNumId="224">
    <w:nsid w:val="57CE66B4"/>
    <w:multiLevelType w:val="hybridMultilevel"/>
    <w:lvl w:ilvl="0">
      <w:lvlJc w:val="left"/>
      <w:lvlText w:val="(%1)"/>
      <w:numFmt w:val="lowerLetter"/>
      <w:start w:val="2"/>
    </w:lvl>
  </w:abstractNum>
  <w:abstractNum w:abstractNumId="225">
    <w:nsid w:val="67A70B69"/>
    <w:multiLevelType w:val="hybridMultilevel"/>
    <w:lvl w:ilvl="0">
      <w:lvlJc w:val="left"/>
      <w:lvlText w:val="%1"/>
      <w:numFmt w:val="upperLetter"/>
      <w:start w:val="1"/>
    </w:lvl>
    <w:lvl w:ilvl="1">
      <w:lvlJc w:val="left"/>
      <w:lvlText w:val="(%2)"/>
      <w:numFmt w:val="lowerLetter"/>
      <w:start w:val="1"/>
    </w:lvl>
  </w:abstractNum>
  <w:abstractNum w:abstractNumId="226">
    <w:nsid w:val="5953172F"/>
    <w:multiLevelType w:val="hybridMultilevel"/>
    <w:lvl w:ilvl="0">
      <w:lvlJc w:val="left"/>
      <w:lvlText w:val="%1"/>
      <w:numFmt w:val="lowerLetter"/>
      <w:start w:val="1"/>
    </w:lvl>
    <w:lvl w:ilvl="1">
      <w:lvlJc w:val="left"/>
      <w:lvlText w:val="(%2)"/>
      <w:numFmt w:val="lowerLetter"/>
      <w:start w:val="1"/>
    </w:lvl>
  </w:abstractNum>
  <w:abstractNum w:abstractNumId="227">
    <w:nsid w:val="27EDFE3A"/>
    <w:multiLevelType w:val="hybridMultilevel"/>
    <w:lvl w:ilvl="0">
      <w:lvlJc w:val="left"/>
      <w:lvlText w:val="(%1)"/>
      <w:numFmt w:val="lowerLetter"/>
      <w:start w:val="35"/>
    </w:lvl>
    <w:lvl w:ilvl="1">
      <w:lvlJc w:val="left"/>
      <w:lvlText w:val="(%2)"/>
      <w:numFmt w:val="lowerLetter"/>
      <w:start w:val="2"/>
    </w:lvl>
  </w:abstractNum>
  <w:abstractNum w:abstractNumId="228">
    <w:nsid w:val="52AC7DFF"/>
    <w:multiLevelType w:val="hybridMultilevel"/>
    <w:lvl w:ilvl="0">
      <w:lvlJc w:val="left"/>
      <w:lvlText w:val="(%1)"/>
      <w:numFmt w:val="upperLetter"/>
      <w:start w:val="1"/>
    </w:lvl>
    <w:lvl w:ilvl="1">
      <w:lvlJc w:val="left"/>
      <w:lvlText w:val="(%2)"/>
      <w:numFmt w:val="lowerLetter"/>
      <w:start w:val="6"/>
    </w:lvl>
  </w:abstractNum>
  <w:abstractNum w:abstractNumId="229">
    <w:nsid w:val="C4C3AF"/>
    <w:multiLevelType w:val="hybridMultilevel"/>
    <w:lvl w:ilvl="0">
      <w:lvlJc w:val="left"/>
      <w:lvlText w:val="%1"/>
      <w:numFmt w:val="lowerLetter"/>
      <w:start w:val="1"/>
    </w:lvl>
    <w:lvl w:ilvl="1">
      <w:lvlJc w:val="left"/>
      <w:lvlText w:val="(%2)"/>
      <w:numFmt w:val="lowerLetter"/>
      <w:start w:val="10"/>
    </w:lvl>
  </w:abstractNum>
  <w:abstractNum w:abstractNumId="230">
    <w:nsid w:val="44380727"/>
    <w:multiLevelType w:val="hybridMultilevel"/>
    <w:lvl w:ilvl="0">
      <w:lvlJc w:val="left"/>
      <w:lvlText w:val="(%1)"/>
      <w:numFmt w:val="lowerLetter"/>
      <w:start w:val="9"/>
    </w:lvl>
    <w:lvl w:ilvl="1">
      <w:lvlJc w:val="left"/>
      <w:lvlText w:val="(%2)"/>
      <w:numFmt w:val="lowerLetter"/>
      <w:start w:val="11"/>
    </w:lvl>
  </w:abstractNum>
  <w:abstractNum w:abstractNumId="231">
    <w:nsid w:val="6C053B16"/>
    <w:multiLevelType w:val="hybridMultilevel"/>
    <w:lvl w:ilvl="0">
      <w:lvlJc w:val="left"/>
      <w:lvlText w:val="(%1)"/>
      <w:numFmt w:val="lowerLetter"/>
      <w:start w:val="35"/>
    </w:lvl>
    <w:lvl w:ilvl="1">
      <w:lvlJc w:val="left"/>
      <w:lvlText w:val="%2"/>
      <w:numFmt w:val="lowerLetter"/>
      <w:start w:val="1"/>
    </w:lvl>
  </w:abstractNum>
  <w:abstractNum w:abstractNumId="232">
    <w:nsid w:val="4F294393"/>
    <w:multiLevelType w:val="hybridMultilevel"/>
    <w:lvl w:ilvl="0">
      <w:lvlJc w:val="left"/>
      <w:lvlText w:val="(%1)"/>
      <w:numFmt w:val="lowerLetter"/>
      <w:start w:val="16"/>
    </w:lvl>
  </w:abstractNum>
  <w:abstractNum w:abstractNumId="233">
    <w:nsid w:val="5243BFAC"/>
    <w:multiLevelType w:val="hybridMultilevel"/>
    <w:lvl w:ilvl="0">
      <w:lvlJc w:val="left"/>
      <w:lvlText w:val="%1"/>
      <w:numFmt w:val="lowerLetter"/>
      <w:start w:val="1"/>
    </w:lvl>
    <w:lvl w:ilvl="1">
      <w:lvlJc w:val="left"/>
      <w:lvlText w:val="(%2)"/>
      <w:numFmt w:val="lowerLetter"/>
      <w:start w:val="24"/>
    </w:lvl>
  </w:abstractNum>
  <w:abstractNum w:abstractNumId="234">
    <w:nsid w:val="425EB207"/>
    <w:multiLevelType w:val="hybridMultilevel"/>
    <w:lvl w:ilvl="0">
      <w:lvlJc w:val="left"/>
      <w:lvlText w:val="(%1)"/>
      <w:numFmt w:val="lowerLetter"/>
      <w:start w:val="25"/>
    </w:lvl>
    <w:lvl w:ilvl="1">
      <w:lvlJc w:val="left"/>
      <w:lvlText w:val="(%2)"/>
      <w:numFmt w:val="lowerLetter"/>
      <w:start w:val="26"/>
    </w:lvl>
  </w:abstractNum>
  <w:abstractNum w:abstractNumId="235">
    <w:nsid w:val="334A6F1F"/>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2021-03-03T15:52:40Z</dcterms:created>
  <dcterms:modified xsi:type="dcterms:W3CDTF">2021-03-03T15:52:40Z</dcterms:modified>
</cp:coreProperties>
</file>