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440" w:type="dxa"/>
            <w:vAlign w:val="bottom"/>
          </w:tcPr>
          <w:p>
            <w:pPr>
              <w:jc w:val="center"/>
              <w:ind w:left="710"/>
              <w:spacing w:after="0"/>
              <w:rPr>
                <w:sz w:val="20"/>
                <w:szCs w:val="20"/>
                <w:color w:val="auto"/>
              </w:rPr>
            </w:pPr>
            <w:r>
              <w:rPr>
                <w:rFonts w:ascii="Arial" w:cs="Arial" w:eastAsia="Arial" w:hAnsi="Arial"/>
                <w:sz w:val="18"/>
                <w:szCs w:val="18"/>
                <w:b w:val="1"/>
                <w:bCs w:val="1"/>
                <w:color w:val="auto"/>
                <w:w w:val="96"/>
              </w:rPr>
              <w:t>Form 6-K</w:t>
            </w:r>
          </w:p>
        </w:tc>
        <w:tc>
          <w:tcPr>
            <w:tcW w:w="840" w:type="dxa"/>
            <w:vAlign w:val="bottom"/>
          </w:tcPr>
          <w:p>
            <w:pPr>
              <w:spacing w:after="0"/>
              <w:rPr>
                <w:sz w:val="20"/>
                <w:szCs w:val="20"/>
                <w:color w:val="auto"/>
              </w:rPr>
            </w:pPr>
          </w:p>
        </w:tc>
      </w:tr>
      <w:tr>
        <w:trPr>
          <w:trHeight w:val="414"/>
        </w:trPr>
        <w:tc>
          <w:tcPr>
            <w:tcW w:w="10440" w:type="dxa"/>
            <w:vAlign w:val="bottom"/>
          </w:tcPr>
          <w:p>
            <w:pPr>
              <w:jc w:val="center"/>
              <w:ind w:left="730"/>
              <w:spacing w:after="0"/>
              <w:rPr>
                <w:sz w:val="20"/>
                <w:szCs w:val="20"/>
                <w:color w:val="auto"/>
              </w:rPr>
            </w:pPr>
            <w:r>
              <w:rPr>
                <w:rFonts w:ascii="Arial" w:cs="Arial" w:eastAsia="Arial" w:hAnsi="Arial"/>
                <w:sz w:val="18"/>
                <w:szCs w:val="18"/>
                <w:b w:val="1"/>
                <w:bCs w:val="1"/>
                <w:color w:val="auto"/>
                <w:w w:val="98"/>
              </w:rPr>
              <w:t>REPORT OF FOREIGN PRIVATE ISSUER PURSUANT TO RULE 13a-16 OR 15d-16 UNDER THE SECURITIES</w:t>
            </w:r>
          </w:p>
        </w:tc>
        <w:tc>
          <w:tcPr>
            <w:tcW w:w="840" w:type="dxa"/>
            <w:vAlign w:val="bottom"/>
          </w:tcPr>
          <w:p>
            <w:pPr>
              <w:spacing w:after="0"/>
              <w:rPr>
                <w:sz w:val="24"/>
                <w:szCs w:val="24"/>
                <w:color w:val="auto"/>
              </w:rPr>
            </w:pPr>
          </w:p>
        </w:tc>
      </w:tr>
      <w:tr>
        <w:trPr>
          <w:trHeight w:val="234"/>
        </w:trPr>
        <w:tc>
          <w:tcPr>
            <w:tcW w:w="10440" w:type="dxa"/>
            <w:vAlign w:val="bottom"/>
          </w:tcPr>
          <w:p>
            <w:pPr>
              <w:jc w:val="center"/>
              <w:ind w:left="710"/>
              <w:spacing w:after="0"/>
              <w:rPr>
                <w:sz w:val="20"/>
                <w:szCs w:val="20"/>
                <w:color w:val="auto"/>
              </w:rPr>
            </w:pPr>
            <w:r>
              <w:rPr>
                <w:rFonts w:ascii="Arial" w:cs="Arial" w:eastAsia="Arial" w:hAnsi="Arial"/>
                <w:sz w:val="18"/>
                <w:szCs w:val="18"/>
                <w:b w:val="1"/>
                <w:bCs w:val="1"/>
                <w:color w:val="auto"/>
                <w:w w:val="98"/>
              </w:rPr>
              <w:t>EXCHANGE ACT OF 1934</w:t>
            </w:r>
          </w:p>
        </w:tc>
        <w:tc>
          <w:tcPr>
            <w:tcW w:w="840" w:type="dxa"/>
            <w:vAlign w:val="bottom"/>
          </w:tcPr>
          <w:p>
            <w:pPr>
              <w:spacing w:after="0"/>
              <w:rPr>
                <w:sz w:val="20"/>
                <w:szCs w:val="20"/>
                <w:color w:val="auto"/>
              </w:rPr>
            </w:pPr>
          </w:p>
        </w:tc>
      </w:tr>
      <w:tr>
        <w:trPr>
          <w:trHeight w:val="432"/>
        </w:trPr>
        <w:tc>
          <w:tcPr>
            <w:tcW w:w="10440" w:type="dxa"/>
            <w:vAlign w:val="bottom"/>
          </w:tcPr>
          <w:p>
            <w:pPr>
              <w:spacing w:after="0"/>
              <w:rPr>
                <w:sz w:val="20"/>
                <w:szCs w:val="20"/>
                <w:color w:val="auto"/>
              </w:rPr>
            </w:pPr>
            <w:r>
              <w:rPr>
                <w:rFonts w:ascii="Arial" w:cs="Arial" w:eastAsia="Arial" w:hAnsi="Arial"/>
                <w:sz w:val="18"/>
                <w:szCs w:val="18"/>
                <w:color w:val="auto"/>
              </w:rPr>
              <w:t>For the month of May 2020</w:t>
            </w:r>
          </w:p>
        </w:tc>
        <w:tc>
          <w:tcPr>
            <w:tcW w:w="840" w:type="dxa"/>
            <w:vAlign w:val="bottom"/>
          </w:tcPr>
          <w:p>
            <w:pPr>
              <w:spacing w:after="0"/>
              <w:rPr>
                <w:sz w:val="24"/>
                <w:szCs w:val="24"/>
                <w:color w:val="auto"/>
              </w:rPr>
            </w:pPr>
          </w:p>
        </w:tc>
      </w:tr>
      <w:tr>
        <w:trPr>
          <w:trHeight w:val="432"/>
        </w:trPr>
        <w:tc>
          <w:tcPr>
            <w:tcW w:w="1044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840" w:type="dxa"/>
            <w:vAlign w:val="bottom"/>
          </w:tcPr>
          <w:p>
            <w:pPr>
              <w:spacing w:after="0"/>
              <w:rPr>
                <w:sz w:val="24"/>
                <w:szCs w:val="24"/>
                <w:color w:val="auto"/>
              </w:rPr>
            </w:pPr>
          </w:p>
        </w:tc>
      </w:tr>
      <w:tr>
        <w:trPr>
          <w:trHeight w:val="418"/>
        </w:trPr>
        <w:tc>
          <w:tcPr>
            <w:tcW w:w="10440" w:type="dxa"/>
            <w:vAlign w:val="bottom"/>
          </w:tcPr>
          <w:p>
            <w:pPr>
              <w:jc w:val="center"/>
              <w:ind w:left="710"/>
              <w:spacing w:after="0"/>
              <w:rPr>
                <w:sz w:val="20"/>
                <w:szCs w:val="20"/>
                <w:color w:val="auto"/>
              </w:rPr>
            </w:pPr>
            <w:r>
              <w:rPr>
                <w:rFonts w:ascii="Arial" w:cs="Arial" w:eastAsia="Arial" w:hAnsi="Arial"/>
                <w:sz w:val="18"/>
                <w:szCs w:val="18"/>
                <w:b w:val="1"/>
                <w:bCs w:val="1"/>
                <w:color w:val="auto"/>
                <w:w w:val="91"/>
              </w:rPr>
              <w:t>GasLog Ltd</w:t>
            </w:r>
          </w:p>
        </w:tc>
        <w:tc>
          <w:tcPr>
            <w:tcW w:w="840" w:type="dxa"/>
            <w:vAlign w:val="bottom"/>
          </w:tcPr>
          <w:p>
            <w:pPr>
              <w:spacing w:after="0"/>
              <w:rPr>
                <w:sz w:val="24"/>
                <w:szCs w:val="24"/>
                <w:color w:val="auto"/>
              </w:rPr>
            </w:pPr>
          </w:p>
        </w:tc>
      </w:tr>
      <w:tr>
        <w:trPr>
          <w:trHeight w:val="230"/>
        </w:trPr>
        <w:tc>
          <w:tcPr>
            <w:tcW w:w="10440" w:type="dxa"/>
            <w:vAlign w:val="bottom"/>
          </w:tcPr>
          <w:p>
            <w:pPr>
              <w:jc w:val="center"/>
              <w:ind w:left="710"/>
              <w:spacing w:after="0"/>
              <w:rPr>
                <w:sz w:val="20"/>
                <w:szCs w:val="20"/>
                <w:color w:val="auto"/>
              </w:rPr>
            </w:pPr>
            <w:r>
              <w:rPr>
                <w:rFonts w:ascii="Arial" w:cs="Arial" w:eastAsia="Arial" w:hAnsi="Arial"/>
                <w:sz w:val="18"/>
                <w:szCs w:val="18"/>
                <w:color w:val="auto"/>
                <w:w w:val="91"/>
              </w:rPr>
              <w:t>(Translation of registrant’s name into English)</w:t>
            </w:r>
          </w:p>
        </w:tc>
        <w:tc>
          <w:tcPr>
            <w:tcW w:w="840" w:type="dxa"/>
            <w:vAlign w:val="bottom"/>
          </w:tcPr>
          <w:p>
            <w:pPr>
              <w:spacing w:after="0"/>
              <w:rPr>
                <w:sz w:val="20"/>
                <w:szCs w:val="20"/>
                <w:color w:val="auto"/>
              </w:rPr>
            </w:pPr>
          </w:p>
        </w:tc>
      </w:tr>
      <w:tr>
        <w:trPr>
          <w:trHeight w:val="418"/>
        </w:trPr>
        <w:tc>
          <w:tcPr>
            <w:tcW w:w="10440" w:type="dxa"/>
            <w:vAlign w:val="bottom"/>
          </w:tcPr>
          <w:p>
            <w:pPr>
              <w:jc w:val="center"/>
              <w:ind w:left="710"/>
              <w:spacing w:after="0"/>
              <w:rPr>
                <w:sz w:val="20"/>
                <w:szCs w:val="20"/>
                <w:color w:val="auto"/>
              </w:rPr>
            </w:pPr>
            <w:r>
              <w:rPr>
                <w:rFonts w:ascii="Arial" w:cs="Arial" w:eastAsia="Arial" w:hAnsi="Arial"/>
                <w:sz w:val="18"/>
                <w:szCs w:val="18"/>
                <w:color w:val="auto"/>
                <w:w w:val="92"/>
              </w:rPr>
              <w:t>c/o GasLog Services LNG Ltd.</w:t>
            </w:r>
          </w:p>
        </w:tc>
        <w:tc>
          <w:tcPr>
            <w:tcW w:w="840" w:type="dxa"/>
            <w:vAlign w:val="bottom"/>
          </w:tcPr>
          <w:p>
            <w:pPr>
              <w:spacing w:after="0"/>
              <w:rPr>
                <w:sz w:val="24"/>
                <w:szCs w:val="24"/>
                <w:color w:val="auto"/>
              </w:rPr>
            </w:pPr>
          </w:p>
        </w:tc>
      </w:tr>
      <w:tr>
        <w:trPr>
          <w:trHeight w:val="216"/>
        </w:trPr>
        <w:tc>
          <w:tcPr>
            <w:tcW w:w="10440" w:type="dxa"/>
            <w:vAlign w:val="bottom"/>
          </w:tcPr>
          <w:p>
            <w:pPr>
              <w:jc w:val="center"/>
              <w:ind w:left="730"/>
              <w:spacing w:after="0"/>
              <w:rPr>
                <w:sz w:val="20"/>
                <w:szCs w:val="20"/>
                <w:color w:val="auto"/>
              </w:rPr>
            </w:pPr>
            <w:r>
              <w:rPr>
                <w:rFonts w:ascii="Arial" w:cs="Arial" w:eastAsia="Arial" w:hAnsi="Arial"/>
                <w:sz w:val="18"/>
                <w:szCs w:val="18"/>
                <w:color w:val="auto"/>
                <w:w w:val="96"/>
              </w:rPr>
              <w:t>69 Akti Miaouli 18537</w:t>
            </w:r>
          </w:p>
        </w:tc>
        <w:tc>
          <w:tcPr>
            <w:tcW w:w="840" w:type="dxa"/>
            <w:vAlign w:val="bottom"/>
          </w:tcPr>
          <w:p>
            <w:pPr>
              <w:spacing w:after="0"/>
              <w:rPr>
                <w:sz w:val="18"/>
                <w:szCs w:val="18"/>
                <w:color w:val="auto"/>
              </w:rPr>
            </w:pPr>
          </w:p>
        </w:tc>
      </w:tr>
      <w:tr>
        <w:trPr>
          <w:trHeight w:val="216"/>
        </w:trPr>
        <w:tc>
          <w:tcPr>
            <w:tcW w:w="10440" w:type="dxa"/>
            <w:vAlign w:val="bottom"/>
          </w:tcPr>
          <w:p>
            <w:pPr>
              <w:jc w:val="center"/>
              <w:ind w:left="710"/>
              <w:spacing w:after="0"/>
              <w:rPr>
                <w:sz w:val="20"/>
                <w:szCs w:val="20"/>
                <w:color w:val="auto"/>
              </w:rPr>
            </w:pPr>
            <w:r>
              <w:rPr>
                <w:rFonts w:ascii="Arial" w:cs="Arial" w:eastAsia="Arial" w:hAnsi="Arial"/>
                <w:sz w:val="18"/>
                <w:szCs w:val="18"/>
                <w:color w:val="auto"/>
                <w:w w:val="86"/>
              </w:rPr>
              <w:t>Piraeus Greece</w:t>
            </w:r>
          </w:p>
        </w:tc>
        <w:tc>
          <w:tcPr>
            <w:tcW w:w="840" w:type="dxa"/>
            <w:vAlign w:val="bottom"/>
          </w:tcPr>
          <w:p>
            <w:pPr>
              <w:spacing w:after="0"/>
              <w:rPr>
                <w:sz w:val="18"/>
                <w:szCs w:val="18"/>
                <w:color w:val="auto"/>
              </w:rPr>
            </w:pPr>
          </w:p>
        </w:tc>
      </w:tr>
      <w:tr>
        <w:trPr>
          <w:trHeight w:val="230"/>
        </w:trPr>
        <w:tc>
          <w:tcPr>
            <w:tcW w:w="10440" w:type="dxa"/>
            <w:vAlign w:val="bottom"/>
          </w:tcPr>
          <w:p>
            <w:pPr>
              <w:ind w:left="3480"/>
              <w:spacing w:after="0"/>
              <w:rPr>
                <w:sz w:val="20"/>
                <w:szCs w:val="20"/>
                <w:color w:val="auto"/>
              </w:rPr>
            </w:pPr>
            <w:r>
              <w:rPr>
                <w:rFonts w:ascii="Arial" w:cs="Arial" w:eastAsia="Arial" w:hAnsi="Arial"/>
                <w:sz w:val="18"/>
                <w:szCs w:val="18"/>
                <w:color w:val="auto"/>
              </w:rPr>
              <w:t>(Address of principal executive office)</w:t>
            </w:r>
          </w:p>
        </w:tc>
        <w:tc>
          <w:tcPr>
            <w:tcW w:w="840" w:type="dxa"/>
            <w:vAlign w:val="bottom"/>
          </w:tcPr>
          <w:p>
            <w:pPr>
              <w:spacing w:after="0"/>
              <w:rPr>
                <w:sz w:val="20"/>
                <w:szCs w:val="20"/>
                <w:color w:val="auto"/>
              </w:rPr>
            </w:pPr>
          </w:p>
        </w:tc>
      </w:tr>
      <w:tr>
        <w:trPr>
          <w:trHeight w:val="432"/>
        </w:trPr>
        <w:tc>
          <w:tcPr>
            <w:tcW w:w="1044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840" w:type="dxa"/>
            <w:vAlign w:val="bottom"/>
          </w:tcPr>
          <w:p>
            <w:pPr>
              <w:spacing w:after="0"/>
              <w:rPr>
                <w:sz w:val="24"/>
                <w:szCs w:val="24"/>
                <w:color w:val="auto"/>
              </w:rPr>
            </w:pPr>
          </w:p>
        </w:tc>
      </w:tr>
      <w:tr>
        <w:trPr>
          <w:trHeight w:val="452"/>
        </w:trPr>
        <w:tc>
          <w:tcPr>
            <w:tcW w:w="1044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840" w:type="dxa"/>
            <w:vAlign w:val="bottom"/>
          </w:tcPr>
          <w:p>
            <w:pPr>
              <w:spacing w:after="0"/>
              <w:rPr>
                <w:sz w:val="24"/>
                <w:szCs w:val="24"/>
                <w:color w:val="auto"/>
              </w:rPr>
            </w:pPr>
          </w:p>
        </w:tc>
      </w:tr>
      <w:tr>
        <w:trPr>
          <w:trHeight w:val="412"/>
        </w:trPr>
        <w:tc>
          <w:tcPr>
            <w:tcW w:w="104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840" w:type="dxa"/>
            <w:vAlign w:val="bottom"/>
          </w:tcPr>
          <w:p>
            <w:pPr>
              <w:ind w:left="320"/>
              <w:spacing w:after="0"/>
              <w:rPr>
                <w:sz w:val="20"/>
                <w:szCs w:val="20"/>
                <w:color w:val="auto"/>
              </w:rPr>
            </w:pPr>
            <w:r>
              <w:rPr>
                <w:rFonts w:ascii="Arial" w:cs="Arial" w:eastAsia="Arial" w:hAnsi="Arial"/>
                <w:sz w:val="18"/>
                <w:szCs w:val="18"/>
                <w:color w:val="auto"/>
              </w:rPr>
              <w:t>o</w:t>
            </w:r>
          </w:p>
        </w:tc>
      </w:tr>
      <w:tr>
        <w:trPr>
          <w:trHeight w:val="432"/>
        </w:trPr>
        <w:tc>
          <w:tcPr>
            <w:tcW w:w="104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840" w:type="dxa"/>
            <w:vAlign w:val="bottom"/>
          </w:tcPr>
          <w:p>
            <w:pPr>
              <w:ind w:left="320"/>
              <w:spacing w:after="0"/>
              <w:rPr>
                <w:sz w:val="20"/>
                <w:szCs w:val="20"/>
                <w:color w:val="auto"/>
              </w:rPr>
            </w:pPr>
            <w:r>
              <w:rPr>
                <w:rFonts w:ascii="Arial" w:cs="Arial" w:eastAsia="Arial" w:hAnsi="Arial"/>
                <w:sz w:val="18"/>
                <w:szCs w:val="18"/>
                <w:color w:val="auto"/>
              </w:rPr>
              <w:t>o</w:t>
            </w:r>
          </w:p>
        </w:tc>
      </w:tr>
      <w:tr>
        <w:trPr>
          <w:trHeight w:val="348"/>
        </w:trPr>
        <w:tc>
          <w:tcPr>
            <w:tcW w:w="104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445" w:right="299" w:bottom="1440" w:gutter="0" w:footer="0" w:header="0"/>
        </w:sectPr>
      </w:pPr>
    </w:p>
    <w:bookmarkStart w:id="1" w:name="page2"/>
    <w:bookmarkEnd w:id="1"/>
    <w:p>
      <w:pPr>
        <w:ind w:right="620"/>
        <w:spacing w:after="0" w:line="277" w:lineRule="auto"/>
        <w:rPr>
          <w:sz w:val="20"/>
          <w:szCs w:val="20"/>
          <w:color w:val="auto"/>
        </w:rPr>
      </w:pPr>
      <w:r>
        <w:rPr>
          <w:rFonts w:ascii="Arial" w:cs="Arial" w:eastAsia="Arial" w:hAnsi="Arial"/>
          <w:sz w:val="18"/>
          <w:szCs w:val="18"/>
          <w:color w:val="auto"/>
        </w:rPr>
        <w:t>The press release issued by GasLog Ltd. and GasLog Partners LP on May 7, 2020 announcing chief financial officer transition is attached hereto as Exhibit 99.1.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8"/>
          <w:szCs w:val="18"/>
          <w:color w:val="auto"/>
        </w:rPr>
        <w:t>Exhibit 99.1 to this Report on Form 6-K shall be incorporated by reference into our registration statement on Form F-3 (File Nos. 333-194894 and 333-230205), filed with the Securities and Exchange Commission (the “SEC”) on March 28, 2014 and March 12, 2019 respectively, as amended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62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6060"/>
        <w:spacing w:after="0"/>
        <w:tabs>
          <w:tab w:leader="none" w:pos="6480" w:val="left"/>
        </w:tabs>
        <w:rPr>
          <w:sz w:val="20"/>
          <w:szCs w:val="20"/>
          <w:color w:val="auto"/>
        </w:rPr>
      </w:pPr>
      <w:r>
        <w:rPr>
          <w:rFonts w:ascii="Arial" w:cs="Arial" w:eastAsia="Arial" w:hAnsi="Arial"/>
          <w:sz w:val="18"/>
          <w:szCs w:val="18"/>
          <w:color w:val="auto"/>
        </w:rPr>
        <w:t>by</w:t>
        <w:tab/>
        <w:t>/s/ Paul A. Wogan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00" w:type="dxa"/>
            <w:vAlign w:val="bottom"/>
          </w:tcPr>
          <w:p>
            <w:pPr>
              <w:spacing w:after="0"/>
              <w:rPr>
                <w:sz w:val="16"/>
                <w:szCs w:val="16"/>
                <w:color w:val="auto"/>
              </w:rPr>
            </w:pPr>
          </w:p>
        </w:tc>
        <w:tc>
          <w:tcPr>
            <w:tcW w:w="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900" w:type="dxa"/>
            <w:vAlign w:val="bottom"/>
            <w:tcBorders>
              <w:top w:val="single" w:sz="8" w:color="auto"/>
            </w:tcBorders>
          </w:tcPr>
          <w:p>
            <w:pPr>
              <w:ind w:left="360"/>
              <w:spacing w:after="0" w:line="195" w:lineRule="exact"/>
              <w:rPr>
                <w:sz w:val="20"/>
                <w:szCs w:val="20"/>
                <w:color w:val="auto"/>
              </w:rPr>
            </w:pPr>
            <w:r>
              <w:rPr>
                <w:rFonts w:ascii="Arial" w:cs="Arial" w:eastAsia="Arial" w:hAnsi="Arial"/>
                <w:sz w:val="18"/>
                <w:szCs w:val="18"/>
                <w:color w:val="auto"/>
              </w:rPr>
              <w:t>Paul A. Wogan</w:t>
            </w:r>
          </w:p>
        </w:tc>
        <w:tc>
          <w:tcPr>
            <w:tcW w:w="40" w:type="dxa"/>
            <w:vAlign w:val="bottom"/>
          </w:tcPr>
          <w:p>
            <w:pPr>
              <w:spacing w:after="0"/>
              <w:rPr>
                <w:sz w:val="16"/>
                <w:szCs w:val="16"/>
                <w:color w:val="auto"/>
              </w:rPr>
            </w:pPr>
          </w:p>
        </w:tc>
      </w:tr>
      <w:tr>
        <w:trPr>
          <w:trHeight w:val="230"/>
        </w:trPr>
        <w:tc>
          <w:tcPr>
            <w:tcW w:w="650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36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5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39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and GasLog Partners LP Announce Chief Financial Officer Transition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PIRAEUS, GREECE </w:t>
      </w:r>
      <w:r>
        <w:rPr>
          <w:rFonts w:ascii="Arial" w:cs="Arial" w:eastAsia="Arial" w:hAnsi="Arial"/>
          <w:sz w:val="18"/>
          <w:szCs w:val="18"/>
          <w:color w:val="auto"/>
        </w:rPr>
        <w:t>– May 7, 2020 – GasLog Ltd. (NYSE:GLOG) (“GasLog”) and GasLog Partners LP (NYSE:GLOP) (“GasLog Partners” or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(together the “Group”) announced today that, following GasLog’s decision to base its senior management, including the Chief Financial Officer (“CFO”) position, in Greece, Alastair Maxwell has decided not to relocate and will therefore step down from his position as CFO on June 30, 2020. The Boards of GasLog and GasLog Partners have appointed Achilleas Tasioulas, who is presently Deputy CFO, as CFO, effective July 1, 2020. During this period, Alastair will work closely with Achilleas to ensure an orderly transition of responsibilities and Alastair will remain available after leaving to provide his experience and advice, if required.</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Alastair Maxwell joined GasLog in February 2017 following 29 years in investment banking and was appointed CFO of GasLog and GasLog Partners in March 2017. His wealth of experience in both energy and finance has been a major asset to the Group across all areas of the Finance function, including leading the debt and equity capital raisings to fund the Group’s expansion.</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Achilleas Tasioulas became Deputy CFO of GasLog in December 2019. He joined GasLog in October 2014 as Financial Controller and his role was expanded to Chief Risk Officer, Financial Controller and Head of Tax in August 2017. Achilleas is also a Board Member of Gastrade and a Director of several Group subsidiaries. Immediately prior to joining GasLog, Achilleas was Corporate Controller for NYSE-listed Danaos Corporation for 6 years. He is an ICAEW Fellow Chartered Accountant, has an MSc in Project Analysis, Finance and Investments from the University of York and a BSc in Economics from the University of Macedonia in Greece.</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Paul Wogan, GasLog CEO, said, “On behalf of our Chairman Peter Livanos, the Board of GasLog and the Management team, I would like to thank Alastair for the expertise, skill and guidance he has provided over the last 3 years and I wish him continued personal and professional success. I am pleased to congratulate Achilleas on his promotion to CFO. His deep commitment to GasLog, understanding of our business and hands-on experience in Controlling, Financial Reporting, Risk Management and Tax are a huge asset as GasLog focuses on financial resilience, discipline and de-leveraging.”</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Andy Orekar, GasLog Partners CEO, said, “On behalf of our Chairman Curt Anastasio and the Board of GasLog Partners, I would like to thank Alastair for his outstanding support of the Partnership’s growth strategy and track record of raising capital in challenging market conditions. Achilleas’ significant contributions to the finance activities of GasLog Partners make him an ideal candidate to succeed Alastair, and his leadership capabilities, risk-based approach and management expertise will be incredibly helpful in the coming years.”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Achilleas Tasioulas commented, “I am delighted to be stepping up to be CFO of GasLog and GasLog Partners at such an important time in the LNG market and in the development of the Group. I look forward to working closely with the rest of the leadership team to harvest our inbuilt growth and to continue to strengthen our financial position today and in the future.”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35 LNG carriers. Of these vessels, 19 (13 on the water and six on order) are owned by GasLog, one has been sold to a subsidiary of Mitsui &amp; Co., Ltd. and leased back to GasLog under a long-term bareboat charter and the remaining 15 LNG carriers are owned by the Company’s subsidiary, GasLog Partners. GasLog’s principal executive offices are at 69 Akti Miaouli, 18537 Piraeus, Greece. Visit GasLog’s website at http://www.gaslogltd.com.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 xml:space="preserve">About GasLog </w:t>
      </w:r>
      <w:r>
        <w:rPr>
          <w:rFonts w:ascii="Arial" w:cs="Arial" w:eastAsia="Arial" w:hAnsi="Arial"/>
          <w:sz w:val="17"/>
          <w:szCs w:val="17"/>
          <w:b w:val="1"/>
          <w:bCs w:val="1"/>
          <w:u w:val="single" w:color="auto"/>
          <w:color w:val="auto"/>
        </w:rPr>
        <w:t>Partners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69 Akti Miaouli, 18537, Piraeus, Greece. Visit GasLog Partners’ website at </w:t>
      </w:r>
      <w:r>
        <w:rPr>
          <w:rFonts w:ascii="Arial" w:cs="Arial" w:eastAsia="Arial" w:hAnsi="Arial"/>
          <w:sz w:val="17"/>
          <w:szCs w:val="17"/>
          <w:u w:val="single" w:color="auto"/>
          <w:color w:val="auto"/>
        </w:rPr>
        <w:t>http://www.gaslogmlp.com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1532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2020-05-07T05:54:35Z</dcterms:created>
  <dcterms:modified xsi:type="dcterms:W3CDTF">2020-05-07T05:54:35Z</dcterms:modified>
</cp:coreProperties>
</file>