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14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20" w:type="dxa"/>
            <w:vAlign w:val="bottom"/>
          </w:tcPr>
          <w:p>
            <w:pPr>
              <w:spacing w:after="0"/>
              <w:rPr>
                <w:sz w:val="20"/>
                <w:szCs w:val="20"/>
                <w:color w:val="auto"/>
              </w:rPr>
            </w:pPr>
          </w:p>
        </w:tc>
      </w:tr>
      <w:tr>
        <w:trPr>
          <w:trHeight w:val="452"/>
        </w:trPr>
        <w:tc>
          <w:tcPr>
            <w:tcW w:w="1014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20" w:type="dxa"/>
            <w:vAlign w:val="bottom"/>
          </w:tcPr>
          <w:p>
            <w:pPr>
              <w:spacing w:after="0"/>
              <w:rPr>
                <w:sz w:val="24"/>
                <w:szCs w:val="24"/>
                <w:color w:val="auto"/>
              </w:rPr>
            </w:pPr>
          </w:p>
        </w:tc>
      </w:tr>
      <w:tr>
        <w:trPr>
          <w:trHeight w:val="41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o</w:t>
            </w:r>
          </w:p>
        </w:tc>
      </w:tr>
      <w:tr>
        <w:trPr>
          <w:trHeight w:val="432"/>
        </w:trPr>
        <w:tc>
          <w:tcPr>
            <w:tcW w:w="1014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1200"/>
              <w:spacing w:after="0"/>
              <w:rPr>
                <w:sz w:val="20"/>
                <w:szCs w:val="20"/>
                <w:color w:val="auto"/>
              </w:rPr>
            </w:pPr>
            <w:r>
              <w:rPr>
                <w:rFonts w:ascii="Arial" w:cs="Arial" w:eastAsia="Arial" w:hAnsi="Arial"/>
                <w:sz w:val="18"/>
                <w:szCs w:val="18"/>
                <w:color w:val="auto"/>
                <w:w w:val="99"/>
              </w:rPr>
              <w:t>o</w:t>
            </w:r>
          </w:p>
        </w:tc>
      </w:tr>
      <w:tr>
        <w:trPr>
          <w:trHeight w:val="348"/>
        </w:trPr>
        <w:tc>
          <w:tcPr>
            <w:tcW w:w="101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right="180" w:firstLine="356"/>
        <w:spacing w:after="0" w:line="293" w:lineRule="auto"/>
        <w:rPr>
          <w:sz w:val="20"/>
          <w:szCs w:val="20"/>
          <w:color w:val="auto"/>
        </w:rPr>
      </w:pPr>
      <w:r>
        <w:rPr>
          <w:rFonts w:ascii="Arial" w:cs="Arial" w:eastAsia="Arial" w:hAnsi="Arial"/>
          <w:sz w:val="16"/>
          <w:szCs w:val="16"/>
          <w:color w:val="auto"/>
        </w:rPr>
        <w:t>The press release issued by GasLog Ltd. on May 4, 2018 relating to its results for the first quarter of 2018 and the related financial report are attached hereto as Exhibits 99.1 and 99.2, respectively.</w:t>
      </w:r>
    </w:p>
    <w:p>
      <w:pPr>
        <w:spacing w:after="0" w:line="172"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INCORPORATION BY REFERENCE</w:t>
      </w:r>
    </w:p>
    <w:p>
      <w:pPr>
        <w:spacing w:after="0" w:line="235" w:lineRule="exact"/>
        <w:rPr>
          <w:sz w:val="24"/>
          <w:szCs w:val="24"/>
          <w:color w:val="auto"/>
        </w:rPr>
      </w:pPr>
    </w:p>
    <w:p>
      <w:pPr>
        <w:ind w:right="100" w:firstLine="376"/>
        <w:spacing w:after="0" w:line="271" w:lineRule="auto"/>
        <w:rPr>
          <w:sz w:val="20"/>
          <w:szCs w:val="20"/>
          <w:color w:val="auto"/>
        </w:rPr>
      </w:pPr>
      <w:r>
        <w:rPr>
          <w:rFonts w:ascii="Arial" w:cs="Arial" w:eastAsia="Arial" w:hAnsi="Arial"/>
          <w:sz w:val="16"/>
          <w:szCs w:val="16"/>
          <w:color w:val="auto"/>
        </w:rPr>
        <w:t>Exhibit 99.2 to this Report on Form 6-K shall be incorporated by reference into our registration statements on Form F-3 (File Nos. 333-188817, 333-194894 and 333-210169),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6000" w:type="dxa"/>
            <w:vAlign w:val="bottom"/>
          </w:tcPr>
          <w:p>
            <w:pPr>
              <w:ind w:left="4480"/>
              <w:spacing w:after="0"/>
              <w:rPr>
                <w:sz w:val="20"/>
                <w:szCs w:val="20"/>
                <w:color w:val="auto"/>
              </w:rPr>
            </w:pPr>
            <w:r>
              <w:rPr>
                <w:rFonts w:ascii="Arial" w:cs="Arial" w:eastAsia="Arial" w:hAnsi="Arial"/>
                <w:sz w:val="16"/>
                <w:szCs w:val="16"/>
                <w:color w:val="auto"/>
              </w:rPr>
              <w:t>EXHIBIT LIST</w:t>
            </w:r>
          </w:p>
        </w:tc>
      </w:tr>
      <w:tr>
        <w:trPr>
          <w:trHeight w:val="419"/>
        </w:trPr>
        <w:tc>
          <w:tcPr>
            <w:tcW w:w="720" w:type="dxa"/>
            <w:vAlign w:val="bottom"/>
          </w:tcPr>
          <w:p>
            <w:pPr>
              <w:spacing w:after="0"/>
              <w:rPr>
                <w:sz w:val="20"/>
                <w:szCs w:val="20"/>
                <w:color w:val="auto"/>
              </w:rPr>
            </w:pPr>
            <w:r>
              <w:rPr>
                <w:rFonts w:ascii="Arial" w:cs="Arial" w:eastAsia="Arial" w:hAnsi="Arial"/>
                <w:sz w:val="16"/>
                <w:szCs w:val="16"/>
                <w:color w:val="auto"/>
              </w:rPr>
              <w:t>Exhibit</w:t>
            </w:r>
          </w:p>
        </w:tc>
        <w:tc>
          <w:tcPr>
            <w:tcW w:w="6000" w:type="dxa"/>
            <w:vAlign w:val="bottom"/>
          </w:tcPr>
          <w:p>
            <w:pPr>
              <w:ind w:left="240"/>
              <w:spacing w:after="0"/>
              <w:rPr>
                <w:sz w:val="20"/>
                <w:szCs w:val="20"/>
                <w:color w:val="auto"/>
              </w:rPr>
            </w:pPr>
            <w:r>
              <w:rPr>
                <w:rFonts w:ascii="Arial" w:cs="Arial" w:eastAsia="Arial" w:hAnsi="Arial"/>
                <w:sz w:val="16"/>
                <w:szCs w:val="16"/>
                <w:color w:val="auto"/>
              </w:rPr>
              <w:t>Description</w:t>
            </w:r>
          </w:p>
        </w:tc>
      </w:tr>
      <w:tr>
        <w:trPr>
          <w:trHeight w:val="419"/>
        </w:trPr>
        <w:tc>
          <w:tcPr>
            <w:tcW w:w="720" w:type="dxa"/>
            <w:vAlign w:val="bottom"/>
          </w:tcPr>
          <w:p>
            <w:pPr>
              <w:spacing w:after="0"/>
              <w:rPr>
                <w:sz w:val="20"/>
                <w:szCs w:val="20"/>
                <w:color w:val="auto"/>
              </w:rPr>
            </w:pPr>
            <w:r>
              <w:rPr>
                <w:rFonts w:ascii="Arial" w:cs="Arial" w:eastAsia="Arial" w:hAnsi="Arial"/>
                <w:sz w:val="16"/>
                <w:szCs w:val="16"/>
                <w:color w:val="auto"/>
              </w:rPr>
              <w:t>99.1</w:t>
            </w:r>
          </w:p>
        </w:tc>
        <w:tc>
          <w:tcPr>
            <w:tcW w:w="6000" w:type="dxa"/>
            <w:vAlign w:val="bottom"/>
          </w:tcPr>
          <w:p>
            <w:pPr>
              <w:ind w:left="240"/>
              <w:spacing w:after="0"/>
              <w:rPr>
                <w:sz w:val="20"/>
                <w:szCs w:val="20"/>
                <w:color w:val="auto"/>
              </w:rPr>
            </w:pPr>
            <w:r>
              <w:rPr>
                <w:rFonts w:ascii="Arial" w:cs="Arial" w:eastAsia="Arial" w:hAnsi="Arial"/>
                <w:sz w:val="16"/>
                <w:szCs w:val="16"/>
                <w:color w:val="auto"/>
              </w:rPr>
              <w:t>Press Release dated May 4, 2018</w:t>
            </w:r>
          </w:p>
        </w:tc>
      </w:tr>
      <w:tr>
        <w:trPr>
          <w:trHeight w:val="419"/>
        </w:trPr>
        <w:tc>
          <w:tcPr>
            <w:tcW w:w="720" w:type="dxa"/>
            <w:vAlign w:val="bottom"/>
          </w:tcPr>
          <w:p>
            <w:pPr>
              <w:spacing w:after="0"/>
              <w:rPr>
                <w:sz w:val="20"/>
                <w:szCs w:val="20"/>
                <w:color w:val="auto"/>
              </w:rPr>
            </w:pPr>
            <w:r>
              <w:rPr>
                <w:rFonts w:ascii="Arial" w:cs="Arial" w:eastAsia="Arial" w:hAnsi="Arial"/>
                <w:sz w:val="16"/>
                <w:szCs w:val="16"/>
                <w:color w:val="auto"/>
              </w:rPr>
              <w:t>99.2</w:t>
            </w:r>
          </w:p>
        </w:tc>
        <w:tc>
          <w:tcPr>
            <w:tcW w:w="6000" w:type="dxa"/>
            <w:vAlign w:val="bottom"/>
          </w:tcPr>
          <w:p>
            <w:pPr>
              <w:ind w:left="240"/>
              <w:spacing w:after="0"/>
              <w:rPr>
                <w:sz w:val="20"/>
                <w:szCs w:val="20"/>
                <w:color w:val="auto"/>
              </w:rPr>
            </w:pPr>
            <w:r>
              <w:rPr>
                <w:rFonts w:ascii="Arial" w:cs="Arial" w:eastAsia="Arial" w:hAnsi="Arial"/>
                <w:sz w:val="16"/>
                <w:szCs w:val="16"/>
                <w:color w:val="auto"/>
              </w:rPr>
              <w:t>Financial Report for the Three Months Ended March 31, 2018</w:t>
            </w:r>
          </w:p>
        </w:tc>
      </w:tr>
      <w:tr>
        <w:trPr>
          <w:trHeight w:val="419"/>
        </w:trPr>
        <w:tc>
          <w:tcPr>
            <w:tcW w:w="720" w:type="dxa"/>
            <w:vAlign w:val="bottom"/>
          </w:tcPr>
          <w:p>
            <w:pPr>
              <w:spacing w:after="0"/>
              <w:rPr>
                <w:sz w:val="24"/>
                <w:szCs w:val="24"/>
                <w:color w:val="auto"/>
              </w:rPr>
            </w:pPr>
          </w:p>
        </w:tc>
        <w:tc>
          <w:tcPr>
            <w:tcW w:w="6000" w:type="dxa"/>
            <w:vAlign w:val="bottom"/>
          </w:tcPr>
          <w:p>
            <w:pPr>
              <w:ind w:left="240"/>
              <w:spacing w:after="0"/>
              <w:rPr>
                <w:sz w:val="20"/>
                <w:szCs w:val="20"/>
                <w:color w:val="auto"/>
              </w:rPr>
            </w:pPr>
            <w:r>
              <w:rPr>
                <w:rFonts w:ascii="Arial" w:cs="Arial" w:eastAsia="Arial" w:hAnsi="Arial"/>
                <w:sz w:val="16"/>
                <w:szCs w:val="16"/>
                <w:color w:val="auto"/>
                <w:w w:val="92"/>
              </w:rPr>
              <w:t>Management’s Discussion and Analysis of Financial Condition and Results of Operation</w:t>
            </w:r>
          </w:p>
        </w:tc>
      </w:tr>
    </w:tbl>
    <w:p>
      <w:pPr>
        <w:spacing w:after="0" w:line="212" w:lineRule="exact"/>
        <w:rPr>
          <w:sz w:val="24"/>
          <w:szCs w:val="24"/>
          <w:color w:val="auto"/>
        </w:rPr>
      </w:pPr>
    </w:p>
    <w:p>
      <w:pPr>
        <w:ind w:left="960"/>
        <w:spacing w:after="0"/>
        <w:rPr>
          <w:sz w:val="20"/>
          <w:szCs w:val="20"/>
          <w:color w:val="auto"/>
        </w:rPr>
      </w:pPr>
      <w:r>
        <w:rPr>
          <w:rFonts w:ascii="Arial" w:cs="Arial" w:eastAsia="Arial" w:hAnsi="Arial"/>
          <w:sz w:val="16"/>
          <w:szCs w:val="16"/>
          <w:color w:val="auto"/>
        </w:rPr>
        <w:t>Unaudited Condensed Consolidated Financial Statements</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SIGNATURES</w:t>
      </w:r>
    </w:p>
    <w:p>
      <w:pPr>
        <w:spacing w:after="0" w:line="235" w:lineRule="exact"/>
        <w:rPr>
          <w:sz w:val="24"/>
          <w:szCs w:val="24"/>
          <w:color w:val="auto"/>
        </w:rPr>
      </w:pPr>
    </w:p>
    <w:p>
      <w:pPr>
        <w:ind w:right="320" w:firstLine="35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Date: May 4, 2018</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6"/>
          <w:szCs w:val="16"/>
          <w:color w:val="auto"/>
        </w:rPr>
        <w:t>GASLOG LTD.,</w:t>
      </w:r>
    </w:p>
    <w:p>
      <w:pPr>
        <w:spacing w:after="0" w:line="221" w:lineRule="exact"/>
        <w:rPr>
          <w:sz w:val="24"/>
          <w:szCs w:val="24"/>
          <w:color w:val="auto"/>
        </w:rPr>
      </w:pPr>
    </w:p>
    <w:p>
      <w:pPr>
        <w:ind w:left="6080"/>
        <w:spacing w:after="0"/>
        <w:tabs>
          <w:tab w:leader="none" w:pos="64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Paul Wogan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4121785</wp:posOffset>
            </wp:positionH>
            <wp:positionV relativeFrom="paragraph">
              <wp:posOffset>17780</wp:posOffset>
            </wp:positionV>
            <wp:extent cx="3129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2" w:lineRule="exact"/>
        <w:rPr>
          <w:sz w:val="24"/>
          <w:szCs w:val="24"/>
          <w:color w:val="auto"/>
        </w:rPr>
      </w:pPr>
    </w:p>
    <w:p>
      <w:pPr>
        <w:ind w:left="6500"/>
        <w:spacing w:after="0"/>
        <w:tabs>
          <w:tab w:leader="none" w:pos="70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Paul Wogan</w:t>
      </w:r>
    </w:p>
    <w:p>
      <w:pPr>
        <w:spacing w:after="0" w:line="22" w:lineRule="exact"/>
        <w:rPr>
          <w:sz w:val="24"/>
          <w:szCs w:val="24"/>
          <w:color w:val="auto"/>
        </w:rPr>
      </w:pPr>
    </w:p>
    <w:p>
      <w:pPr>
        <w:ind w:left="6500"/>
        <w:spacing w:after="0"/>
        <w:tabs>
          <w:tab w:leader="none" w:pos="7040" w:val="left"/>
        </w:tabs>
        <w:rPr>
          <w:sz w:val="20"/>
          <w:szCs w:val="20"/>
          <w:color w:val="auto"/>
        </w:rPr>
      </w:pPr>
      <w:r>
        <w:rPr>
          <w:rFonts w:ascii="Arial" w:cs="Arial" w:eastAsia="Arial" w:hAnsi="Arial"/>
          <w:sz w:val="16"/>
          <w:szCs w:val="16"/>
          <w:color w:val="auto"/>
        </w:rPr>
        <w:t>Title:</w:t>
        <w:tab/>
        <w:t>Chief Executive Officer</w:t>
      </w:r>
    </w:p>
    <w:p>
      <w:pPr>
        <w:spacing w:after="0" w:line="222"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445" w:right="199" w:bottom="136" w:gutter="0" w:footer="0" w:header="0"/>
        </w:sectPr>
      </w:pPr>
    </w:p>
    <w:bookmarkStart w:id="1" w:name="page2"/>
    <w:bookmarkEnd w:id="1"/>
    <w:p>
      <w:pPr>
        <w:ind w:left="10580"/>
        <w:spacing w:after="0"/>
        <w:rPr>
          <w:sz w:val="20"/>
          <w:szCs w:val="20"/>
          <w:color w:val="auto"/>
        </w:rPr>
      </w:pPr>
      <w:r>
        <w:rPr>
          <w:rFonts w:ascii="Arial" w:cs="Arial" w:eastAsia="Arial" w:hAnsi="Arial"/>
          <w:sz w:val="15"/>
          <w:szCs w:val="15"/>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Quarter Ended March 31, 2018</w:t>
      </w:r>
    </w:p>
    <w:p>
      <w:pPr>
        <w:spacing w:after="0" w:line="22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Monaco, May 4, 2018, GasLog Ltd. and its subsidiaries (“GasLog” or “Group” or “Company”) (NYSE: GLOG)</w:t>
      </w:r>
      <w:r>
        <w:rPr>
          <w:rFonts w:ascii="Arial" w:cs="Arial" w:eastAsia="Arial" w:hAnsi="Arial"/>
          <w:sz w:val="16"/>
          <w:szCs w:val="16"/>
          <w:color w:val="auto"/>
        </w:rPr>
        <w:t>, an international owner, operator and manager of</w:t>
      </w:r>
      <w:r>
        <w:rPr>
          <w:rFonts w:ascii="Arial" w:cs="Arial" w:eastAsia="Arial" w:hAnsi="Arial"/>
          <w:sz w:val="16"/>
          <w:szCs w:val="16"/>
          <w:b w:val="1"/>
          <w:bCs w:val="1"/>
          <w:color w:val="auto"/>
        </w:rPr>
        <w:t xml:space="preserve"> </w:t>
      </w:r>
      <w:r>
        <w:rPr>
          <w:rFonts w:ascii="Arial" w:cs="Arial" w:eastAsia="Arial" w:hAnsi="Arial"/>
          <w:sz w:val="16"/>
          <w:szCs w:val="16"/>
          <w:color w:val="auto"/>
        </w:rPr>
        <w:t>liquefied natural gas (“LNG”) carriers, today reported its financial results for the quarter ended March 31, 2018.</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12" w:lineRule="exact"/>
        <w:rPr>
          <w:sz w:val="20"/>
          <w:szCs w:val="20"/>
          <w:color w:val="auto"/>
        </w:rPr>
      </w:pPr>
    </w:p>
    <w:p>
      <w:pPr>
        <w:ind w:left="620" w:hanging="612"/>
        <w:spacing w:after="0"/>
        <w:tabs>
          <w:tab w:leader="none" w:pos="620" w:val="left"/>
        </w:tabs>
        <w:numPr>
          <w:ilvl w:val="0"/>
          <w:numId w:val="1"/>
        </w:numPr>
        <w:rPr>
          <w:rFonts w:ascii="Arial" w:cs="Arial" w:eastAsia="Arial" w:hAnsi="Arial"/>
          <w:sz w:val="14"/>
          <w:szCs w:val="14"/>
          <w:color w:val="auto"/>
        </w:rPr>
      </w:pPr>
      <w:r>
        <w:rPr>
          <w:rFonts w:ascii="Arial" w:cs="Arial" w:eastAsia="Arial" w:hAnsi="Arial"/>
          <w:sz w:val="15"/>
          <w:szCs w:val="15"/>
          <w:color w:val="auto"/>
        </w:rPr>
        <w:t>Record quarterly Revenues of $138.5 million (Q1 2017: $128.3 million). Profit of $42.5 million (Q1 2017: $23.4 million) and Earnings per share of $0.21</w:t>
      </w:r>
      <w:r>
        <w:rPr>
          <w:rFonts w:ascii="Arial" w:cs="Arial" w:eastAsia="Arial" w:hAnsi="Arial"/>
          <w:sz w:val="20"/>
          <w:szCs w:val="20"/>
          <w:color w:val="auto"/>
          <w:vertAlign w:val="superscript"/>
        </w:rPr>
        <w:t>(1)</w:t>
      </w:r>
      <w:r>
        <w:rPr>
          <w:rFonts w:ascii="Arial" w:cs="Arial" w:eastAsia="Arial" w:hAnsi="Arial"/>
          <w:sz w:val="15"/>
          <w:szCs w:val="15"/>
          <w:color w:val="auto"/>
        </w:rPr>
        <w:t xml:space="preserve"> (Q1</w:t>
      </w:r>
    </w:p>
    <w:p>
      <w:pPr>
        <w:ind w:left="660"/>
        <w:spacing w:after="0"/>
        <w:rPr>
          <w:rFonts w:ascii="Arial" w:cs="Arial" w:eastAsia="Arial" w:hAnsi="Arial"/>
          <w:sz w:val="14"/>
          <w:szCs w:val="14"/>
          <w:color w:val="auto"/>
        </w:rPr>
      </w:pPr>
      <w:r>
        <w:rPr>
          <w:rFonts w:ascii="Arial" w:cs="Arial" w:eastAsia="Arial" w:hAnsi="Arial"/>
          <w:sz w:val="16"/>
          <w:szCs w:val="16"/>
          <w:color w:val="auto"/>
        </w:rPr>
        <w:t>2017: $0.08) for the quarter ended March 31, 2018.</w:t>
      </w:r>
    </w:p>
    <w:p>
      <w:pPr>
        <w:spacing w:after="0" w:line="187" w:lineRule="exact"/>
        <w:rPr>
          <w:rFonts w:ascii="Arial" w:cs="Arial" w:eastAsia="Arial" w:hAnsi="Arial"/>
          <w:sz w:val="14"/>
          <w:szCs w:val="14"/>
          <w:color w:val="auto"/>
        </w:rPr>
      </w:pPr>
    </w:p>
    <w:p>
      <w:pPr>
        <w:ind w:left="620" w:hanging="612"/>
        <w:spacing w:after="0"/>
        <w:tabs>
          <w:tab w:leader="none" w:pos="620" w:val="left"/>
        </w:tabs>
        <w:numPr>
          <w:ilvl w:val="0"/>
          <w:numId w:val="1"/>
        </w:numPr>
        <w:rPr>
          <w:rFonts w:ascii="Arial" w:cs="Arial" w:eastAsia="Arial" w:hAnsi="Arial"/>
          <w:sz w:val="14"/>
          <w:szCs w:val="14"/>
          <w:color w:val="auto"/>
        </w:rPr>
      </w:pPr>
      <w:r>
        <w:rPr>
          <w:rFonts w:ascii="Arial" w:cs="Arial" w:eastAsia="Arial" w:hAnsi="Arial"/>
          <w:sz w:val="15"/>
          <w:szCs w:val="15"/>
          <w:color w:val="auto"/>
        </w:rPr>
        <w:t>Record quarterly EBITDA</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of $95.9 million (Q1 2017: $89.1 million) and Adjusted EBITDA</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of $95.5 million (Q1 2017: $89.3 million). Adjusted Profit</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of</w:t>
      </w:r>
    </w:p>
    <w:p>
      <w:pPr>
        <w:ind w:left="660" w:right="200"/>
        <w:spacing w:after="0" w:line="226" w:lineRule="auto"/>
        <w:rPr>
          <w:sz w:val="20"/>
          <w:szCs w:val="20"/>
          <w:color w:val="auto"/>
        </w:rPr>
      </w:pPr>
      <w:r>
        <w:rPr>
          <w:rFonts w:ascii="Arial" w:cs="Arial" w:eastAsia="Arial" w:hAnsi="Arial"/>
          <w:sz w:val="16"/>
          <w:szCs w:val="16"/>
          <w:color w:val="auto"/>
        </w:rPr>
        <w:t>$25.3 million (Q1 2017: $21.9 million) and Adjusted Loss per share</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$0.01</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(Q1 2017: Adjusted Earnings per share of $0.06) for the quarter ended March 31, 2018.</w:t>
      </w:r>
    </w:p>
    <w:p>
      <w:pPr>
        <w:spacing w:after="0" w:line="199" w:lineRule="exact"/>
        <w:rPr>
          <w:sz w:val="20"/>
          <w:szCs w:val="20"/>
          <w:color w:val="auto"/>
        </w:rPr>
      </w:pPr>
    </w:p>
    <w:p>
      <w:pPr>
        <w:ind w:left="620" w:hanging="612"/>
        <w:spacing w:after="0"/>
        <w:tabs>
          <w:tab w:leader="none" w:pos="620" w:val="left"/>
        </w:tabs>
        <w:numPr>
          <w:ilvl w:val="0"/>
          <w:numId w:val="2"/>
        </w:numPr>
        <w:rPr>
          <w:rFonts w:ascii="Arial" w:cs="Arial" w:eastAsia="Arial" w:hAnsi="Arial"/>
          <w:sz w:val="14"/>
          <w:szCs w:val="14"/>
          <w:color w:val="auto"/>
        </w:rPr>
      </w:pPr>
      <w:r>
        <w:rPr>
          <w:rFonts w:ascii="Arial" w:cs="Arial" w:eastAsia="Arial" w:hAnsi="Arial"/>
          <w:sz w:val="16"/>
          <w:szCs w:val="16"/>
          <w:color w:val="auto"/>
        </w:rPr>
        <w:t>7.1% increase in the quarterly dividend to $0.15 per common share payable on May 24, 2018.</w:t>
      </w:r>
    </w:p>
    <w:p>
      <w:pPr>
        <w:spacing w:after="0" w:line="221" w:lineRule="exact"/>
        <w:rPr>
          <w:rFonts w:ascii="Arial" w:cs="Arial" w:eastAsia="Arial" w:hAnsi="Arial"/>
          <w:sz w:val="14"/>
          <w:szCs w:val="14"/>
          <w:color w:val="auto"/>
        </w:rPr>
      </w:pPr>
    </w:p>
    <w:p>
      <w:pPr>
        <w:ind w:left="660" w:right="20" w:hanging="652"/>
        <w:spacing w:after="0" w:line="293" w:lineRule="auto"/>
        <w:tabs>
          <w:tab w:leader="none" w:pos="628" w:val="left"/>
        </w:tabs>
        <w:numPr>
          <w:ilvl w:val="0"/>
          <w:numId w:val="2"/>
        </w:numPr>
        <w:rPr>
          <w:rFonts w:ascii="Arial" w:cs="Arial" w:eastAsia="Arial" w:hAnsi="Arial"/>
          <w:sz w:val="14"/>
          <w:szCs w:val="14"/>
          <w:color w:val="auto"/>
        </w:rPr>
      </w:pPr>
      <w:r>
        <w:rPr>
          <w:rFonts w:ascii="Arial" w:cs="Arial" w:eastAsia="Arial" w:hAnsi="Arial"/>
          <w:sz w:val="16"/>
          <w:szCs w:val="16"/>
          <w:color w:val="auto"/>
        </w:rPr>
        <w:t xml:space="preserve">Delivery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on January 8, 2018 and, post quarter-end, completion of a short-term time charter agreement with a major LNG producer. The vessel is scheduled to commence a multi-year time charter with a subsidiary of Royal Dutch Shell plc (“Shell”) in December 2018.</w:t>
      </w:r>
    </w:p>
    <w:p>
      <w:pPr>
        <w:spacing w:after="0" w:line="158" w:lineRule="exact"/>
        <w:rPr>
          <w:rFonts w:ascii="Arial" w:cs="Arial" w:eastAsia="Arial" w:hAnsi="Arial"/>
          <w:sz w:val="14"/>
          <w:szCs w:val="14"/>
          <w:color w:val="auto"/>
        </w:rPr>
      </w:pPr>
    </w:p>
    <w:p>
      <w:pPr>
        <w:ind w:left="660" w:right="540" w:hanging="652"/>
        <w:spacing w:after="0" w:line="278" w:lineRule="auto"/>
        <w:tabs>
          <w:tab w:leader="none" w:pos="628" w:val="left"/>
        </w:tabs>
        <w:numPr>
          <w:ilvl w:val="0"/>
          <w:numId w:val="2"/>
        </w:numPr>
        <w:rPr>
          <w:rFonts w:ascii="Arial" w:cs="Arial" w:eastAsia="Arial" w:hAnsi="Arial"/>
          <w:sz w:val="14"/>
          <w:szCs w:val="14"/>
          <w:color w:val="auto"/>
        </w:rPr>
      </w:pPr>
      <w:r>
        <w:rPr>
          <w:rFonts w:ascii="Arial" w:cs="Arial" w:eastAsia="Arial" w:hAnsi="Arial"/>
          <w:sz w:val="16"/>
          <w:szCs w:val="16"/>
          <w:color w:val="auto"/>
        </w:rPr>
        <w:t xml:space="preserve">Delivery of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on March 20, 2018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on March 29, 2018, two 174,000 cubic meters (“cbm”) LNG carriers with low pressure dual-fuel two-stroke engine propulsion (“LP-2S”) and commencement of their time charter agreements with Total Gas &amp; Power Chartering Limited (“Total”), a wholly owned subsidiary of Total S.A. and Shell, respectively.</w:t>
      </w:r>
    </w:p>
    <w:p>
      <w:pPr>
        <w:spacing w:after="0" w:line="170" w:lineRule="exact"/>
        <w:rPr>
          <w:rFonts w:ascii="Arial" w:cs="Arial" w:eastAsia="Arial" w:hAnsi="Arial"/>
          <w:sz w:val="14"/>
          <w:szCs w:val="14"/>
          <w:color w:val="auto"/>
        </w:rPr>
      </w:pPr>
    </w:p>
    <w:p>
      <w:pPr>
        <w:ind w:left="660" w:right="360" w:hanging="652"/>
        <w:spacing w:after="0" w:line="293" w:lineRule="auto"/>
        <w:tabs>
          <w:tab w:leader="none" w:pos="628" w:val="left"/>
        </w:tabs>
        <w:numPr>
          <w:ilvl w:val="0"/>
          <w:numId w:val="2"/>
        </w:numPr>
        <w:rPr>
          <w:rFonts w:ascii="Arial" w:cs="Arial" w:eastAsia="Arial" w:hAnsi="Arial"/>
          <w:sz w:val="14"/>
          <w:szCs w:val="14"/>
          <w:color w:val="auto"/>
        </w:rPr>
      </w:pPr>
      <w:r>
        <w:rPr>
          <w:rFonts w:ascii="Arial" w:cs="Arial" w:eastAsia="Arial" w:hAnsi="Arial"/>
          <w:sz w:val="16"/>
          <w:szCs w:val="16"/>
          <w:color w:val="auto"/>
        </w:rPr>
        <w:t>Ordered two 180,000 cbm newbuild LNG carriers from Samsung Heavy Industries Co., Ltd. (“Samsung”) with LP-2S propulsion, with scheduled delivery in the second quarter of 2020.</w:t>
      </w:r>
    </w:p>
    <w:p>
      <w:pPr>
        <w:spacing w:after="0" w:line="158" w:lineRule="exact"/>
        <w:rPr>
          <w:rFonts w:ascii="Arial" w:cs="Arial" w:eastAsia="Arial" w:hAnsi="Arial"/>
          <w:sz w:val="14"/>
          <w:szCs w:val="14"/>
          <w:color w:val="auto"/>
        </w:rPr>
      </w:pPr>
    </w:p>
    <w:p>
      <w:pPr>
        <w:ind w:left="660" w:right="220" w:hanging="652"/>
        <w:spacing w:after="0" w:line="293" w:lineRule="auto"/>
        <w:tabs>
          <w:tab w:leader="none" w:pos="628" w:val="left"/>
        </w:tabs>
        <w:numPr>
          <w:ilvl w:val="0"/>
          <w:numId w:val="2"/>
        </w:numPr>
        <w:rPr>
          <w:rFonts w:ascii="Arial" w:cs="Arial" w:eastAsia="Arial" w:hAnsi="Arial"/>
          <w:sz w:val="14"/>
          <w:szCs w:val="14"/>
          <w:color w:val="auto"/>
        </w:rPr>
      </w:pPr>
      <w:r>
        <w:rPr>
          <w:rFonts w:ascii="Arial" w:cs="Arial" w:eastAsia="Arial" w:hAnsi="Arial"/>
          <w:sz w:val="16"/>
          <w:szCs w:val="16"/>
          <w:color w:val="auto"/>
        </w:rPr>
        <w:t xml:space="preserve">Announced and, post quarter-end, completed the sale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to GasLog Partners LP (“GasLog Partners” or the “Partnership”) for $207.0 million. Part of the consideration was satisfied by the private issuance of $45.0 million of common units in GasLog Partners to GasLog.</w:t>
      </w:r>
    </w:p>
    <w:p>
      <w:pPr>
        <w:spacing w:after="0" w:line="158" w:lineRule="exact"/>
        <w:rPr>
          <w:rFonts w:ascii="Arial" w:cs="Arial" w:eastAsia="Arial" w:hAnsi="Arial"/>
          <w:sz w:val="14"/>
          <w:szCs w:val="14"/>
          <w:color w:val="auto"/>
        </w:rPr>
      </w:pPr>
    </w:p>
    <w:p>
      <w:pPr>
        <w:ind w:left="660" w:right="420" w:hanging="652"/>
        <w:spacing w:after="0" w:line="293" w:lineRule="auto"/>
        <w:tabs>
          <w:tab w:leader="none" w:pos="628" w:val="left"/>
        </w:tabs>
        <w:numPr>
          <w:ilvl w:val="0"/>
          <w:numId w:val="2"/>
        </w:numPr>
        <w:rPr>
          <w:rFonts w:ascii="Arial" w:cs="Arial" w:eastAsia="Arial" w:hAnsi="Arial"/>
          <w:sz w:val="14"/>
          <w:szCs w:val="14"/>
          <w:color w:val="auto"/>
        </w:rPr>
      </w:pPr>
      <w:r>
        <w:rPr>
          <w:rFonts w:ascii="Arial" w:cs="Arial" w:eastAsia="Arial" w:hAnsi="Arial"/>
          <w:sz w:val="16"/>
          <w:szCs w:val="16"/>
          <w:color w:val="auto"/>
        </w:rPr>
        <w:t>On February 23, 2018, GasLog signed the Operation and Maintenance (“O&amp;M”) agreement for the provision of related services to the Alexandroupolis floating storage and regasification unit (“FSRU”) project (the “Alexandroupolis Project”).</w:t>
      </w:r>
    </w:p>
    <w:p>
      <w:pPr>
        <w:spacing w:after="0" w:line="158" w:lineRule="exact"/>
        <w:rPr>
          <w:rFonts w:ascii="Arial" w:cs="Arial" w:eastAsia="Arial" w:hAnsi="Arial"/>
          <w:sz w:val="14"/>
          <w:szCs w:val="14"/>
          <w:color w:val="auto"/>
        </w:rPr>
      </w:pPr>
    </w:p>
    <w:p>
      <w:pPr>
        <w:ind w:left="660" w:right="720" w:hanging="652"/>
        <w:spacing w:after="0" w:line="293" w:lineRule="auto"/>
        <w:tabs>
          <w:tab w:leader="none" w:pos="628" w:val="left"/>
        </w:tabs>
        <w:numPr>
          <w:ilvl w:val="0"/>
          <w:numId w:val="2"/>
        </w:numPr>
        <w:rPr>
          <w:rFonts w:ascii="Arial" w:cs="Arial" w:eastAsia="Arial" w:hAnsi="Arial"/>
          <w:sz w:val="14"/>
          <w:szCs w:val="14"/>
          <w:color w:val="auto"/>
        </w:rPr>
      </w:pPr>
      <w:r>
        <w:rPr>
          <w:rFonts w:ascii="Arial" w:cs="Arial" w:eastAsia="Arial" w:hAnsi="Arial"/>
          <w:sz w:val="16"/>
          <w:szCs w:val="16"/>
          <w:color w:val="auto"/>
        </w:rPr>
        <w:t>GasLog Partners completed a public offering of 8.200% Series B Cumulative Redeemable Perpetual Fixed to Floating Rate Preference Units (the “Series B Preference Units”), raising gross proceeds of $115.0 million and net proceeds of $111.2 million.</w:t>
      </w:r>
    </w:p>
    <w:p>
      <w:pPr>
        <w:spacing w:after="0" w:line="163" w:lineRule="exact"/>
        <w:rPr>
          <w:sz w:val="20"/>
          <w:szCs w:val="20"/>
          <w:color w:val="auto"/>
        </w:rPr>
      </w:pPr>
    </w:p>
    <w:p>
      <w:pPr>
        <w:ind w:left="140" w:right="240" w:hanging="132"/>
        <w:spacing w:after="0" w:line="222" w:lineRule="auto"/>
        <w:tabs>
          <w:tab w:leader="none" w:pos="153"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Earnings/(loss) per share (“EPS”) and Adjusted EPS are net of the profit attributable to the non-controlling interests of $23.2 million and the dividend on preferred stock of $2.5 million for the quarter ended March 31, 2018 ($14.6 million and $2.5 million, respectively, for the quarter ended March 31, 2017).</w:t>
      </w:r>
    </w:p>
    <w:p>
      <w:pPr>
        <w:spacing w:after="0" w:line="102" w:lineRule="exact"/>
        <w:rPr>
          <w:rFonts w:ascii="Arial" w:cs="Arial" w:eastAsia="Arial" w:hAnsi="Arial"/>
          <w:sz w:val="17"/>
          <w:szCs w:val="17"/>
          <w:color w:val="auto"/>
          <w:vertAlign w:val="superscript"/>
        </w:rPr>
      </w:pPr>
    </w:p>
    <w:p>
      <w:pPr>
        <w:jc w:val="both"/>
        <w:ind w:left="140" w:hanging="132"/>
        <w:spacing w:after="0" w:line="222" w:lineRule="auto"/>
        <w:tabs>
          <w:tab w:leader="none" w:pos="153"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Paul Wogan, Chief Executive Officer, stated: “I am pleased to report another record quarter of revenues and EBITDA for GasLog, driven by the initial contribution of our 2018 newbuild deliveries and the stronger performance of the vessels operating in the LNG carrier pooling arrangement (the “Cool Pool”). On the back of our improving financial performance, our strong balance sheet and our confidence in the long-term prospects for the company, I am delighted to announce a 7.1% increase in our quarterly dividend to $0.15 per share.</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 xml:space="preserve">During the quarter, we continued to execute on our business plan, taking delivery of three newbuilds,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all on time and on budget. Due to their fuel efficient engines and low boil-off rate, these vessels will have highly competitive unit freight costs. We also continued to execute on our long-term growth strategy, recycling capital through the drop-down of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to GasLog Partners and ordering two newbuild LNG carriers for delivery in the second quarter of 2020. In addition, GasLog Partners announced two charter agreements with a new customer, simultaneously meeting key objectives of increasing the Partnership’s contracted revenues and diversifying its customer base.</w:t>
      </w:r>
    </w:p>
    <w:p>
      <w:pPr>
        <w:spacing w:after="0" w:line="19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During the quarter, global LNG supply continued to increase, with Wood Mackenzie forecasting 9% growth in volumes during 2018. Although no new supply projects have yet taken a final investment decision (“FID”) in 2018, several major projects continue to make progress and we remain confident that additional liquefaction capacity will be sanctioned in 2018 and 2019.</w:t>
      </w:r>
    </w:p>
    <w:p>
      <w:pPr>
        <w:spacing w:after="0" w:line="18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As expected, LNG carrier spot rates experienced a seasonal decline from the multi-year highs of Q4 2017. However, headline spot rates remain higher year-on-year, and there are signs that rates have bottomed out as buyers now look to source supply for cooling demand in the Northern Hemisphere summer and heating demand in the Southern Hemisphere winter. We expect rates to strengthen in the second half of this year.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324" w:lineRule="auto"/>
        <w:rPr>
          <w:sz w:val="20"/>
          <w:szCs w:val="20"/>
          <w:color w:val="auto"/>
        </w:rPr>
      </w:pPr>
      <w:r>
        <w:rPr>
          <w:rFonts w:ascii="Arial" w:cs="Arial" w:eastAsia="Arial" w:hAnsi="Arial"/>
          <w:sz w:val="14"/>
          <w:szCs w:val="14"/>
          <w:color w:val="auto"/>
        </w:rPr>
        <w:t>The Alexandroupolis Project continues to make good progress and we signed the O&amp;M agreement during the quarter. Negotiations with the Greek national gas utility, DEPA, and Bulgarian Energy Holding (“BEH”) regarding equity participation in Gastrade S.A. (“Gastrade”) are ongoing and, as noted in the Press Release of May 3, 2018 issued by Gastrade and DEPA, the Managing Directors of DEPA and Gastrade reached agreement regarding the future reservation of capacity in the terminal by DEPA. In addition, BEH confirmed its intention to speed up the respective negotiations for the completion of its own participation in the project. FID is still expected in the fourth quarter of 2018.”</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39" w:lineRule="exact"/>
        <w:rPr>
          <w:sz w:val="20"/>
          <w:szCs w:val="20"/>
          <w:color w:val="auto"/>
        </w:rPr>
      </w:pPr>
    </w:p>
    <w:p>
      <w:pPr>
        <w:spacing w:after="0" w:line="335" w:lineRule="auto"/>
        <w:rPr>
          <w:sz w:val="20"/>
          <w:szCs w:val="20"/>
          <w:color w:val="auto"/>
        </w:rPr>
      </w:pPr>
      <w:r>
        <w:rPr>
          <w:rFonts w:ascii="Arial" w:cs="Arial" w:eastAsia="Arial" w:hAnsi="Arial"/>
          <w:sz w:val="14"/>
          <w:szCs w:val="14"/>
          <w:color w:val="auto"/>
        </w:rPr>
        <w:t>Global LNG production continued to grow in Q1 2018, registering a 10% year-on-year increase and a 2% increase over Q4 2017 as measured by Wood Mackenzie. The ramp-up of the Yamal project in Russia has outperformed expectations, the first commercial cargo from Cove Point in the United States was exported in April and legacy liquefaction capacity operated at high utilization to take advantage of the high prices caused by strong demand growth partly driven by the cold Northern Hemisphere winter. However, new</w:t>
      </w:r>
    </w:p>
    <w:p>
      <w:pPr>
        <w:sectPr>
          <w:pgSz w:w="11900" w:h="16838" w:orient="portrait"/>
          <w:cols w:equalWidth="0" w:num="1">
            <w:col w:w="11420"/>
          </w:cols>
          <w:pgMar w:left="240" w:top="126" w:right="239" w:bottom="0" w:gutter="0" w:footer="0" w:header="0"/>
        </w:sectPr>
      </w:pPr>
    </w:p>
    <w:bookmarkStart w:id="2" w:name="page3"/>
    <w:bookmarkEnd w:id="2"/>
    <w:p>
      <w:pPr>
        <w:spacing w:after="0" w:line="2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supply growth was partly offset by several plant outages, principally at PNG LNG following an earthquake in late February, and shorter outages of other projects in Malaysia, Russia and Peru.</w:t>
      </w:r>
    </w:p>
    <w:p>
      <w:pPr>
        <w:spacing w:after="0" w:line="172"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While a number of projects expected onstream in 2018 have experienced delays, Wood Mackenzie currently expects that some 29 million tonnes per annum (“mtpa”) of capacity will enter commercial service between Q2 and Q4 2018, underpinning the forecasted 2018 supply of 325 mtpa, or 9% growth over 2017. Among the projects which Wood Mackenzie expects onstream in 2018 are Wheatstone Train 2 (Q2), Ichthys (Q3) and Prelude (Q4) in Australia, Cameroon floating LNG (Q2) and the second train at Yamal (Q4). A further 51 mtpa is forecast by Wood Mackenzie to come onstream over the 2019-2021 period. These estimates reflect recent news flow on the expected commissioning dates of the Ichthys, Freeport and Prelude projects.</w:t>
      </w:r>
    </w:p>
    <w:p>
      <w:pPr>
        <w:spacing w:after="0" w:line="190"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According to Wood Mackenzie, in Q1 2018, 10 mtpa of long-term supply contracts were agreed, bringing the total volume of long-term supply contracts signed since the beginning of 2017 to 37 mtpa, demonstrating strengthening interest from LNG buyers and potential support for sanctioning of further liquefaction capacity. Also during the first quarter, a number of potential new projects continued to make good progress towards FID, including projects in the United States such as Corpus Christi Train 3, in Canada (boosted by British Columbia tax relief proposals) and in Mozambique (the Area 1 project), as well as the announcement by the PNG LNG partners of reaching an agreement on plans to double exports from Papua New Guinea’s LNG facility to 16 mtpa.</w:t>
      </w:r>
    </w:p>
    <w:p>
      <w:pPr>
        <w:spacing w:after="0" w:line="190" w:lineRule="exact"/>
        <w:rPr>
          <w:sz w:val="20"/>
          <w:szCs w:val="20"/>
          <w:color w:val="auto"/>
        </w:rPr>
      </w:pPr>
    </w:p>
    <w:p>
      <w:pPr>
        <w:ind w:right="180"/>
        <w:spacing w:after="0" w:line="273" w:lineRule="auto"/>
        <w:rPr>
          <w:sz w:val="20"/>
          <w:szCs w:val="20"/>
          <w:color w:val="auto"/>
        </w:rPr>
      </w:pPr>
      <w:r>
        <w:rPr>
          <w:rFonts w:ascii="Arial" w:cs="Arial" w:eastAsia="Arial" w:hAnsi="Arial"/>
          <w:sz w:val="16"/>
          <w:szCs w:val="16"/>
          <w:color w:val="auto"/>
        </w:rPr>
        <w:t>LNG market participants continue to forecast significant growth in LNG demand. Consensus compound annual growth rate in LNG demand of 6% is forecast over the 2017-2025 period. Based upon Wood Mackenzie’s forecasts of supply either onstream or under construction, this suggests the market may be short of LNG as soon as 2020, reiterating the need for further LNG supply projects to be sanctioned in the near-term. LNG continues to be seen as an attractive way to diversify energy imports, with Germany being the most recent country to articulate plans to develop LNG import infrastructure.</w:t>
      </w:r>
    </w:p>
    <w:p>
      <w:pPr>
        <w:spacing w:after="0" w:line="189"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As measured by Poten, tonne miles in Q1 2018 were 18% higher year on year, continuing the significant growth trend seen in 2017. Structural changes in the LNG market, such as fragmentation of market participants, the increasing market share of portfolio suppliers such as Shell, Total and BP plc and commodity traders, and a move away from destination clauses in supply contracts are all increasing the amount of LNG traded and bode well for further increases in tonne miles.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Headline spot TFDE LNG shipping rates as reported by Clarksons have exhibited seasonal weakness in recent months, declining to $38,000 per day in late April from approximately $80,000 per day at the beginning of the year. The decline has been more rapid than expected and exacerbated by a number of one-off factors, including the unplanned downtime at LNG facilities mentioned above, delays in the commissioning of new liquefaction supply and the delivery of 18 newbuild LNG carriers during the first quarter of 2018. Nonetheless, current spot rates of $42,000 are 40% ahead of levels from a year ago. While the market may continue to be affected by seasonal factors driving LNG supply and demand, and there may be further delays to the commissioning of new liquefaction projects currently under construction, we remain optimistic that a tightening shipping market, driven by the positive outlook for LNG demand growth and the evolving LNG shipping market, will result in spot rates improving from current levels over time.</w:t>
      </w:r>
    </w:p>
    <w:p>
      <w:pPr>
        <w:spacing w:after="0" w:line="191"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This positive outlook and the perceived requirement for new ships have resulted in 18 firm newbuild LNG carrier orders so far in 2018, of which two are GasLog vessels. Based on our analysis of expected LNG demand, between 35 and 62 additional LNG carriers will be needed by the end of 2022 and potentially as many as 117 vessels by 2025 to satisfy projected market growth.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239" w:lineRule="exact"/>
        <w:rPr>
          <w:sz w:val="20"/>
          <w:szCs w:val="20"/>
          <w:color w:val="auto"/>
        </w:rPr>
      </w:pPr>
    </w:p>
    <w:p>
      <w:pPr>
        <w:jc w:val="both"/>
        <w:spacing w:after="0" w:line="318" w:lineRule="auto"/>
        <w:rPr>
          <w:sz w:val="20"/>
          <w:szCs w:val="20"/>
          <w:color w:val="auto"/>
        </w:rPr>
      </w:pPr>
      <w:r>
        <w:rPr>
          <w:rFonts w:ascii="Arial" w:cs="Arial" w:eastAsia="Arial" w:hAnsi="Arial"/>
          <w:sz w:val="14"/>
          <w:szCs w:val="14"/>
          <w:color w:val="auto"/>
        </w:rPr>
        <w:t xml:space="preserve">GasLog Partners entered into agreements with a new customer for two new charters plus options for an additional two charters, exercisable by the charterer. The agreements include an approximately three-and-a-half-year charter for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 155,000 cbm tri-fuel diesel electric (“TFDE”) LNG carrier built in 2013, commencing in either August or September 2018 at the Partnership’s option, and a one-year charter for a 145,000 cbm steam-powered (“Steam”) vessel (either the 2006-built </w:t>
      </w:r>
      <w:r>
        <w:rPr>
          <w:rFonts w:ascii="Arial" w:cs="Arial" w:eastAsia="Arial" w:hAnsi="Arial"/>
          <w:sz w:val="14"/>
          <w:szCs w:val="14"/>
          <w:i w:val="1"/>
          <w:iCs w:val="1"/>
          <w:color w:val="auto"/>
        </w:rPr>
        <w:t>Methane Jane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Elizabeth </w:t>
      </w:r>
      <w:r>
        <w:rPr>
          <w:rFonts w:ascii="Arial" w:cs="Arial" w:eastAsia="Arial" w:hAnsi="Arial"/>
          <w:sz w:val="14"/>
          <w:szCs w:val="14"/>
          <w:color w:val="auto"/>
        </w:rPr>
        <w:t>or the 2007-built</w:t>
      </w:r>
      <w:r>
        <w:rPr>
          <w:rFonts w:ascii="Arial" w:cs="Arial" w:eastAsia="Arial" w:hAnsi="Arial"/>
          <w:sz w:val="14"/>
          <w:szCs w:val="14"/>
          <w:i w:val="1"/>
          <w:iCs w:val="1"/>
          <w:color w:val="auto"/>
        </w:rPr>
        <w:t xml:space="preserve"> Methane Alison Victoria </w:t>
      </w:r>
      <w:r>
        <w:rPr>
          <w:rFonts w:ascii="Arial" w:cs="Arial" w:eastAsia="Arial" w:hAnsi="Arial"/>
          <w:sz w:val="14"/>
          <w:szCs w:val="14"/>
          <w:color w:val="auto"/>
        </w:rPr>
        <w:t>as nominated by the Partnership) commencing in either November or December 2019 at the Partnership’s option.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charterer has options to extend the first charter for up to an additional seven years and the second charter for up to an additional four years, both at escalating rates.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Houston,</w:t>
      </w:r>
      <w:r>
        <w:rPr>
          <w:rFonts w:ascii="Arial" w:cs="Arial" w:eastAsia="Arial" w:hAnsi="Arial"/>
          <w:sz w:val="16"/>
          <w:szCs w:val="16"/>
          <w:b w:val="1"/>
          <w:bCs w:val="1"/>
          <w:u w:val="single" w:color="auto"/>
          <w:color w:val="auto"/>
        </w:rPr>
        <w:t xml:space="preserve"> the </w:t>
      </w:r>
      <w:r>
        <w:rPr>
          <w:rFonts w:ascii="Arial" w:cs="Arial" w:eastAsia="Arial" w:hAnsi="Arial"/>
          <w:sz w:val="16"/>
          <w:szCs w:val="16"/>
          <w:b w:val="1"/>
          <w:bCs w:val="1"/>
          <w:i w:val="1"/>
          <w:iCs w:val="1"/>
          <w:u w:val="single" w:color="auto"/>
          <w:color w:val="auto"/>
        </w:rPr>
        <w:t>GasLog Hong Kong</w:t>
      </w:r>
      <w:r>
        <w:rPr>
          <w:rFonts w:ascii="Arial" w:cs="Arial" w:eastAsia="Arial" w:hAnsi="Arial"/>
          <w:sz w:val="16"/>
          <w:szCs w:val="16"/>
          <w:b w:val="1"/>
          <w:bCs w:val="1"/>
          <w:u w:val="single" w:color="auto"/>
          <w:color w:val="auto"/>
        </w:rPr>
        <w:t xml:space="preserve"> and the </w:t>
      </w:r>
      <w:r>
        <w:rPr>
          <w:rFonts w:ascii="Arial" w:cs="Arial" w:eastAsia="Arial" w:hAnsi="Arial"/>
          <w:sz w:val="16"/>
          <w:szCs w:val="16"/>
          <w:b w:val="1"/>
          <w:bCs w:val="1"/>
          <w:i w:val="1"/>
          <w:iCs w:val="1"/>
          <w:u w:val="single" w:color="auto"/>
          <w:color w:val="auto"/>
        </w:rPr>
        <w:t>GasLog Genoa</w:t>
      </w:r>
    </w:p>
    <w:p>
      <w:pPr>
        <w:spacing w:after="0" w:line="239"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 xml:space="preserve">On January 8, 2018, GasLog took delivery of the </w:t>
      </w:r>
      <w:r>
        <w:rPr>
          <w:rFonts w:ascii="Arial" w:cs="Arial" w:eastAsia="Arial" w:hAnsi="Arial"/>
          <w:sz w:val="16"/>
          <w:szCs w:val="16"/>
          <w:i w:val="1"/>
          <w:iCs w:val="1"/>
          <w:color w:val="auto"/>
        </w:rPr>
        <w:t>GasLog Houston</w:t>
      </w:r>
      <w:r>
        <w:rPr>
          <w:rFonts w:ascii="Arial" w:cs="Arial" w:eastAsia="Arial" w:hAnsi="Arial"/>
          <w:sz w:val="16"/>
          <w:szCs w:val="16"/>
          <w:color w:val="auto"/>
        </w:rPr>
        <w:t>, a 174,000 cbm LNG carrier with LP-2S propulsion constructed by Hyundai Heavy Industries Co., Ltd. (“Hyundai”). The vessel completed a short-term charter to a major LNG producer and is currently available in the spot market until the commencement of her multi-year charter party with a subsidiary of Shell, from the end of 2018 until April 2028.</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On March 20, 2018, GasLog took delivery of the </w:t>
      </w:r>
      <w:r>
        <w:rPr>
          <w:rFonts w:ascii="Arial" w:cs="Arial" w:eastAsia="Arial" w:hAnsi="Arial"/>
          <w:sz w:val="16"/>
          <w:szCs w:val="16"/>
          <w:i w:val="1"/>
          <w:iCs w:val="1"/>
          <w:color w:val="auto"/>
        </w:rPr>
        <w:t>GasLog Hong Kong</w:t>
      </w:r>
      <w:r>
        <w:rPr>
          <w:rFonts w:ascii="Arial" w:cs="Arial" w:eastAsia="Arial" w:hAnsi="Arial"/>
          <w:sz w:val="16"/>
          <w:szCs w:val="16"/>
          <w:color w:val="auto"/>
        </w:rPr>
        <w:t>, a 174,000 cbm LNG carrier with LP-2S propulsion constructed by Hyundai. The vessel was originally scheduled to commence a multi-year charter with Total in December 2018 ending in 2025. However, the commencement of the charter was brought forward to delivery from the yard, thus increasing the period of the charter to Total. Whilst the charter hire rate for this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additional initial period is lower than that which GasLog will enjoy for the period from December 2018 to 2025, delivery of the vessel straight into charter from the yard together with the additional charter hire resulted in significant operational efficiencies for GasLog.</w:t>
      </w:r>
    </w:p>
    <w:p>
      <w:pPr>
        <w:spacing w:after="0" w:line="172"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On March 29, 2018, GasLog took delivery of the </w:t>
      </w:r>
      <w:r>
        <w:rPr>
          <w:rFonts w:ascii="Arial" w:cs="Arial" w:eastAsia="Arial" w:hAnsi="Arial"/>
          <w:sz w:val="16"/>
          <w:szCs w:val="16"/>
          <w:i w:val="1"/>
          <w:iCs w:val="1"/>
          <w:color w:val="auto"/>
        </w:rPr>
        <w:t>GasLog Genoa</w:t>
      </w:r>
      <w:r>
        <w:rPr>
          <w:rFonts w:ascii="Arial" w:cs="Arial" w:eastAsia="Arial" w:hAnsi="Arial"/>
          <w:sz w:val="16"/>
          <w:szCs w:val="16"/>
          <w:color w:val="auto"/>
        </w:rPr>
        <w:t>, a 174,000 cbm LNG carrier with LP-2S propulsion constructed by Samsung. The vessel commenced her charter party agreement with Shell upon delivery until 2027.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Additional Vessels</w:t>
      </w:r>
    </w:p>
    <w:p>
      <w:pPr>
        <w:spacing w:after="0" w:line="239"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color w:val="auto"/>
        </w:rPr>
        <w:t>On January 12, 2018, GasLog entered into a shipbuilding contract with Samsung for the construction of a 180,000 cbm GTT Mark III Flex LNG Carrier with LP-2S propulsion (Hull No. 2213) that is scheduled to be delivered in the second quarter of 2020. This vessel will now be the vessel to be chartered to Pioneer Shipping Limited, a wholly owned subsidiary of Centrica plc (“Centrica”), for an initial period of approximately seven years, as previously announced on October 20, 2016. The 180,000 cbm GTT Mark III Flex Plus LNG Carrier with LP-2S propulsion (Hull No. 2212) to be delivered in the third quarter of 2019 is currently without charter.</w:t>
      </w:r>
    </w:p>
    <w:p>
      <w:pPr>
        <w:spacing w:after="0" w:line="173"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On March 9, 2018, GasLog entered into a shipbuilding contract with Samsung for the construction of a 180,000 cbm GTT Mark III Flex Plus LNG Carrier with LP-2S propulsion (Hull No. 2274) that is scheduled to be delivered in the second quarter of 2020 and is currently without charter.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Issuance of Series B Preference Units</w:t>
      </w:r>
    </w:p>
    <w:p>
      <w:pPr>
        <w:spacing w:after="0" w:line="239"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On January 17, 2018, GasLog Partners completed a public offering of 4,600,000 8.200%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$111.2 million. The Series B Preference Units are listed on the New York Stock Exchange under the symbol “GLOP PR B”.</w:t>
      </w:r>
    </w:p>
    <w:p>
      <w:pPr>
        <w:sectPr>
          <w:pgSz w:w="11900" w:h="16860" w:orient="portrait"/>
          <w:cols w:equalWidth="0" w:num="1">
            <w:col w:w="11420"/>
          </w:cols>
          <w:pgMar w:left="240" w:top="130"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auto"/>
        </w:rPr>
        <w:t xml:space="preserve">Sale of the </w:t>
      </w:r>
      <w:r>
        <w:rPr>
          <w:rFonts w:ascii="Arial" w:cs="Arial" w:eastAsia="Arial" w:hAnsi="Arial"/>
          <w:sz w:val="16"/>
          <w:szCs w:val="16"/>
          <w:b w:val="1"/>
          <w:bCs w:val="1"/>
          <w:i w:val="1"/>
          <w:iCs w:val="1"/>
          <w:u w:val="single" w:color="auto"/>
          <w:color w:val="auto"/>
        </w:rPr>
        <w:t>GasLog Gibraltar</w:t>
      </w:r>
    </w:p>
    <w:p>
      <w:pPr>
        <w:spacing w:after="0" w:line="239"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 xml:space="preserve">On April 16, 2018, GasLog entered into a share purchase agreement for the sale to GasLog Partners of 100% of the ownership interest in GAS-fourteen Ltd., the entity that owns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for an aggregate purchase price of $207.0 million, which includes $1.0 million for positive net working capital balances transferred with the entity. GasLog Partners financed the acquisition with cash on hand, $45.0 million of new privately placed common units issued to GasLog (1,858,975 common units at a price of $24.21 per unit), and the assumption of the </w:t>
      </w:r>
      <w:r>
        <w:rPr>
          <w:rFonts w:ascii="Arial" w:cs="Arial" w:eastAsia="Arial" w:hAnsi="Arial"/>
          <w:sz w:val="15"/>
          <w:szCs w:val="15"/>
          <w:i w:val="1"/>
          <w:iCs w:val="1"/>
          <w:color w:val="auto"/>
        </w:rPr>
        <w:t>GasLog Gibraltar</w:t>
      </w:r>
      <w:r>
        <w:rPr>
          <w:rFonts w:ascii="Arial" w:cs="Arial" w:eastAsia="Arial" w:hAnsi="Arial"/>
          <w:sz w:val="15"/>
          <w:szCs w:val="15"/>
          <w:color w:val="auto"/>
        </w:rPr>
        <w:t>’s outstanding indebtedness of $143.6 million. The sale closed on April 26, 2018.</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Alexandroupolis Project update</w:t>
      </w:r>
    </w:p>
    <w:p>
      <w:pPr>
        <w:spacing w:after="0" w:line="239" w:lineRule="exact"/>
        <w:rPr>
          <w:sz w:val="20"/>
          <w:szCs w:val="20"/>
          <w:color w:val="auto"/>
        </w:rPr>
      </w:pPr>
    </w:p>
    <w:p>
      <w:pPr>
        <w:ind w:right="60" w:firstLine="383"/>
        <w:spacing w:after="0" w:line="293" w:lineRule="auto"/>
        <w:rPr>
          <w:sz w:val="20"/>
          <w:szCs w:val="20"/>
          <w:color w:val="auto"/>
        </w:rPr>
      </w:pPr>
      <w:r>
        <w:rPr>
          <w:rFonts w:ascii="Arial" w:cs="Arial" w:eastAsia="Arial" w:hAnsi="Arial"/>
          <w:sz w:val="15"/>
          <w:szCs w:val="15"/>
          <w:color w:val="auto"/>
        </w:rPr>
        <w:t>On February 23, 2018, GasLog entered into an agreement to provide O&amp;M services to the Alexandroupolis Project. In addition, Gastrade is currently in discussions with a number of additional potential investors, including DEPA, the Greek state-owned gas company, and BEH, the holding company of the Bulgarian Ministry of Energy, and targets to take FID by the end of 2018 with the FSRU currently scheduled to be operational by the end of 2020. Following a trilateral meeting between DEPA, BEH and Gastrade, the Managing Directors of DEPA and Gastrade reached agreement regarding the future reservation of capacity in the terminal by DEPA. In addition, BEH confirmed its intention to speed up the respective negotiations for the completion of its own participation in the project.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At-the-Market Common Units Equity Offering Programme (the “ATM Programme”)</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On May 16, 2017, GasLog Partners commenced an ATM Programme under which the Partnership may, from time to time, raise equity through the issuance and sale of new common units having an aggregate offering value of up to $100.0 million in accordance with the terms of an equity distribution agreement entered into on the same date. 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w:t>
      </w:r>
    </w:p>
    <w:p>
      <w:pPr>
        <w:spacing w:after="0" w:line="173" w:lineRule="exact"/>
        <w:rPr>
          <w:sz w:val="20"/>
          <w:szCs w:val="20"/>
          <w:color w:val="auto"/>
        </w:rPr>
      </w:pPr>
    </w:p>
    <w:p>
      <w:pPr>
        <w:ind w:right="300"/>
        <w:spacing w:after="0" w:line="273" w:lineRule="auto"/>
        <w:rPr>
          <w:sz w:val="20"/>
          <w:szCs w:val="20"/>
          <w:color w:val="auto"/>
        </w:rPr>
      </w:pPr>
      <w:r>
        <w:rPr>
          <w:rFonts w:ascii="Arial" w:cs="Arial" w:eastAsia="Arial" w:hAnsi="Arial"/>
          <w:sz w:val="16"/>
          <w:szCs w:val="16"/>
          <w:color w:val="auto"/>
        </w:rPr>
        <w:t>Since the commencement of the ATM Programme through March 31, 2018, GasLog Partners has issued and received payment for a total of 2,737,405 common units, with cumulative gross proceeds of $62.9 million at a weighted average price of $22.97 per unit, representing a discount of 0.5% to the volume weighted average trading price of GasLog Partners’ common units on the days on which new common units were issued. No issuances of common units were made under the ATM Programme in the first quarter of 2018. As of March 31, 2018, the cumulative net proceeds were $61.2 million.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w:t>
      </w:r>
    </w:p>
    <w:p>
      <w:pPr>
        <w:spacing w:after="0" w:line="23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On March 8, 2018, the board of directors declared a dividend on the Series A Preference Shares of $0.546875 per share, or $2.5 million in the aggregate, payable on April 2, 2018 to holders of record as of March 29, 2018. GasLog paid the declared dividend to the transfer agent on March 29, 2018.</w:t>
      </w:r>
    </w:p>
    <w:p>
      <w:pPr>
        <w:spacing w:after="0" w:line="172" w:lineRule="exact"/>
        <w:rPr>
          <w:sz w:val="20"/>
          <w:szCs w:val="20"/>
          <w:color w:val="auto"/>
        </w:rPr>
      </w:pPr>
    </w:p>
    <w:p>
      <w:pPr>
        <w:ind w:right="700"/>
        <w:spacing w:after="0" w:line="293" w:lineRule="auto"/>
        <w:rPr>
          <w:sz w:val="20"/>
          <w:szCs w:val="20"/>
          <w:color w:val="auto"/>
        </w:rPr>
      </w:pPr>
      <w:r>
        <w:rPr>
          <w:rFonts w:ascii="Arial" w:cs="Arial" w:eastAsia="Arial" w:hAnsi="Arial"/>
          <w:sz w:val="16"/>
          <w:szCs w:val="16"/>
          <w:color w:val="auto"/>
        </w:rPr>
        <w:t>On May 3, 2018, the board of directors declared a quarterly cash dividend of $0.15 per common share, or $12.1 million in the aggregate, payable on May 24, 2018 to shareholders of record as of May 14, 2018.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7"/>
              </w:rPr>
              <w:t>For the three months ended</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0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 except per share data</w:t>
            </w:r>
          </w:p>
        </w:tc>
        <w:tc>
          <w:tcPr>
            <w:tcW w:w="480" w:type="dxa"/>
            <w:vAlign w:val="bottom"/>
          </w:tcPr>
          <w:p>
            <w:pPr>
              <w:spacing w:after="0"/>
              <w:rPr>
                <w:sz w:val="24"/>
                <w:szCs w:val="24"/>
                <w:color w:val="auto"/>
              </w:rPr>
            </w:pPr>
          </w:p>
        </w:tc>
        <w:tc>
          <w:tcPr>
            <w:tcW w:w="216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2017</w:t>
            </w:r>
          </w:p>
        </w:tc>
        <w:tc>
          <w:tcPr>
            <w:tcW w:w="1520" w:type="dxa"/>
            <w:vAlign w:val="bottom"/>
            <w:gridSpan w:val="3"/>
          </w:tcPr>
          <w:p>
            <w:pPr>
              <w:ind w:left="200"/>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202"/>
        </w:trPr>
        <w:tc>
          <w:tcPr>
            <w:tcW w:w="80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480" w:type="dxa"/>
            <w:vAlign w:val="bottom"/>
            <w:tcBorders>
              <w:top w:val="single" w:sz="8" w:color="auto"/>
            </w:tcBorders>
            <w:shd w:val="clear" w:color="auto" w:fill="E5FFFF"/>
          </w:tcPr>
          <w:p>
            <w:pPr>
              <w:ind w:left="20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128,285</w:t>
            </w:r>
          </w:p>
        </w:tc>
        <w:tc>
          <w:tcPr>
            <w:tcW w:w="28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138,478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line="203" w:lineRule="exact"/>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89,069</w:t>
            </w:r>
          </w:p>
        </w:tc>
        <w:tc>
          <w:tcPr>
            <w:tcW w:w="280" w:type="dxa"/>
            <w:vAlign w:val="bottom"/>
          </w:tcPr>
          <w:p>
            <w:pPr>
              <w:spacing w:after="0"/>
              <w:rPr>
                <w:sz w:val="17"/>
                <w:szCs w:val="17"/>
                <w:color w:val="auto"/>
              </w:rPr>
            </w:pPr>
          </w:p>
        </w:tc>
        <w:tc>
          <w:tcPr>
            <w:tcW w:w="8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95,880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4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89,338</w:t>
            </w:r>
          </w:p>
        </w:tc>
        <w:tc>
          <w:tcPr>
            <w:tcW w:w="2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95,526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rPr>
                <w:sz w:val="20"/>
                <w:szCs w:val="20"/>
                <w:color w:val="auto"/>
              </w:rPr>
            </w:pPr>
            <w:r>
              <w:rPr>
                <w:rFonts w:ascii="Arial" w:cs="Arial" w:eastAsia="Arial" w:hAnsi="Arial"/>
                <w:sz w:val="16"/>
                <w:szCs w:val="16"/>
                <w:color w:val="auto"/>
              </w:rPr>
              <w:t>Profit for the period</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23,392</w:t>
            </w:r>
          </w:p>
        </w:tc>
        <w:tc>
          <w:tcPr>
            <w:tcW w:w="280" w:type="dxa"/>
            <w:vAlign w:val="bottom"/>
          </w:tcPr>
          <w:p>
            <w:pPr>
              <w:spacing w:after="0"/>
              <w:rPr>
                <w:sz w:val="17"/>
                <w:szCs w:val="17"/>
                <w:color w:val="auto"/>
              </w:rPr>
            </w:pPr>
          </w:p>
        </w:tc>
        <w:tc>
          <w:tcPr>
            <w:tcW w:w="8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42,541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p>
        </w:tc>
        <w:tc>
          <w:tcPr>
            <w:tcW w:w="4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21,922</w:t>
            </w:r>
          </w:p>
        </w:tc>
        <w:tc>
          <w:tcPr>
            <w:tcW w:w="2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25,289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rPr>
                <w:sz w:val="20"/>
                <w:szCs w:val="20"/>
                <w:color w:val="auto"/>
              </w:rPr>
            </w:pPr>
            <w:r>
              <w:rPr>
                <w:rFonts w:ascii="Arial" w:cs="Arial" w:eastAsia="Arial" w:hAnsi="Arial"/>
                <w:sz w:val="16"/>
                <w:szCs w:val="16"/>
                <w:color w:val="auto"/>
              </w:rPr>
              <w:t>Profit attributable to the owners of GasLog</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8,752</w:t>
            </w:r>
          </w:p>
        </w:tc>
        <w:tc>
          <w:tcPr>
            <w:tcW w:w="280" w:type="dxa"/>
            <w:vAlign w:val="bottom"/>
          </w:tcPr>
          <w:p>
            <w:pPr>
              <w:spacing w:after="0"/>
              <w:rPr>
                <w:sz w:val="17"/>
                <w:szCs w:val="17"/>
                <w:color w:val="auto"/>
              </w:rPr>
            </w:pPr>
          </w:p>
        </w:tc>
        <w:tc>
          <w:tcPr>
            <w:tcW w:w="8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19,304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EPS, basic</w:t>
            </w:r>
          </w:p>
        </w:tc>
        <w:tc>
          <w:tcPr>
            <w:tcW w:w="480" w:type="dxa"/>
            <w:vAlign w:val="bottom"/>
            <w:shd w:val="clear" w:color="auto" w:fill="E5FFFF"/>
          </w:tcPr>
          <w:p>
            <w:pPr>
              <w:ind w:lef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0.08</w:t>
            </w:r>
          </w:p>
        </w:tc>
        <w:tc>
          <w:tcPr>
            <w:tcW w:w="280" w:type="dxa"/>
            <w:vAlign w:val="bottom"/>
            <w:shd w:val="clear" w:color="auto" w:fill="E5FFFF"/>
          </w:tcPr>
          <w:p>
            <w:pPr>
              <w:spacing w:after="0"/>
              <w:rPr>
                <w:sz w:val="17"/>
                <w:szCs w:val="17"/>
                <w:color w:val="auto"/>
              </w:rPr>
            </w:pPr>
          </w:p>
        </w:tc>
        <w:tc>
          <w:tcPr>
            <w:tcW w:w="880" w:type="dxa"/>
            <w:vAlign w:val="bottom"/>
            <w:shd w:val="clear" w:color="auto" w:fill="E5FFFF"/>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8080" w:type="dxa"/>
            <w:vAlign w:val="bottom"/>
            <w:gridSpan w:val="2"/>
          </w:tcPr>
          <w:p>
            <w:pPr>
              <w:spacing w:after="0"/>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0.06</w:t>
            </w:r>
          </w:p>
        </w:tc>
        <w:tc>
          <w:tcPr>
            <w:tcW w:w="280" w:type="dxa"/>
            <w:vAlign w:val="bottom"/>
          </w:tcPr>
          <w:p>
            <w:pPr>
              <w:spacing w:after="0"/>
              <w:rPr>
                <w:sz w:val="24"/>
                <w:szCs w:val="24"/>
                <w:color w:val="auto"/>
              </w:rPr>
            </w:pPr>
          </w:p>
        </w:tc>
        <w:tc>
          <w:tcPr>
            <w:tcW w:w="8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both"/>
        <w:ind w:left="140" w:right="120" w:hanging="132"/>
        <w:spacing w:after="0" w:line="222" w:lineRule="auto"/>
        <w:tabs>
          <w:tab w:leader="none" w:pos="166" w:val="left"/>
        </w:tabs>
        <w:numPr>
          <w:ilvl w:val="0"/>
          <w:numId w:val="4"/>
        </w:numPr>
        <w:rPr>
          <w:rFonts w:ascii="Arial" w:cs="Arial" w:eastAsia="Arial" w:hAnsi="Arial"/>
          <w:sz w:val="19"/>
          <w:szCs w:val="19"/>
          <w:color w:val="auto"/>
          <w:vertAlign w:val="superscript"/>
        </w:rPr>
      </w:pPr>
      <w:r>
        <w:rPr>
          <w:rFonts w:ascii="Arial" w:cs="Arial" w:eastAsia="Arial" w:hAnsi="Arial"/>
          <w:sz w:val="13"/>
          <w:szCs w:val="13"/>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92"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 xml:space="preserve">There were 2,163 operating days for the quarter ended March 31, 2018, as compared to 2,070 operating days for the quarter ended March 31, 2017. The increase in operating days resulted mainly from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xml:space="preserve"> on January 8, 2018, March 20, 2018 and March 29, 2018, respectively.</w:t>
      </w:r>
    </w:p>
    <w:p>
      <w:pPr>
        <w:spacing w:after="0" w:line="184" w:lineRule="exact"/>
        <w:rPr>
          <w:sz w:val="20"/>
          <w:szCs w:val="20"/>
          <w:color w:val="auto"/>
        </w:rPr>
      </w:pPr>
    </w:p>
    <w:p>
      <w:pPr>
        <w:ind w:right="160"/>
        <w:spacing w:after="0" w:line="329" w:lineRule="auto"/>
        <w:rPr>
          <w:sz w:val="20"/>
          <w:szCs w:val="20"/>
          <w:color w:val="auto"/>
        </w:rPr>
      </w:pPr>
      <w:r>
        <w:rPr>
          <w:rFonts w:ascii="Arial" w:cs="Arial" w:eastAsia="Arial" w:hAnsi="Arial"/>
          <w:sz w:val="15"/>
          <w:szCs w:val="15"/>
          <w:color w:val="auto"/>
        </w:rPr>
        <w:t xml:space="preserve">Revenues were $138.5 million for the quarter ended March 31, 2018 ($128.3 million for the quarter ended March 31, 2017). The increase was mainly driven by the increased revenues from vessels operating in the spot market and the new deliveries in our fleet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Genoa</w:t>
      </w:r>
      <w:r>
        <w:rPr>
          <w:rFonts w:ascii="Arial" w:cs="Arial" w:eastAsia="Arial" w:hAnsi="Arial"/>
          <w:sz w:val="15"/>
          <w:szCs w:val="15"/>
          <w:color w:val="auto"/>
        </w:rPr>
        <w:t>).</w:t>
      </w:r>
    </w:p>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Net pool allocation was $8.7 million for the quarter ended March 31, 2018 ($0.8 million for the quarter ended March 31, 2017). The increase was attributable to the movement in allocation of the net pool results in accordance with the applicable profit sharing terms. GasLog recognized gross revenues and gross voyage expenses and commissions of $13.4 million and $3.5 million, respectively, from the operation of its vessels in the Cool Pool during the quarter ended March 31, 2018 (March 31, 2017: $7.4 million and $1.4 million, respectively). The increase in GasLog’s total net pool performance was driven by higher spot rates and higher utilization achieved by all vessels trading in the Cool Pool. GasLog’s total net pool performance is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840" w:type="dxa"/>
            <w:vAlign w:val="bottom"/>
            <w:gridSpan w:val="4"/>
          </w:tcPr>
          <w:p>
            <w:pPr>
              <w:ind w:left="42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858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March 31,</w:t>
            </w:r>
          </w:p>
        </w:tc>
        <w:tc>
          <w:tcPr>
            <w:tcW w:w="13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85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58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7,355</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8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(1,380)</w:t>
            </w:r>
          </w:p>
        </w:tc>
        <w:tc>
          <w:tcPr>
            <w:tcW w:w="1260" w:type="dxa"/>
            <w:vAlign w:val="bottom"/>
          </w:tcPr>
          <w:p>
            <w:pPr>
              <w:jc w:val="right"/>
              <w:spacing w:after="0"/>
              <w:rPr>
                <w:sz w:val="20"/>
                <w:szCs w:val="20"/>
                <w:color w:val="auto"/>
              </w:rPr>
            </w:pPr>
            <w:r>
              <w:rPr>
                <w:rFonts w:ascii="Arial" w:cs="Arial" w:eastAsia="Arial" w:hAnsi="Arial"/>
                <w:sz w:val="16"/>
                <w:szCs w:val="16"/>
                <w:color w:val="auto"/>
              </w:rPr>
              <w:t>(3,538)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4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828</w:t>
            </w:r>
          </w:p>
        </w:tc>
        <w:tc>
          <w:tcPr>
            <w:tcW w:w="12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8,653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80" w:type="dxa"/>
            <w:vAlign w:val="bottom"/>
          </w:tcPr>
          <w:p>
            <w:pPr>
              <w:spacing w:after="0"/>
              <w:rPr>
                <w:sz w:val="20"/>
                <w:szCs w:val="20"/>
                <w:color w:val="auto"/>
              </w:rPr>
            </w:pPr>
            <w:r>
              <w:rPr>
                <w:rFonts w:ascii="Arial" w:cs="Arial" w:eastAsia="Arial" w:hAnsi="Arial"/>
                <w:sz w:val="16"/>
                <w:szCs w:val="16"/>
                <w:b w:val="1"/>
                <w:bCs w:val="1"/>
                <w:color w:val="auto"/>
              </w:rPr>
              <w:t>GasLog’s Total net pool performance</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6,803</w:t>
            </w:r>
          </w:p>
        </w:tc>
        <w:tc>
          <w:tcPr>
            <w:tcW w:w="16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18,520</w:t>
            </w:r>
          </w:p>
        </w:tc>
        <w:tc>
          <w:tcPr>
            <w:tcW w:w="1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2" w:right="239" w:bottom="171" w:gutter="0" w:footer="0" w:header="0"/>
        </w:sectPr>
      </w:pPr>
    </w:p>
    <w:bookmarkStart w:id="4" w:name="page5"/>
    <w:bookmarkEnd w:id="4"/>
    <w:p>
      <w:pPr>
        <w:ind w:right="40"/>
        <w:spacing w:after="0" w:line="271" w:lineRule="auto"/>
        <w:rPr>
          <w:sz w:val="20"/>
          <w:szCs w:val="20"/>
          <w:color w:val="auto"/>
        </w:rPr>
      </w:pPr>
      <w:r>
        <w:rPr>
          <w:rFonts w:ascii="Arial" w:cs="Arial" w:eastAsia="Arial" w:hAnsi="Arial"/>
          <w:sz w:val="16"/>
          <w:szCs w:val="16"/>
          <w:color w:val="auto"/>
        </w:rPr>
        <w:t xml:space="preserve">Vessel operating and supervision costs were $34.3 million for the quarter ended March 31, 2018 ($27.5 million for the quarter ended March 31, 2017). The increase was mainly attributable to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Hong Kong</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Genoa</w:t>
      </w:r>
      <w:r>
        <w:rPr>
          <w:rFonts w:ascii="Arial" w:cs="Arial" w:eastAsia="Arial" w:hAnsi="Arial"/>
          <w:sz w:val="16"/>
          <w:szCs w:val="16"/>
          <w:color w:val="auto"/>
        </w:rPr>
        <w:t>, as well as increased scheduled technical maintenance costs related to engine maintenance, intermediate surveys and certifications and crew wages, all of which were affected by the unfavorable movement of the Euro (“EUR”)/U.S. dollar (“USD”) exchange rate (we have entered into forward foreign exchange contracts to economically hedge part of this exposure and the associated realized gains are recorded in Gain on swaps, which is discussed below).</w:t>
      </w:r>
    </w:p>
    <w:p>
      <w:pPr>
        <w:spacing w:after="0" w:line="190" w:lineRule="exact"/>
        <w:rPr>
          <w:sz w:val="20"/>
          <w:szCs w:val="20"/>
          <w:color w:val="auto"/>
        </w:rPr>
      </w:pPr>
    </w:p>
    <w:p>
      <w:pPr>
        <w:ind w:right="60"/>
        <w:spacing w:after="0" w:line="329" w:lineRule="auto"/>
        <w:rPr>
          <w:sz w:val="20"/>
          <w:szCs w:val="20"/>
          <w:color w:val="auto"/>
        </w:rPr>
      </w:pPr>
      <w:r>
        <w:rPr>
          <w:rFonts w:ascii="Arial" w:cs="Arial" w:eastAsia="Arial" w:hAnsi="Arial"/>
          <w:sz w:val="15"/>
          <w:szCs w:val="15"/>
          <w:color w:val="auto"/>
        </w:rPr>
        <w:t>Voyage expenses and commissions were $5.3 million for the quarter ended March 31, 2018 ($2.9 million for the quarter ended March 31, 2017). The increase resulted from the increased bunkers consumption of the vessels operating in the spot market and the higher cost of bunkers as a result of the increase in oil prices.</w:t>
      </w:r>
    </w:p>
    <w:p>
      <w:pPr>
        <w:spacing w:after="0" w:line="148"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 xml:space="preserve">Depreciation was $35.5 million for the quarter ended March 31, 2018 ($33.7 million for the quarter ended March 31, 2017). The increase resulted from the deliveries of the </w:t>
      </w:r>
      <w:r>
        <w:rPr>
          <w:rFonts w:ascii="Arial" w:cs="Arial" w:eastAsia="Arial" w:hAnsi="Arial"/>
          <w:sz w:val="16"/>
          <w:szCs w:val="16"/>
          <w:i w:val="1"/>
          <w:iCs w:val="1"/>
          <w:color w:val="auto"/>
        </w:rPr>
        <w:t>GasLog Houston</w:t>
      </w:r>
      <w:r>
        <w:rPr>
          <w:rFonts w:ascii="Arial" w:cs="Arial" w:eastAsia="Arial" w:hAnsi="Arial"/>
          <w:sz w:val="16"/>
          <w:szCs w:val="16"/>
          <w:color w:val="auto"/>
        </w:rPr>
        <w:t>, the</w:t>
      </w:r>
      <w:r>
        <w:rPr>
          <w:rFonts w:ascii="Arial" w:cs="Arial" w:eastAsia="Arial" w:hAnsi="Arial"/>
          <w:sz w:val="16"/>
          <w:szCs w:val="16"/>
          <w:i w:val="1"/>
          <w:iCs w:val="1"/>
          <w:color w:val="auto"/>
        </w:rPr>
        <w:t xml:space="preserve"> GasLog Hong Kong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Genoa </w:t>
      </w:r>
      <w:r>
        <w:rPr>
          <w:rFonts w:ascii="Arial" w:cs="Arial" w:eastAsia="Arial" w:hAnsi="Arial"/>
          <w:sz w:val="16"/>
          <w:szCs w:val="16"/>
          <w:color w:val="auto"/>
        </w:rPr>
        <w:t>on January 8, 2018, March 20, 2018 and March 29, 2018, respectively.</w:t>
      </w:r>
    </w:p>
    <w:p>
      <w:pPr>
        <w:spacing w:after="0" w:line="172"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General and administrative expenses were $12.0 million for the quarter ended March 31, 2018 ($10.1 million for the quarter ended March 31, 2017). The increase is mainly attributable to an increase in employee costs, which were mainly affected by the unfavorable movement of the USD against the EUR and the British pound (“GBP”) (we have entered into forward foreign exchange contracts to economically hedge part of this exposure and the associated realized gains are recorded in Gain on swaps, which is discussed below).</w:t>
      </w:r>
    </w:p>
    <w:p>
      <w:pPr>
        <w:spacing w:after="0" w:line="18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Financial costs were $36.6 million for the quarter ended March 31, 2018 ($32.5 million for the quarter ended March 31, 2017). The increase was mainly attributable to the increased weighted average interest rate deriving from the upward movement of the USD London Interbank Offered Rate (“LIBOR”) rates. An analysis of the financial costs is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gridSpan w:val="5"/>
          </w:tcPr>
          <w:p>
            <w:pPr>
              <w:jc w:val="right"/>
              <w:ind w:right="77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w w:val="93"/>
              </w:rPr>
              <w:t>March 31, 2017</w:t>
            </w:r>
          </w:p>
        </w:tc>
        <w:tc>
          <w:tcPr>
            <w:tcW w:w="180" w:type="dxa"/>
            <w:vAlign w:val="bottom"/>
          </w:tcPr>
          <w:p>
            <w:pPr>
              <w:spacing w:after="0"/>
              <w:rPr>
                <w:sz w:val="18"/>
                <w:szCs w:val="18"/>
                <w:color w:val="auto"/>
              </w:rPr>
            </w:pPr>
          </w:p>
        </w:tc>
        <w:tc>
          <w:tcPr>
            <w:tcW w:w="14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w w:val="94"/>
              </w:rPr>
              <w:t>March 31, 2018</w:t>
            </w:r>
          </w:p>
        </w:tc>
        <w:tc>
          <w:tcPr>
            <w:tcW w:w="0" w:type="dxa"/>
            <w:vAlign w:val="bottom"/>
          </w:tcPr>
          <w:p>
            <w:pPr>
              <w:spacing w:after="0"/>
              <w:rPr>
                <w:sz w:val="1"/>
                <w:szCs w:val="1"/>
                <w:color w:val="auto"/>
              </w:rPr>
            </w:pPr>
          </w:p>
        </w:tc>
      </w:tr>
      <w:tr>
        <w:trPr>
          <w:trHeight w:val="189"/>
        </w:trPr>
        <w:tc>
          <w:tcPr>
            <w:tcW w:w="5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Financial costs</w:t>
            </w:r>
          </w:p>
        </w:tc>
        <w:tc>
          <w:tcPr>
            <w:tcW w:w="3020" w:type="dxa"/>
            <w:vAlign w:val="bottom"/>
            <w:tcBorders>
              <w:top w:val="single" w:sz="8" w:color="E5FFFF"/>
            </w:tcBorders>
            <w:shd w:val="clear" w:color="auto" w:fill="E5FFFF"/>
          </w:tcPr>
          <w:p>
            <w:pPr>
              <w:spacing w:after="0"/>
              <w:rPr>
                <w:sz w:val="16"/>
                <w:szCs w:val="16"/>
                <w:color w:val="auto"/>
              </w:rPr>
            </w:pPr>
          </w:p>
        </w:tc>
        <w:tc>
          <w:tcPr>
            <w:tcW w:w="180" w:type="dxa"/>
            <w:vAlign w:val="bottom"/>
            <w:tcBorders>
              <w:top w:val="single" w:sz="8" w:color="auto"/>
            </w:tcBorders>
            <w:shd w:val="clear" w:color="auto" w:fill="E5FFFF"/>
          </w:tcPr>
          <w:p>
            <w:pPr>
              <w:spacing w:after="0"/>
              <w:rPr>
                <w:sz w:val="16"/>
                <w:szCs w:val="16"/>
                <w:color w:val="auto"/>
              </w:rPr>
            </w:pPr>
          </w:p>
        </w:tc>
        <w:tc>
          <w:tcPr>
            <w:tcW w:w="130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80" w:type="dxa"/>
            <w:vAlign w:val="bottom"/>
            <w:tcBorders>
              <w:top w:val="single" w:sz="8" w:color="auto"/>
            </w:tcBorders>
            <w:shd w:val="clear" w:color="auto" w:fill="E5FFFF"/>
          </w:tcPr>
          <w:p>
            <w:pPr>
              <w:spacing w:after="0"/>
              <w:rPr>
                <w:sz w:val="16"/>
                <w:szCs w:val="16"/>
                <w:color w:val="auto"/>
              </w:rPr>
            </w:pPr>
          </w:p>
        </w:tc>
        <w:tc>
          <w:tcPr>
            <w:tcW w:w="1300" w:type="dxa"/>
            <w:vAlign w:val="bottom"/>
            <w:tcBorders>
              <w:top w:val="single" w:sz="8" w:color="auto"/>
            </w:tcBorders>
            <w:shd w:val="clear" w:color="auto" w:fill="E5FF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Arial" w:cs="Arial" w:eastAsia="Arial" w:hAnsi="Arial"/>
                <w:sz w:val="16"/>
                <w:szCs w:val="16"/>
                <w:color w:val="auto"/>
              </w:rPr>
              <w:t>Amortization of deferred loan issuance costs and premium</w:t>
            </w:r>
          </w:p>
        </w:tc>
        <w:tc>
          <w:tcPr>
            <w:tcW w:w="3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39"/>
              <w:spacing w:after="0"/>
              <w:rPr>
                <w:sz w:val="20"/>
                <w:szCs w:val="20"/>
                <w:color w:val="auto"/>
              </w:rPr>
            </w:pPr>
            <w:r>
              <w:rPr>
                <w:rFonts w:ascii="Arial" w:cs="Arial" w:eastAsia="Arial" w:hAnsi="Arial"/>
                <w:sz w:val="16"/>
                <w:szCs w:val="16"/>
                <w:color w:val="auto"/>
              </w:rPr>
              <w:t>(3,459)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loans</w:t>
            </w:r>
          </w:p>
        </w:tc>
        <w:tc>
          <w:tcPr>
            <w:tcW w:w="30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(22,482)</w:t>
            </w: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(23,197)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Arial" w:cs="Arial" w:eastAsia="Arial" w:hAnsi="Arial"/>
                <w:sz w:val="16"/>
                <w:szCs w:val="16"/>
                <w:color w:val="auto"/>
              </w:rPr>
              <w:t>Interest expense on bonds and realized loss on cross-currency swaps</w:t>
            </w: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139"/>
              <w:spacing w:after="0"/>
              <w:rPr>
                <w:sz w:val="20"/>
                <w:szCs w:val="20"/>
                <w:color w:val="auto"/>
              </w:rPr>
            </w:pPr>
            <w:r>
              <w:rPr>
                <w:rFonts w:ascii="Arial" w:cs="Arial" w:eastAsia="Arial" w:hAnsi="Arial"/>
                <w:sz w:val="16"/>
                <w:szCs w:val="16"/>
                <w:color w:val="auto"/>
              </w:rPr>
              <w:t>(3,520)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E5FFFF"/>
          </w:tcPr>
          <w:p>
            <w:pPr>
              <w:spacing w:after="0"/>
              <w:rPr>
                <w:sz w:val="20"/>
                <w:szCs w:val="20"/>
                <w:color w:val="auto"/>
              </w:rPr>
            </w:pPr>
            <w:r>
              <w:rPr>
                <w:rFonts w:ascii="Arial" w:cs="Arial" w:eastAsia="Arial" w:hAnsi="Arial"/>
                <w:sz w:val="16"/>
                <w:szCs w:val="16"/>
                <w:color w:val="auto"/>
              </w:rPr>
              <w:t>Finance lease charge</w:t>
            </w:r>
          </w:p>
        </w:tc>
        <w:tc>
          <w:tcPr>
            <w:tcW w:w="30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(2,714)</w:t>
            </w: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20"/>
                <w:szCs w:val="20"/>
                <w:color w:val="auto"/>
              </w:rPr>
            </w:pPr>
            <w:r>
              <w:rPr>
                <w:rFonts w:ascii="Arial" w:cs="Arial" w:eastAsia="Arial" w:hAnsi="Arial"/>
                <w:sz w:val="16"/>
                <w:szCs w:val="16"/>
                <w:color w:val="auto"/>
              </w:rPr>
              <w:t>Other financial costs</w:t>
            </w:r>
          </w:p>
        </w:tc>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139"/>
              <w:spacing w:after="0"/>
              <w:rPr>
                <w:sz w:val="20"/>
                <w:szCs w:val="20"/>
                <w:color w:val="auto"/>
              </w:rPr>
            </w:pPr>
            <w:r>
              <w:rPr>
                <w:rFonts w:ascii="Arial" w:cs="Arial" w:eastAsia="Arial" w:hAnsi="Arial"/>
                <w:sz w:val="16"/>
                <w:szCs w:val="16"/>
                <w:color w:val="auto"/>
              </w:rPr>
              <w:t>(349)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(387)</w:t>
            </w:r>
          </w:p>
        </w:tc>
        <w:tc>
          <w:tcPr>
            <w:tcW w:w="140" w:type="dxa"/>
            <w:vAlign w:val="bottom"/>
            <w:vMerge w:val="restart"/>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7"/>
        </w:trPr>
        <w:tc>
          <w:tcPr>
            <w:tcW w:w="50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3020" w:type="dxa"/>
            <w:vAlign w:val="bottom"/>
            <w:tcBorders>
              <w:top w:val="single" w:sz="8" w:color="E5FFFF"/>
              <w:bottom w:val="single" w:sz="8" w:color="E5FFFF"/>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(32,524</w:t>
            </w:r>
          </w:p>
        </w:tc>
        <w:tc>
          <w:tcPr>
            <w:tcW w:w="280" w:type="dxa"/>
            <w:vAlign w:val="bottom"/>
            <w:tcBorders>
              <w:top w:val="single" w:sz="8" w:color="E5FFFF"/>
              <w:bottom w:val="single" w:sz="8" w:color="E5FFFF"/>
            </w:tcBorders>
            <w:shd w:val="clear" w:color="auto" w:fill="E5FFFF"/>
          </w:tcPr>
          <w:p>
            <w:pPr>
              <w:jc w:val="right"/>
              <w:ind w:right="139"/>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(36,597</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20" w:type="dxa"/>
            <w:vAlign w:val="bottom"/>
            <w:vMerge w:val="restart"/>
          </w:tcPr>
          <w:p>
            <w:pPr>
              <w:jc w:val="right"/>
              <w:ind w:right="2263"/>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0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60" w:type="dxa"/>
            <w:vAlign w:val="bottom"/>
            <w:tcBorders>
              <w:bottom w:val="single" w:sz="8" w:color="808080"/>
            </w:tcBorders>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Gain on swaps was $17.8 million for the quarter ended March 31, 2018 ($0.2 million gain for the quarter ended March 31, 2017). The increase in gain on swaps in the first quarter of 2018, as compared to the first quarter of 2017, is mainly attributable to an increase of $14.9 million in gain from mark-to-market valuation of our derivative financial instruments carried at fair value through profit or loss, an increase of $1.5 million in realized gain on forward foreign exchange contracts held for trading and a decrease of $1.5 million in realized loss on interest rate swaps held for trading. The $16.3 million gain from mark-to-market valuation of our interest rate swaps in the first quarter of 2018 was attributable to the fact that the LIBOR yield curve, which was used to estimate the present value of the estimated future cash flows, was higher than the contracted fixed interest rates resulting in a decrease in derivative liabilities from interest rate swaps held for trading as compared to December 31, 2017. An analysis of gain on swaps is set forth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 thousands of U.S. dollars</w:t>
            </w: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3100" w:type="dxa"/>
            <w:vAlign w:val="bottom"/>
            <w:gridSpan w:val="5"/>
          </w:tcPr>
          <w:p>
            <w:pPr>
              <w:ind w:left="480"/>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3"/>
              </w:rPr>
              <w:t>March 31, 2017</w:t>
            </w:r>
          </w:p>
        </w:tc>
        <w:tc>
          <w:tcPr>
            <w:tcW w:w="18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2018</w:t>
            </w:r>
          </w:p>
        </w:tc>
      </w:tr>
      <w:tr>
        <w:trPr>
          <w:trHeight w:val="189"/>
        </w:trPr>
        <w:tc>
          <w:tcPr>
            <w:tcW w:w="8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Gain on swaps</w:t>
            </w:r>
          </w:p>
        </w:tc>
        <w:tc>
          <w:tcPr>
            <w:tcW w:w="180" w:type="dxa"/>
            <w:vAlign w:val="bottom"/>
            <w:tcBorders>
              <w:top w:val="single" w:sz="8" w:color="auto"/>
            </w:tcBorders>
            <w:shd w:val="clear" w:color="auto" w:fill="E5FFFF"/>
          </w:tcPr>
          <w:p>
            <w:pPr>
              <w:spacing w:after="0"/>
              <w:rPr>
                <w:sz w:val="16"/>
                <w:szCs w:val="16"/>
                <w:color w:val="auto"/>
              </w:rPr>
            </w:pPr>
          </w:p>
        </w:tc>
        <w:tc>
          <w:tcPr>
            <w:tcW w:w="130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80" w:type="dxa"/>
            <w:vAlign w:val="bottom"/>
            <w:tcBorders>
              <w:top w:val="single" w:sz="8" w:color="auto"/>
            </w:tcBorders>
            <w:shd w:val="clear" w:color="auto" w:fill="E5FFFF"/>
          </w:tcPr>
          <w:p>
            <w:pPr>
              <w:spacing w:after="0"/>
              <w:rPr>
                <w:sz w:val="16"/>
                <w:szCs w:val="16"/>
                <w:color w:val="auto"/>
              </w:rPr>
            </w:pPr>
          </w:p>
        </w:tc>
        <w:tc>
          <w:tcPr>
            <w:tcW w:w="1300" w:type="dxa"/>
            <w:vAlign w:val="bottom"/>
            <w:tcBorders>
              <w:top w:val="single" w:sz="8" w:color="auto"/>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Realized loss on interest rate swaps held for trading</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(2,151)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(613)</w:t>
            </w:r>
          </w:p>
        </w:tc>
        <w:tc>
          <w:tcPr>
            <w:tcW w:w="40" w:type="dxa"/>
            <w:vAlign w:val="bottom"/>
          </w:tcPr>
          <w:p>
            <w:pPr>
              <w:spacing w:after="0"/>
              <w:rPr>
                <w:sz w:val="17"/>
                <w:szCs w:val="17"/>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Realized gain on forward foreign exchange contracts held for trading</w:t>
            </w:r>
          </w:p>
        </w:tc>
        <w:tc>
          <w:tcPr>
            <w:tcW w:w="18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1,486</w:t>
            </w:r>
          </w:p>
        </w:tc>
        <w:tc>
          <w:tcPr>
            <w:tcW w:w="40" w:type="dxa"/>
            <w:vAlign w:val="bottom"/>
          </w:tcPr>
          <w:p>
            <w:pPr>
              <w:spacing w:after="0"/>
              <w:rPr>
                <w:sz w:val="17"/>
                <w:szCs w:val="17"/>
                <w:color w:val="auto"/>
              </w:rPr>
            </w:pPr>
          </w:p>
        </w:tc>
      </w:tr>
      <w:tr>
        <w:trPr>
          <w:trHeight w:val="203"/>
        </w:trPr>
        <w:tc>
          <w:tcPr>
            <w:tcW w:w="8080" w:type="dxa"/>
            <w:vAlign w:val="bottom"/>
          </w:tcPr>
          <w:p>
            <w:pPr>
              <w:spacing w:after="0"/>
              <w:rPr>
                <w:sz w:val="20"/>
                <w:szCs w:val="20"/>
                <w:color w:val="auto"/>
              </w:rPr>
            </w:pPr>
            <w:r>
              <w:rPr>
                <w:rFonts w:ascii="Arial" w:cs="Arial" w:eastAsia="Arial" w:hAnsi="Arial"/>
                <w:sz w:val="16"/>
                <w:szCs w:val="16"/>
                <w:color w:val="auto"/>
              </w:rPr>
              <w:t>Unrealized gain on derivative financial instruments held for trading</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2,315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17,161</w:t>
            </w:r>
          </w:p>
        </w:tc>
        <w:tc>
          <w:tcPr>
            <w:tcW w:w="40" w:type="dxa"/>
            <w:vAlign w:val="bottom"/>
          </w:tcPr>
          <w:p>
            <w:pPr>
              <w:spacing w:after="0"/>
              <w:rPr>
                <w:sz w:val="17"/>
                <w:szCs w:val="17"/>
                <w:color w:val="auto"/>
              </w:rPr>
            </w:pPr>
          </w:p>
        </w:tc>
      </w:tr>
      <w:tr>
        <w:trPr>
          <w:trHeight w:val="203"/>
        </w:trPr>
        <w:tc>
          <w:tcPr>
            <w:tcW w:w="808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w:t>
            </w:r>
          </w:p>
        </w:tc>
        <w:tc>
          <w:tcPr>
            <w:tcW w:w="18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E5FFFF"/>
          </w:tcPr>
          <w:p>
            <w:pPr>
              <w:spacing w:after="0"/>
              <w:rPr>
                <w:sz w:val="17"/>
                <w:szCs w:val="17"/>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(263)</w:t>
            </w:r>
          </w:p>
        </w:tc>
        <w:tc>
          <w:tcPr>
            <w:tcW w:w="40" w:type="dxa"/>
            <w:vAlign w:val="bottom"/>
          </w:tcPr>
          <w:p>
            <w:pPr>
              <w:spacing w:after="0"/>
              <w:rPr>
                <w:sz w:val="17"/>
                <w:szCs w:val="17"/>
                <w:color w:val="auto"/>
              </w:rPr>
            </w:pPr>
          </w:p>
        </w:tc>
      </w:tr>
      <w:tr>
        <w:trPr>
          <w:trHeight w:val="196"/>
        </w:trPr>
        <w:tc>
          <w:tcPr>
            <w:tcW w:w="80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17,771</w:t>
            </w:r>
          </w:p>
        </w:tc>
        <w:tc>
          <w:tcPr>
            <w:tcW w:w="40" w:type="dxa"/>
            <w:vAlign w:val="bottom"/>
          </w:tcPr>
          <w:p>
            <w:pPr>
              <w:spacing w:after="0"/>
              <w:rPr>
                <w:sz w:val="17"/>
                <w:szCs w:val="17"/>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80"/>
        <w:spacing w:after="0" w:line="273" w:lineRule="auto"/>
        <w:rPr>
          <w:sz w:val="20"/>
          <w:szCs w:val="20"/>
          <w:color w:val="auto"/>
        </w:rPr>
      </w:pPr>
      <w:r>
        <w:rPr>
          <w:rFonts w:ascii="Arial" w:cs="Arial" w:eastAsia="Arial" w:hAnsi="Arial"/>
          <w:sz w:val="16"/>
          <w:szCs w:val="16"/>
          <w:color w:val="auto"/>
        </w:rPr>
        <w:t>Profit was $42.5 million for the quarter ended March 31, 2018 ($23.4 million for the quarter ended March 31, 2017). This increase in profit is mainly attributable to the positive movement in mark-to-market valuations of our derivative financial instruments in the first quarter of 2018, the increased profit from operations mainly due to the higher number of operating days due to the vessels’ deliveries in the first quarter of 2018 and the increased contribution of our vessels operating in the spot market, partially offset by the increase in finance costs.</w:t>
      </w:r>
    </w:p>
    <w:p>
      <w:pPr>
        <w:spacing w:after="0" w:line="189" w:lineRule="exact"/>
        <w:rPr>
          <w:sz w:val="20"/>
          <w:szCs w:val="20"/>
          <w:color w:val="auto"/>
        </w:rPr>
      </w:pPr>
    </w:p>
    <w:p>
      <w:pPr>
        <w:ind w:right="100"/>
        <w:spacing w:after="0" w:line="230" w:lineRule="auto"/>
        <w:rPr>
          <w:sz w:val="20"/>
          <w:szCs w:val="20"/>
          <w:color w:val="auto"/>
        </w:rPr>
      </w:pPr>
      <w:r>
        <w:rPr>
          <w:rFonts w:ascii="Arial" w:cs="Arial" w:eastAsia="Arial" w:hAnsi="Arial"/>
          <w:sz w:val="16"/>
          <w:szCs w:val="16"/>
          <w:color w:val="auto"/>
        </w:rPr>
        <w:t>Adjusted Profit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$25.3 million for the quarter ended March 31, 2018 ($21.9 million for the quarter ended March 31, 2017) adjusted for the effects of the non-cash gain on swaps and the net foreign exchange gains/losses.</w:t>
      </w:r>
    </w:p>
    <w:p>
      <w:pPr>
        <w:spacing w:after="0" w:line="214"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Profit attributable to the owners of GasLog was $19.3 million for the quarter ended March 31, 2018 ($8.8 million for the quarter ended March 31, 2017). The increase in profit attributable to the owners of GasLog resulted mainly from the respective movements in profit mentioned above, partially offset by the increased amount allocated to third parties as a result of the GasLog Partners’ equity offerings in January 2017, its ATM Programme initiated in May 2017, the issuances of the Series A Preference Units in May 2017 and the Series B Preference Units in January 2018, and the sale of three vessels.</w:t>
      </w:r>
    </w:p>
    <w:p>
      <w:pPr>
        <w:spacing w:after="0" w:line="189" w:lineRule="exact"/>
        <w:rPr>
          <w:sz w:val="20"/>
          <w:szCs w:val="20"/>
          <w:color w:val="auto"/>
        </w:rPr>
      </w:pPr>
    </w:p>
    <w:p>
      <w:pPr>
        <w:jc w:val="both"/>
        <w:ind w:right="40"/>
        <w:spacing w:after="0" w:line="241" w:lineRule="auto"/>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$95.9 million for the quarter ended March 31, 2018 ($89.1 million for the quarter ended March 31, 2017). The increase in EBITDA was driven by the increases in revenues and the increase in the net pool allocation, partially offset by the increases in vessel operating expenses and in the general and administrative expenses as discussed above.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$95.5 million for the quarter ended March 31, 2018 ($89.3 million for the quarter ended March 31, 2017).</w:t>
      </w:r>
    </w:p>
    <w:p>
      <w:pPr>
        <w:spacing w:after="0" w:line="177" w:lineRule="exact"/>
        <w:rPr>
          <w:sz w:val="20"/>
          <w:szCs w:val="20"/>
          <w:color w:val="auto"/>
        </w:rPr>
      </w:pPr>
    </w:p>
    <w:p>
      <w:pPr>
        <w:jc w:val="both"/>
        <w:ind w:right="40"/>
        <w:spacing w:after="0" w:line="293" w:lineRule="auto"/>
        <w:rPr>
          <w:sz w:val="20"/>
          <w:szCs w:val="20"/>
          <w:color w:val="auto"/>
        </w:rPr>
      </w:pPr>
      <w:r>
        <w:rPr>
          <w:rFonts w:ascii="Arial" w:cs="Arial" w:eastAsia="Arial" w:hAnsi="Arial"/>
          <w:sz w:val="16"/>
          <w:szCs w:val="16"/>
          <w:color w:val="auto"/>
        </w:rPr>
        <w:t>EPS was $0.21 for the quarter ended March 31, 2018 ($0.08 for the quarter ended March 31, 2017). The increase in earnings per share is mainly attributable to the respective movements in profit attributable to the owners of GasLog discussed above.</w:t>
      </w:r>
    </w:p>
    <w:p>
      <w:pPr>
        <w:spacing w:after="0" w:line="172" w:lineRule="exact"/>
        <w:rPr>
          <w:sz w:val="20"/>
          <w:szCs w:val="20"/>
          <w:color w:val="auto"/>
        </w:rPr>
      </w:pPr>
    </w:p>
    <w:p>
      <w:pPr>
        <w:jc w:val="both"/>
        <w:ind w:right="60"/>
        <w:spacing w:after="0" w:line="230" w:lineRule="auto"/>
        <w:rPr>
          <w:sz w:val="20"/>
          <w:szCs w:val="20"/>
          <w:color w:val="auto"/>
        </w:rPr>
      </w:pPr>
      <w:r>
        <w:rPr>
          <w:rFonts w:ascii="Arial" w:cs="Arial" w:eastAsia="Arial" w:hAnsi="Arial"/>
          <w:sz w:val="16"/>
          <w:szCs w:val="16"/>
          <w:color w:val="auto"/>
        </w:rPr>
        <w:t>Adjusted EPS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a loss of $0.01 for the quarter ended March 31, 2018 (earnings of $0.06 for the quarter ended March 31, 2017), adjusted for the effects of the non-cash gain on swaps and the net foreign exchange gains/losses.</w:t>
      </w:r>
    </w:p>
    <w:p>
      <w:pPr>
        <w:spacing w:after="0" w:line="205" w:lineRule="exact"/>
        <w:rPr>
          <w:sz w:val="20"/>
          <w:szCs w:val="20"/>
          <w:color w:val="auto"/>
        </w:rPr>
      </w:pPr>
    </w:p>
    <w:p>
      <w:pPr>
        <w:ind w:left="140" w:right="60" w:hanging="132"/>
        <w:spacing w:after="0" w:line="222" w:lineRule="auto"/>
        <w:tabs>
          <w:tab w:leader="none" w:pos="166"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ectPr>
          <w:pgSz w:w="11900" w:h="16838" w:orient="portrait"/>
          <w:cols w:equalWidth="0" w:num="1">
            <w:col w:w="11460"/>
          </w:cols>
          <w:pgMar w:left="240" w:top="130" w:right="199" w:bottom="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auto"/>
        </w:rPr>
        <w:t>Contracted Charter Revenues</w:t>
      </w:r>
    </w:p>
    <w:p>
      <w:pPr>
        <w:spacing w:after="0" w:line="239" w:lineRule="exact"/>
        <w:rPr>
          <w:sz w:val="20"/>
          <w:szCs w:val="20"/>
          <w:color w:val="auto"/>
        </w:rPr>
      </w:pPr>
    </w:p>
    <w:p>
      <w:pPr>
        <w:jc w:val="both"/>
        <w:ind w:right="220"/>
        <w:spacing w:after="0" w:line="241" w:lineRule="auto"/>
        <w:rPr>
          <w:sz w:val="20"/>
          <w:szCs w:val="20"/>
          <w:color w:val="auto"/>
        </w:rPr>
      </w:pPr>
      <w:r>
        <w:rPr>
          <w:rFonts w:ascii="Arial" w:cs="Arial" w:eastAsia="Arial" w:hAnsi="Arial"/>
          <w:sz w:val="16"/>
          <w:szCs w:val="16"/>
          <w:color w:val="auto"/>
        </w:rPr>
        <w:t>GasLog’s contracted charter revenues are estimated to increase from $486.0 million for the fiscal year 2017 to $523.7 million for the fiscal year 2019, based on contracts in effect as of March 31, 2018, without including any extension options. As of March 31, 2018, the total future firm contracted revenue stood at $3.1 billion</w:t>
      </w:r>
      <w:r>
        <w:rPr>
          <w:rFonts w:ascii="Arial" w:cs="Arial" w:eastAsia="Arial" w:hAnsi="Arial"/>
          <w:sz w:val="21"/>
          <w:szCs w:val="21"/>
          <w:color w:val="auto"/>
          <w:vertAlign w:val="superscript"/>
        </w:rPr>
        <w:t>(1)</w:t>
      </w:r>
      <w:r>
        <w:rPr>
          <w:rFonts w:ascii="Arial" w:cs="Arial" w:eastAsia="Arial" w:hAnsi="Arial"/>
          <w:sz w:val="16"/>
          <w:szCs w:val="16"/>
          <w:color w:val="auto"/>
        </w:rPr>
        <w:t>, including the 13 vessels currently owned by GasLog Partners, but excluding the vessels operating in the spot market.</w:t>
      </w:r>
    </w:p>
    <w:p>
      <w:pPr>
        <w:spacing w:after="0" w:line="203" w:lineRule="exact"/>
        <w:rPr>
          <w:sz w:val="20"/>
          <w:szCs w:val="20"/>
          <w:color w:val="auto"/>
        </w:rPr>
      </w:pPr>
    </w:p>
    <w:p>
      <w:pPr>
        <w:ind w:right="700" w:firstLine="8"/>
        <w:spacing w:after="0" w:line="344" w:lineRule="auto"/>
        <w:tabs>
          <w:tab w:leader="none" w:pos="127" w:val="left"/>
        </w:tabs>
        <w:numPr>
          <w:ilvl w:val="0"/>
          <w:numId w:val="6"/>
        </w:numPr>
        <w:rPr>
          <w:rFonts w:ascii="Arial" w:cs="Arial" w:eastAsia="Arial" w:hAnsi="Arial"/>
          <w:sz w:val="13"/>
          <w:szCs w:val="13"/>
          <w:color w:val="auto"/>
          <w:vertAlign w:val="superscript"/>
        </w:rPr>
      </w:pPr>
      <w:r>
        <w:rPr>
          <w:rFonts w:ascii="Arial" w:cs="Arial" w:eastAsia="Arial" w:hAnsi="Arial"/>
          <w:sz w:val="11"/>
          <w:szCs w:val="11"/>
          <w:color w:val="auto"/>
        </w:rPr>
        <w:t>Contracted revenue calculations assume: (a) 365 revenue days per annum, with 30 off-hire days when the ship undergoes scheduled dry-docking and ten additional off-hire days for the enhancements of three vessels; (b) all LNG carriers on order are delivered on schedule; and (c) no exercise of any option to extend the terms of charters.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239"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As of March 31, 2018, GasLog had $349.1 million of cash and cash equivalents, of which $234.4 million was held in time deposits and the remaining balance in current accounts. Moreover, as of March 31, 2018, GasLog had $10.0 million held in time deposits with an initial duration of more than three months but less than a year that have been classified as short-term investments and $4.9 million in restricted cash which consisted of guarantees held for vessels with respect to the enhancement of their operational performance.</w:t>
      </w:r>
    </w:p>
    <w:p>
      <w:pPr>
        <w:spacing w:after="0" w:line="18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As of March 31, 2018, GasLog had an aggregate of $3.0 billion of indebtedness outstanding under its credit facilities and bond agreements, of which $182.4 million was repayable within one year, and a $211.7 million finance lease liability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of which $6.4 million was repayable within one year.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of March 31, 2018, GasLog, through GasLog Partners, had prepaid in full the outstanding $29.8 million of the junior tranche of the Five Vessel Refinancing, which would have been due in April 2018.</w:t>
      </w:r>
    </w:p>
    <w:p>
      <w:pPr>
        <w:spacing w:after="0" w:line="17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As of March 31, 2018, there was undrawn available capacity of $100.0 million under the revolving credit facility of the credit agreement of up to $1.1 billion entered into on July 19, 2016 (the “Legacy Facility Refinancing”).</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2018, the total remaining balance of the contract prices of the four LNG carriers on order was $719.8 million that GasLog expects to be funded with the</w:t>
      </w:r>
    </w:p>
    <w:p>
      <w:pPr>
        <w:spacing w:after="0" w:line="34"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$165.8 million undrawn capacity under the financing agreement entered into on October 16, 2015, as well as cash balances, cash from operations and borrowings under new and existing debt agreements.</w:t>
      </w:r>
    </w:p>
    <w:p>
      <w:pPr>
        <w:spacing w:after="0" w:line="17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of March 31, 2018, GasLog’s current assets totaled $406.6 million while current liabilities totaled $282.4 million, resulting in a positive working capital position of $124.2 million.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GasLog has hedged 45.8% of its expected floating interest rate exposure on its outstanding debt (excluding the finance lease liability) as of March 31, 2018.</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Future Deliveries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GasLog has four newbuildings on order at Samsung which are on schedule and within budget: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Cargo</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Capacity</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Charter</w:t>
            </w:r>
          </w:p>
        </w:tc>
      </w:tr>
      <w:tr>
        <w:trPr>
          <w:trHeight w:val="216"/>
        </w:trPr>
        <w:tc>
          <w:tcPr>
            <w:tcW w:w="20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680" w:type="dxa"/>
            <w:vAlign w:val="bottom"/>
            <w:gridSpan w:val="2"/>
          </w:tcPr>
          <w:p>
            <w:pPr>
              <w:jc w:val="center"/>
              <w:ind w:right="300"/>
              <w:spacing w:after="0" w:line="217" w:lineRule="exact"/>
              <w:rPr>
                <w:sz w:val="20"/>
                <w:szCs w:val="20"/>
                <w:color w:val="auto"/>
              </w:rPr>
            </w:pPr>
            <w:r>
              <w:rPr>
                <w:rFonts w:ascii="Arial" w:cs="Arial" w:eastAsia="Arial" w:hAnsi="Arial"/>
                <w:sz w:val="16"/>
                <w:szCs w:val="16"/>
                <w:b w:val="1"/>
                <w:bCs w:val="1"/>
                <w:color w:val="auto"/>
                <w:w w:val="89"/>
              </w:rPr>
              <w:t>Year Built</w:t>
            </w:r>
            <w:r>
              <w:rPr>
                <w:rFonts w:ascii="Arial" w:cs="Arial" w:eastAsia="Arial" w:hAnsi="Arial"/>
                <w:sz w:val="21"/>
                <w:szCs w:val="21"/>
                <w:b w:val="1"/>
                <w:bCs w:val="1"/>
                <w:color w:val="auto"/>
                <w:w w:val="89"/>
                <w:vertAlign w:val="superscript"/>
              </w:rPr>
              <w:t>(1)</w:t>
            </w: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Shipyard</w:t>
            </w: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(cbm)</w:t>
            </w: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Charterer</w:t>
            </w: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Propulsion</w:t>
            </w:r>
          </w:p>
        </w:tc>
        <w:tc>
          <w:tcPr>
            <w:tcW w:w="1820" w:type="dxa"/>
            <w:vAlign w:val="bottom"/>
          </w:tcPr>
          <w:p>
            <w:pPr>
              <w:jc w:val="center"/>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(2)</w:t>
            </w:r>
          </w:p>
        </w:tc>
      </w:tr>
      <w:tr>
        <w:trPr>
          <w:trHeight w:val="196"/>
        </w:trPr>
        <w:tc>
          <w:tcPr>
            <w:tcW w:w="17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Hull No. 2131</w:t>
            </w:r>
          </w:p>
        </w:tc>
        <w:tc>
          <w:tcPr>
            <w:tcW w:w="3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4"/>
              </w:rPr>
              <w:t>Q1 2019</w:t>
            </w:r>
          </w:p>
        </w:tc>
        <w:tc>
          <w:tcPr>
            <w:tcW w:w="30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5"/>
              </w:rPr>
              <w:t>Samsung</w:t>
            </w:r>
          </w:p>
        </w:tc>
        <w:tc>
          <w:tcPr>
            <w:tcW w:w="28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2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3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4"/>
              </w:rPr>
              <w:t>LP-2S</w:t>
            </w:r>
          </w:p>
        </w:tc>
        <w:tc>
          <w:tcPr>
            <w:tcW w:w="28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2029</w:t>
            </w:r>
          </w:p>
        </w:tc>
      </w:tr>
      <w:tr>
        <w:trPr>
          <w:trHeight w:val="203"/>
        </w:trPr>
        <w:tc>
          <w:tcPr>
            <w:tcW w:w="2020" w:type="dxa"/>
            <w:vAlign w:val="bottom"/>
            <w:gridSpan w:val="2"/>
          </w:tcPr>
          <w:p>
            <w:pPr>
              <w:spacing w:after="0"/>
              <w:rPr>
                <w:sz w:val="20"/>
                <w:szCs w:val="20"/>
                <w:color w:val="auto"/>
              </w:rPr>
            </w:pPr>
            <w:r>
              <w:rPr>
                <w:rFonts w:ascii="Arial" w:cs="Arial" w:eastAsia="Arial" w:hAnsi="Arial"/>
                <w:sz w:val="16"/>
                <w:szCs w:val="16"/>
                <w:color w:val="auto"/>
              </w:rPr>
              <w:t>Hull No. 2212</w:t>
            </w: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Q3 2019</w:t>
            </w: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85"/>
              </w:rPr>
              <w:t>Samsung</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2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LP-2S</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202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2213</w:t>
            </w:r>
          </w:p>
        </w:tc>
        <w:tc>
          <w:tcPr>
            <w:tcW w:w="168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4"/>
              </w:rPr>
              <w:t>Q2 2020</w:t>
            </w:r>
          </w:p>
        </w:tc>
        <w:tc>
          <w:tcPr>
            <w:tcW w:w="142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85"/>
              </w:rPr>
              <w:t>Samsung</w:t>
            </w:r>
          </w:p>
        </w:tc>
        <w:tc>
          <w:tcPr>
            <w:tcW w:w="11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28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0"/>
              </w:rPr>
              <w:t>Centrica</w:t>
            </w:r>
          </w:p>
        </w:tc>
        <w:tc>
          <w:tcPr>
            <w:tcW w:w="152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4"/>
              </w:rPr>
              <w:t>LP-2S</w:t>
            </w:r>
          </w:p>
        </w:tc>
        <w:tc>
          <w:tcPr>
            <w:tcW w:w="18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5"/>
              </w:rPr>
              <w:t>2027</w:t>
            </w:r>
          </w:p>
        </w:tc>
      </w:tr>
      <w:tr>
        <w:trPr>
          <w:trHeight w:val="206"/>
        </w:trPr>
        <w:tc>
          <w:tcPr>
            <w:tcW w:w="2020" w:type="dxa"/>
            <w:vAlign w:val="bottom"/>
            <w:gridSpan w:val="2"/>
          </w:tcPr>
          <w:p>
            <w:pPr>
              <w:spacing w:after="0"/>
              <w:rPr>
                <w:sz w:val="20"/>
                <w:szCs w:val="20"/>
                <w:color w:val="auto"/>
              </w:rPr>
            </w:pPr>
            <w:r>
              <w:rPr>
                <w:rFonts w:ascii="Arial" w:cs="Arial" w:eastAsia="Arial" w:hAnsi="Arial"/>
                <w:sz w:val="16"/>
                <w:szCs w:val="16"/>
                <w:color w:val="auto"/>
              </w:rPr>
              <w:t>Hull No. 2274</w:t>
            </w: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Q2 2020</w:t>
            </w: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85"/>
              </w:rPr>
              <w:t>Samsung</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2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w:t>
            </w: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LP-2S</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46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3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Expected delivery quarters are presented.</w:t>
      </w:r>
    </w:p>
    <w:p>
      <w:pPr>
        <w:ind w:left="260" w:hanging="252"/>
        <w:spacing w:after="0" w:line="197" w:lineRule="auto"/>
        <w:tabs>
          <w:tab w:leader="none" w:pos="2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Charter expiration to be determined based upon actual date of delivery.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39" w:lineRule="exact"/>
        <w:rPr>
          <w:sz w:val="20"/>
          <w:szCs w:val="20"/>
          <w:color w:val="auto"/>
        </w:rPr>
      </w:pPr>
    </w:p>
    <w:p>
      <w:pPr>
        <w:jc w:val="both"/>
        <w:ind w:right="200"/>
        <w:spacing w:after="0" w:line="278" w:lineRule="auto"/>
        <w:rPr>
          <w:sz w:val="20"/>
          <w:szCs w:val="20"/>
          <w:color w:val="auto"/>
        </w:rPr>
      </w:pPr>
      <w:r>
        <w:rPr>
          <w:rFonts w:ascii="Arial" w:cs="Arial" w:eastAsia="Arial" w:hAnsi="Arial"/>
          <w:sz w:val="16"/>
          <w:szCs w:val="16"/>
          <w:color w:val="auto"/>
        </w:rPr>
        <w:t>GasLog will host a conference call to discuss its results for the first quarter of 2018 at 8:30 a.m. EDT (1:30 p.m. BST) on Friday, May 4, 2018. Paul Wogan, Chief Executive Officer, and Alastair Maxwell, Chief Financial Officer, will review the Company’s operational and financial performance for the period. Management’s presentation will be followed by a Q&amp;A session.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+1 855 282 5963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3011 4522 (Hong Kong)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8579499</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live webcast of the conference call will also be available on the investor relations page of the Company’s website at </w:t>
      </w:r>
      <w:r>
        <w:rPr>
          <w:rFonts w:ascii="Arial" w:cs="Arial" w:eastAsia="Arial" w:hAnsi="Arial"/>
          <w:sz w:val="16"/>
          <w:szCs w:val="16"/>
          <w:u w:val="single" w:color="auto"/>
          <w:color w:val="0000FF"/>
        </w:rPr>
        <w:t>http://www.gaslogltd.com/investor-relations</w:t>
      </w:r>
      <w:r>
        <w:rPr>
          <w:rFonts w:ascii="Arial" w:cs="Arial" w:eastAsia="Arial" w:hAnsi="Arial"/>
          <w:sz w:val="16"/>
          <w:szCs w:val="16"/>
          <w:color w:val="auto"/>
        </w:rPr>
        <w:t>.</w:t>
      </w:r>
    </w:p>
    <w:p>
      <w:pPr>
        <w:spacing w:after="0" w:line="23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For those unable to participate in the conference call, a replay will also be available from 12:00 p.m. EDT (5:00 p.m. BST) on Friday, May 4, 2018 until 12:00 p.m. EDT (5:00 p.m. BST) on Friday, May 11, 2018.</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replay dial-in numbers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+1 855 859 2056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0235 (United Kingdom)</w:t>
      </w:r>
    </w:p>
    <w:p>
      <w:pPr>
        <w:sectPr>
          <w:pgSz w:w="11900" w:h="16838" w:orient="portrait"/>
          <w:cols w:equalWidth="0" w:num="1">
            <w:col w:w="11420"/>
          </w:cols>
          <w:pgMar w:left="240" w:top="342" w:right="239" w:bottom="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+33 1 70 80 71 79 (France)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+852 3011 4541 (Hong Kong)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Replay passcode: 8579499</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replay will also be available via a webcast in the investor relations page of the Company’s website at </w:t>
      </w:r>
      <w:r>
        <w:rPr>
          <w:rFonts w:ascii="Arial" w:cs="Arial" w:eastAsia="Arial" w:hAnsi="Arial"/>
          <w:sz w:val="16"/>
          <w:szCs w:val="16"/>
          <w:u w:val="single" w:color="auto"/>
          <w:color w:val="0000FF"/>
        </w:rPr>
        <w:t>http://www.gaslogltd.com/investor-relations</w:t>
      </w:r>
      <w:r>
        <w:rPr>
          <w:rFonts w:ascii="Arial" w:cs="Arial" w:eastAsia="Arial" w:hAnsi="Arial"/>
          <w:sz w:val="16"/>
          <w:szCs w:val="16"/>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w:t>
      </w:r>
    </w:p>
    <w:p>
      <w:pPr>
        <w:spacing w:after="0" w:line="23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GasLog is an international owner, operator and manager of LNG carriers providing support to international energy companies as part of their LNG logistics chain. GasLog’s consolidated fleet consists of 29 LNG carriers (25 ships on the water and four on order). GasLog also has an additional LNG carrier which was sold to a subsidiary of Mitsui &amp; Co., Ltd. and leased back under a long-term bareboat charter. Following the closing of the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GasLog Gibraltar </w:t>
      </w:r>
      <w:r>
        <w:rPr>
          <w:rFonts w:ascii="Arial" w:cs="Arial" w:eastAsia="Arial" w:hAnsi="Arial"/>
          <w:sz w:val="16"/>
          <w:szCs w:val="16"/>
          <w:color w:val="auto"/>
        </w:rPr>
        <w:t>acquisition, GasLog’s consolidated fleet includes 13 LNG carriers in operation owned by GasLog Partners. GasLog’s principal executive offices are at Gildo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Pastor Center, 7 Rue du Gabian, MC 98000, Monaco. Visit GasLog’s website at </w:t>
      </w:r>
      <w:r>
        <w:rPr>
          <w:rFonts w:ascii="Arial" w:cs="Arial" w:eastAsia="Arial" w:hAnsi="Arial"/>
          <w:sz w:val="16"/>
          <w:szCs w:val="16"/>
          <w:u w:val="single" w:color="auto"/>
          <w:color w:val="0000FF"/>
        </w:rPr>
        <w:t>http://www.gaslogltd.com</w:t>
      </w:r>
      <w:r>
        <w:rPr>
          <w:rFonts w:ascii="Arial" w:cs="Arial" w:eastAsia="Arial" w:hAnsi="Arial"/>
          <w:sz w:val="16"/>
          <w:szCs w:val="16"/>
          <w:u w:val="single" w:color="auto"/>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 Looking Statements</w:t>
      </w:r>
    </w:p>
    <w:p>
      <w:pPr>
        <w:spacing w:after="0" w:line="239"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520" w:right="340" w:hanging="188"/>
        <w:spacing w:after="0" w:line="266" w:lineRule="auto"/>
        <w:tabs>
          <w:tab w:leader="none" w:pos="475"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spot and long-term charter hire rates and vessel values;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520" w:right="40" w:hanging="196"/>
        <w:spacing w:after="0" w:line="264" w:lineRule="auto"/>
        <w:tabs>
          <w:tab w:leader="none" w:pos="474"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no longer under long-term time charter commitments, including the risk that certain of our vessels may no longer have the latest technology which may impact the rate at which we can charter such vessels;</w:t>
      </w:r>
    </w:p>
    <w:p>
      <w:pPr>
        <w:ind w:left="480" w:hanging="156"/>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maintain long term relationships and enter into time charters with new and existing customers;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520" w:right="100" w:hanging="188"/>
        <w:spacing w:after="0" w:line="264" w:lineRule="auto"/>
        <w:tabs>
          <w:tab w:leader="none" w:pos="475"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20" w:right="180" w:hanging="188"/>
        <w:spacing w:after="0" w:line="264" w:lineRule="auto"/>
        <w:tabs>
          <w:tab w:leader="none" w:pos="47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risks inherent in ship operation, including the risk of accidents, collisions and the discharge of pollutants;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political events, piracy or acts by terrorists;</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460" w:hanging="128"/>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breach; and</w:t>
      </w:r>
    </w:p>
    <w:p>
      <w:pPr>
        <w:spacing w:after="0" w:line="30" w:lineRule="exact"/>
        <w:rPr>
          <w:rFonts w:ascii="Arial" w:cs="Arial" w:eastAsia="Arial" w:hAnsi="Arial"/>
          <w:sz w:val="15"/>
          <w:szCs w:val="15"/>
          <w:color w:val="auto"/>
        </w:rPr>
      </w:pPr>
    </w:p>
    <w:p>
      <w:pPr>
        <w:ind w:left="460" w:hanging="128"/>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Company’s Annual Report on Form 20-F filed with the SEC on February 28, 2018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42"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9" w:lineRule="exact"/>
        <w:rPr>
          <w:sz w:val="20"/>
          <w:szCs w:val="20"/>
          <w:color w:val="auto"/>
        </w:rPr>
      </w:pPr>
    </w:p>
    <w:p>
      <w:pPr>
        <w:ind w:right="220"/>
        <w:spacing w:after="0" w:line="329" w:lineRule="auto"/>
        <w:rPr>
          <w:sz w:val="20"/>
          <w:szCs w:val="20"/>
          <w:color w:val="auto"/>
        </w:rPr>
      </w:pPr>
      <w:r>
        <w:rPr>
          <w:rFonts w:ascii="Arial" w:cs="Arial" w:eastAsia="Arial" w:hAnsi="Arial"/>
          <w:sz w:val="15"/>
          <w:szCs w:val="15"/>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Alastair Maxwell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+44-203-388-3100</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Phil Corbett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+44-203-388-3116</w:t>
      </w:r>
    </w:p>
    <w:p>
      <w:pPr>
        <w:sectPr>
          <w:pgSz w:w="11900" w:h="16838" w:orient="portrait"/>
          <w:cols w:equalWidth="0" w:num="1">
            <w:col w:w="11400"/>
          </w:cols>
          <w:pgMar w:left="240" w:top="130" w:right="259" w:bottom="173"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0" w:right="259" w:bottom="173"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Deputy 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ir@gaslogltd.com</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2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5120" w:type="dxa"/>
            <w:vAlign w:val="bottom"/>
          </w:tcPr>
          <w:p>
            <w:pPr>
              <w:spacing w:after="0"/>
              <w:rPr>
                <w:sz w:val="20"/>
                <w:szCs w:val="20"/>
                <w:color w:val="auto"/>
              </w:rPr>
            </w:pPr>
            <w:r>
              <w:rPr>
                <w:rFonts w:ascii="Arial" w:cs="Arial" w:eastAsia="Arial" w:hAnsi="Arial"/>
                <w:sz w:val="16"/>
                <w:szCs w:val="16"/>
                <w:b w:val="1"/>
                <w:bCs w:val="1"/>
                <w:color w:val="auto"/>
                <w:w w:val="99"/>
              </w:rPr>
              <w:t>Unaudited condensed consolidated statements of financial position</w:t>
            </w:r>
          </w:p>
        </w:tc>
        <w:tc>
          <w:tcPr>
            <w:tcW w:w="2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b w:val="1"/>
                <w:bCs w:val="1"/>
                <w:color w:val="auto"/>
              </w:rPr>
              <w:t>As of December 31, 2017 and March 31, 2018</w:t>
            </w:r>
          </w:p>
        </w:tc>
        <w:tc>
          <w:tcPr>
            <w:tcW w:w="2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2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December 31, 2017</w:t>
            </w:r>
          </w:p>
        </w:tc>
        <w:tc>
          <w:tcPr>
            <w:tcW w:w="15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189"/>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2900" w:type="dxa"/>
            <w:vAlign w:val="bottom"/>
            <w:tcBorders>
              <w:top w:val="single" w:sz="8" w:color="E5FFFF"/>
            </w:tcBorders>
            <w:shd w:val="clear" w:color="auto" w:fill="E5FFFF"/>
          </w:tcPr>
          <w:p>
            <w:pPr>
              <w:spacing w:after="0"/>
              <w:rPr>
                <w:sz w:val="16"/>
                <w:szCs w:val="16"/>
                <w:color w:val="auto"/>
              </w:rPr>
            </w:pPr>
          </w:p>
        </w:tc>
        <w:tc>
          <w:tcPr>
            <w:tcW w:w="164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48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9,511</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20,800</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20,393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17,519</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428</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16,012</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32,358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Tangible fixed assets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3,772,566</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4,393,288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166,655</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60,746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Vessel held under finance lease</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214,329</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212,427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290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4,217,820</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4,734,758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2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10,706</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13,094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8,666</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2,199</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7,195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Inventories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6,839</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4,569</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Short-term investments</w:t>
            </w:r>
          </w:p>
        </w:tc>
        <w:tc>
          <w:tcPr>
            <w:tcW w:w="2900" w:type="dxa"/>
            <w:vAlign w:val="bottom"/>
          </w:tcPr>
          <w:p>
            <w:pPr>
              <w:spacing w:after="0"/>
              <w:rPr>
                <w:sz w:val="17"/>
                <w:szCs w:val="17"/>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Restricted cash</w:t>
            </w:r>
          </w:p>
        </w:tc>
        <w:tc>
          <w:tcPr>
            <w:tcW w:w="2900" w:type="dxa"/>
            <w:vAlign w:val="bottom"/>
            <w:shd w:val="clear" w:color="auto" w:fill="E5FFFF"/>
          </w:tcPr>
          <w:p>
            <w:pPr>
              <w:spacing w:after="0"/>
              <w:rPr>
                <w:sz w:val="17"/>
                <w:szCs w:val="17"/>
                <w:color w:val="auto"/>
              </w:rPr>
            </w:pPr>
          </w:p>
        </w:tc>
        <w:tc>
          <w:tcPr>
            <w:tcW w:w="192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384,092</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349,147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290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417,071</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406,558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assets</w:t>
            </w:r>
          </w:p>
        </w:tc>
        <w:tc>
          <w:tcPr>
            <w:tcW w:w="2900" w:type="dxa"/>
            <w:vAlign w:val="bottom"/>
            <w:tcBorders>
              <w:bottom w:val="single" w:sz="8" w:color="E5FF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4,634,891</w:t>
            </w:r>
          </w:p>
        </w:tc>
        <w:tc>
          <w:tcPr>
            <w:tcW w:w="28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5,141,316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120" w:type="dxa"/>
            <w:vAlign w:val="bottom"/>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Equity and liabilities</w:t>
            </w:r>
          </w:p>
        </w:tc>
        <w:tc>
          <w:tcPr>
            <w:tcW w:w="2900" w:type="dxa"/>
            <w:vAlign w:val="bottom"/>
            <w:shd w:val="clear" w:color="auto" w:fill="E5FFFF"/>
          </w:tcPr>
          <w:p>
            <w:pPr>
              <w:spacing w:after="0"/>
              <w:rPr>
                <w:sz w:val="13"/>
                <w:szCs w:val="13"/>
                <w:color w:val="auto"/>
              </w:rPr>
            </w:pPr>
          </w:p>
        </w:tc>
        <w:tc>
          <w:tcPr>
            <w:tcW w:w="1640" w:type="dxa"/>
            <w:vAlign w:val="bottom"/>
            <w:shd w:val="clear" w:color="auto" w:fill="E5FFFF"/>
          </w:tcPr>
          <w:p>
            <w:pPr>
              <w:spacing w:after="0"/>
              <w:rPr>
                <w:sz w:val="13"/>
                <w:szCs w:val="13"/>
                <w:color w:val="auto"/>
              </w:rPr>
            </w:pPr>
          </w:p>
        </w:tc>
        <w:tc>
          <w:tcPr>
            <w:tcW w:w="280" w:type="dxa"/>
            <w:vAlign w:val="bottom"/>
            <w:shd w:val="clear" w:color="auto" w:fill="E5FFFF"/>
          </w:tcPr>
          <w:p>
            <w:pPr>
              <w:spacing w:after="0"/>
              <w:rPr>
                <w:sz w:val="13"/>
                <w:szCs w:val="13"/>
                <w:color w:val="auto"/>
              </w:rPr>
            </w:pPr>
          </w:p>
        </w:tc>
        <w:tc>
          <w:tcPr>
            <w:tcW w:w="1380" w:type="dxa"/>
            <w:vAlign w:val="bottom"/>
            <w:shd w:val="clear" w:color="auto" w:fill="E5FFFF"/>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2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Preference shares</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46</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Share capital</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810</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Contributed surplus</w:t>
            </w:r>
          </w:p>
        </w:tc>
        <w:tc>
          <w:tcPr>
            <w:tcW w:w="48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911,766</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897,950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Reserves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18,347</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20,414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Treasury shares</w:t>
            </w:r>
          </w:p>
        </w:tc>
        <w:tc>
          <w:tcPr>
            <w:tcW w:w="482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(6,960)</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(Accumulated deficit)/retained earnings</w:t>
            </w:r>
          </w:p>
        </w:tc>
        <w:tc>
          <w:tcPr>
            <w:tcW w:w="4820" w:type="dxa"/>
            <w:vAlign w:val="bottom"/>
            <w:gridSpan w:val="3"/>
          </w:tcPr>
          <w:p>
            <w:pPr>
              <w:jc w:val="right"/>
              <w:ind w:right="220"/>
              <w:spacing w:after="0"/>
              <w:rPr>
                <w:sz w:val="20"/>
                <w:szCs w:val="20"/>
                <w:color w:val="auto"/>
              </w:rPr>
            </w:pPr>
            <w:r>
              <w:rPr>
                <w:rFonts w:ascii="Arial" w:cs="Arial" w:eastAsia="Arial" w:hAnsi="Arial"/>
                <w:sz w:val="16"/>
                <w:szCs w:val="16"/>
                <w:color w:val="auto"/>
              </w:rPr>
              <w:t>(5,980)</w:t>
            </w:r>
          </w:p>
        </w:tc>
        <w:tc>
          <w:tcPr>
            <w:tcW w:w="1380" w:type="dxa"/>
            <w:vAlign w:val="bottom"/>
          </w:tcPr>
          <w:p>
            <w:pPr>
              <w:jc w:val="right"/>
              <w:spacing w:after="0"/>
              <w:rPr>
                <w:sz w:val="20"/>
                <w:szCs w:val="20"/>
                <w:color w:val="auto"/>
              </w:rPr>
            </w:pPr>
            <w:r>
              <w:rPr>
                <w:rFonts w:ascii="Arial" w:cs="Arial" w:eastAsia="Arial" w:hAnsi="Arial"/>
                <w:sz w:val="16"/>
                <w:szCs w:val="16"/>
                <w:color w:val="auto"/>
              </w:rPr>
              <w:t>13,514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290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918,029</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925,712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845,105</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958,682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equity</w:t>
            </w:r>
          </w:p>
        </w:tc>
        <w:tc>
          <w:tcPr>
            <w:tcW w:w="290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1,763,134</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1,884,394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29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482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11,526</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13,523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Ship management creditors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2,394</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1,877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Amounts due to related parties</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35</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Derivative financial instruments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1,815</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93,418</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78,137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Borrowings, current portion</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179,367</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182,444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Finance lease liability, current portion</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6,302</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2900" w:type="dxa"/>
            <w:vAlign w:val="bottom"/>
            <w:tcBorders>
              <w:bottom w:val="single" w:sz="8" w:color="E5FFFF"/>
            </w:tcBorders>
          </w:tcPr>
          <w:p>
            <w:pPr>
              <w:spacing w:after="0"/>
              <w:rPr>
                <w:sz w:val="17"/>
                <w:szCs w:val="17"/>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294,857</w:t>
            </w: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282,373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2900" w:type="dxa"/>
            <w:vAlign w:val="bottom"/>
            <w:shd w:val="clear" w:color="auto" w:fill="E5FFFF"/>
          </w:tcPr>
          <w:p>
            <w:pPr>
              <w:spacing w:after="0"/>
              <w:rPr>
                <w:sz w:val="15"/>
                <w:szCs w:val="15"/>
                <w:color w:val="auto"/>
              </w:rPr>
            </w:pPr>
          </w:p>
        </w:tc>
        <w:tc>
          <w:tcPr>
            <w:tcW w:w="164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Borrowings, non-current portion</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2,368,189</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2,767,970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Finance lease liability, non-current portion</w:t>
            </w:r>
          </w:p>
        </w:tc>
        <w:tc>
          <w:tcPr>
            <w:tcW w:w="45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207,126</w:t>
            </w: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205,263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540" w:type="dxa"/>
            <w:vAlign w:val="bottom"/>
            <w:gridSpan w:val="2"/>
          </w:tcPr>
          <w:p>
            <w:pPr>
              <w:jc w:val="right"/>
              <w:spacing w:after="0"/>
              <w:rPr>
                <w:sz w:val="20"/>
                <w:szCs w:val="20"/>
                <w:color w:val="auto"/>
              </w:rPr>
            </w:pPr>
            <w:r>
              <w:rPr>
                <w:rFonts w:ascii="Arial" w:cs="Arial" w:eastAsia="Arial" w:hAnsi="Arial"/>
                <w:sz w:val="16"/>
                <w:szCs w:val="16"/>
                <w:color w:val="auto"/>
              </w:rPr>
              <w:t>1,585</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2900" w:type="dxa"/>
            <w:vAlign w:val="bottom"/>
            <w:tcBorders>
              <w:top w:val="single" w:sz="8" w:color="E5FFFF"/>
            </w:tcBorders>
            <w:shd w:val="clear" w:color="auto" w:fill="E5FFFF"/>
          </w:tcPr>
          <w:p>
            <w:pPr>
              <w:spacing w:after="0"/>
              <w:rPr>
                <w:sz w:val="17"/>
                <w:szCs w:val="17"/>
                <w:color w:val="auto"/>
              </w:rPr>
            </w:pPr>
          </w:p>
        </w:tc>
        <w:tc>
          <w:tcPr>
            <w:tcW w:w="1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2,576,900</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2,974,549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29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4,634,891</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5,141,316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900" w:type="dxa"/>
            <w:vAlign w:val="bottom"/>
            <w:vMerge w:val="restart"/>
          </w:tcPr>
          <w:p>
            <w:pPr>
              <w:jc w:val="right"/>
              <w:ind w:right="2159"/>
              <w:spacing w:after="0"/>
              <w:rPr>
                <w:sz w:val="20"/>
                <w:szCs w:val="20"/>
                <w:color w:val="auto"/>
              </w:rPr>
            </w:pPr>
            <w:r>
              <w:rPr>
                <w:rFonts w:ascii="Arial" w:cs="Arial" w:eastAsia="Arial" w:hAnsi="Arial"/>
                <w:sz w:val="14"/>
                <w:szCs w:val="14"/>
                <w:color w:val="auto"/>
              </w:rPr>
              <w:t>12</w:t>
            </w: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1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2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6" w:right="199"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right="3240"/>
        <w:spacing w:after="0" w:line="287" w:lineRule="auto"/>
        <w:rPr>
          <w:sz w:val="20"/>
          <w:szCs w:val="20"/>
          <w:color w:val="auto"/>
        </w:rPr>
      </w:pPr>
      <w:r>
        <w:rPr>
          <w:rFonts w:ascii="Arial" w:cs="Arial" w:eastAsia="Arial" w:hAnsi="Arial"/>
          <w:sz w:val="15"/>
          <w:szCs w:val="15"/>
          <w:b w:val="1"/>
          <w:bCs w:val="1"/>
          <w:color w:val="auto"/>
        </w:rPr>
        <w:t>Unaudited condensed consolidated statements of profit or loss For the three months ended March 31, 2017 and 2018</w:t>
      </w:r>
    </w:p>
    <w:p>
      <w:pPr>
        <w:spacing w:after="0"/>
        <w:rPr>
          <w:sz w:val="20"/>
          <w:szCs w:val="20"/>
          <w:color w:val="auto"/>
        </w:rPr>
      </w:pPr>
      <w:r>
        <w:rPr>
          <w:rFonts w:ascii="Arial" w:cs="Arial" w:eastAsia="Arial" w:hAnsi="Arial"/>
          <w:sz w:val="14"/>
          <w:szCs w:val="14"/>
          <w:b w:val="1"/>
          <w:bCs w:val="1"/>
          <w:color w:val="auto"/>
        </w:rPr>
        <w:t>(Amounts expressed in thousands of U.S. Dollars, except per share data)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780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b w:val="1"/>
          <w:bCs w:val="1"/>
          <w:color w:val="auto"/>
        </w:rPr>
        <w:t>March 31, 2017</w:t>
      </w:r>
      <w:r>
        <w:rPr>
          <w:sz w:val="20"/>
          <w:szCs w:val="20"/>
          <w:color w:val="auto"/>
        </w:rPr>
        <w:tab/>
      </w:r>
      <w:r>
        <w:rPr>
          <w:rFonts w:ascii="Arial" w:cs="Arial" w:eastAsia="Arial" w:hAnsi="Arial"/>
          <w:sz w:val="15"/>
          <w:szCs w:val="15"/>
          <w:b w:val="1"/>
          <w:bCs w:val="1"/>
          <w:color w:val="auto"/>
        </w:rPr>
        <w:t>March 31, 2018</w:t>
      </w:r>
    </w:p>
    <w:p>
      <w:pPr>
        <w:spacing w:after="0" w:line="28" w:lineRule="exact"/>
        <w:rPr>
          <w:sz w:val="20"/>
          <w:szCs w:val="20"/>
          <w:color w:val="auto"/>
        </w:rPr>
      </w:pPr>
    </w:p>
    <w:p>
      <w:pPr>
        <w:jc w:val="both"/>
        <w:ind w:left="840"/>
        <w:spacing w:after="0"/>
        <w:tabs>
          <w:tab w:leader="none" w:pos="2520" w:val="left"/>
        </w:tabs>
        <w:rPr>
          <w:sz w:val="20"/>
          <w:szCs w:val="20"/>
          <w:color w:val="auto"/>
        </w:rPr>
      </w:pPr>
      <w:r>
        <w:rPr>
          <w:rFonts w:ascii="Arial" w:cs="Arial" w:eastAsia="Arial" w:hAnsi="Arial"/>
          <w:sz w:val="16"/>
          <w:szCs w:val="16"/>
          <w:color w:val="auto"/>
        </w:rPr>
        <w:t>128,285</w:t>
      </w:r>
      <w:r>
        <w:rPr>
          <w:sz w:val="20"/>
          <w:szCs w:val="20"/>
          <w:color w:val="auto"/>
        </w:rPr>
        <w:tab/>
      </w:r>
      <w:r>
        <w:rPr>
          <w:rFonts w:ascii="Arial" w:cs="Arial" w:eastAsia="Arial" w:hAnsi="Arial"/>
          <w:sz w:val="16"/>
          <w:szCs w:val="16"/>
          <w:color w:val="auto"/>
        </w:rPr>
        <w:t>138,478</w:t>
      </w:r>
    </w:p>
    <w:p>
      <w:pPr>
        <w:sectPr>
          <w:pgSz w:w="11900" w:h="16838" w:orient="portrait"/>
          <w:cols w:equalWidth="0" w:num="2">
            <w:col w:w="7520" w:space="720"/>
            <w:col w:w="3220"/>
          </w:cols>
          <w:pgMar w:left="240" w:top="346" w:right="19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6"/>
        </w:trPr>
        <w:tc>
          <w:tcPr>
            <w:tcW w:w="7740" w:type="dxa"/>
            <w:vAlign w:val="bottom"/>
            <w:gridSpan w:val="2"/>
          </w:tcPr>
          <w:p>
            <w:pPr>
              <w:spacing w:after="0"/>
              <w:rPr>
                <w:sz w:val="20"/>
                <w:szCs w:val="20"/>
                <w:color w:val="auto"/>
              </w:rPr>
            </w:pPr>
            <w:r>
              <w:rPr>
                <w:rFonts w:ascii="Arial" w:cs="Arial" w:eastAsia="Arial" w:hAnsi="Arial"/>
                <w:sz w:val="16"/>
                <w:szCs w:val="16"/>
                <w:color w:val="auto"/>
              </w:rPr>
              <w:t>Net pool allocation</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828</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and supervision costs</w:t>
            </w:r>
          </w:p>
        </w:tc>
        <w:tc>
          <w:tcPr>
            <w:tcW w:w="2200" w:type="dxa"/>
            <w:vAlign w:val="bottom"/>
            <w:gridSpan w:val="6"/>
            <w:shd w:val="clear" w:color="auto" w:fill="E5FFFF"/>
          </w:tcPr>
          <w:p>
            <w:pPr>
              <w:jc w:val="right"/>
              <w:ind w:right="280"/>
              <w:spacing w:after="0"/>
              <w:rPr>
                <w:sz w:val="20"/>
                <w:szCs w:val="20"/>
                <w:color w:val="auto"/>
              </w:rPr>
            </w:pPr>
            <w:r>
              <w:rPr>
                <w:rFonts w:ascii="Arial" w:cs="Arial" w:eastAsia="Arial" w:hAnsi="Arial"/>
                <w:sz w:val="16"/>
                <w:szCs w:val="16"/>
                <w:color w:val="auto"/>
              </w:rPr>
              <w:t>(27,489)</w:t>
            </w:r>
          </w:p>
        </w:tc>
        <w:tc>
          <w:tcPr>
            <w:tcW w:w="280" w:type="dxa"/>
            <w:vAlign w:val="bottom"/>
            <w:shd w:val="clear" w:color="auto" w:fill="E5FFFF"/>
          </w:tcPr>
          <w:p>
            <w:pPr>
              <w:spacing w:after="0"/>
              <w:rPr>
                <w:sz w:val="18"/>
                <w:szCs w:val="18"/>
                <w:color w:val="auto"/>
              </w:rPr>
            </w:pPr>
          </w:p>
        </w:tc>
        <w:tc>
          <w:tcPr>
            <w:tcW w:w="11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(34,313)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6"/>
                <w:szCs w:val="16"/>
                <w:color w:val="auto"/>
                <w:w w:val="94"/>
              </w:rPr>
              <w:t>(2,872)</w:t>
            </w:r>
          </w:p>
        </w:tc>
        <w:tc>
          <w:tcPr>
            <w:tcW w:w="2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(5,281)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2200" w:type="dxa"/>
            <w:vAlign w:val="bottom"/>
            <w:gridSpan w:val="6"/>
            <w:shd w:val="clear" w:color="auto" w:fill="E5FFFF"/>
          </w:tcPr>
          <w:p>
            <w:pPr>
              <w:jc w:val="right"/>
              <w:ind w:right="280"/>
              <w:spacing w:after="0"/>
              <w:rPr>
                <w:sz w:val="20"/>
                <w:szCs w:val="20"/>
                <w:color w:val="auto"/>
              </w:rPr>
            </w:pPr>
            <w:r>
              <w:rPr>
                <w:rFonts w:ascii="Arial" w:cs="Arial" w:eastAsia="Arial" w:hAnsi="Arial"/>
                <w:sz w:val="16"/>
                <w:szCs w:val="16"/>
                <w:color w:val="auto"/>
              </w:rPr>
              <w:t>(33,708)</w:t>
            </w:r>
          </w:p>
        </w:tc>
        <w:tc>
          <w:tcPr>
            <w:tcW w:w="280" w:type="dxa"/>
            <w:vAlign w:val="bottom"/>
            <w:shd w:val="clear" w:color="auto" w:fill="E5FFFF"/>
          </w:tcPr>
          <w:p>
            <w:pPr>
              <w:spacing w:after="0"/>
              <w:rPr>
                <w:sz w:val="17"/>
                <w:szCs w:val="17"/>
                <w:color w:val="auto"/>
              </w:rPr>
            </w:pPr>
          </w:p>
        </w:tc>
        <w:tc>
          <w:tcPr>
            <w:tcW w:w="11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(35,529)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200" w:type="dxa"/>
            <w:vAlign w:val="bottom"/>
            <w:gridSpan w:val="6"/>
          </w:tcPr>
          <w:p>
            <w:pPr>
              <w:jc w:val="right"/>
              <w:ind w:right="280"/>
              <w:spacing w:after="0"/>
              <w:rPr>
                <w:sz w:val="20"/>
                <w:szCs w:val="20"/>
                <w:color w:val="auto"/>
              </w:rPr>
            </w:pPr>
            <w:r>
              <w:rPr>
                <w:rFonts w:ascii="Arial" w:cs="Arial" w:eastAsia="Arial" w:hAnsi="Arial"/>
                <w:sz w:val="16"/>
                <w:szCs w:val="16"/>
                <w:color w:val="auto"/>
              </w:rPr>
              <w:t>(10,145)</w:t>
            </w:r>
          </w:p>
        </w:tc>
        <w:tc>
          <w:tcPr>
            <w:tcW w:w="2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(12,013)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50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bottom w:val="single" w:sz="8" w:color="auto"/>
            </w:tcBorders>
            <w:shd w:val="clear" w:color="auto" w:fill="E5FFFF"/>
          </w:tcPr>
          <w:p>
            <w:pPr>
              <w:spacing w:after="0"/>
              <w:rPr>
                <w:sz w:val="17"/>
                <w:szCs w:val="17"/>
                <w:color w:val="auto"/>
              </w:rPr>
            </w:pPr>
          </w:p>
        </w:tc>
        <w:tc>
          <w:tcPr>
            <w:tcW w:w="80" w:type="dxa"/>
            <w:vAlign w:val="bottom"/>
            <w:tcBorders>
              <w:top w:val="single" w:sz="8" w:color="auto"/>
              <w:bottom w:val="single" w:sz="8" w:color="auto"/>
            </w:tcBorders>
            <w:shd w:val="clear" w:color="auto" w:fill="E5FFFF"/>
          </w:tcPr>
          <w:p>
            <w:pPr>
              <w:spacing w:after="0"/>
              <w:rPr>
                <w:sz w:val="17"/>
                <w:szCs w:val="17"/>
                <w:color w:val="auto"/>
              </w:rPr>
            </w:pPr>
          </w:p>
        </w:tc>
        <w:tc>
          <w:tcPr>
            <w:tcW w:w="4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54,899</w:t>
            </w:r>
          </w:p>
        </w:tc>
        <w:tc>
          <w:tcPr>
            <w:tcW w:w="3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11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59,995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Financial costs</w:t>
            </w:r>
          </w:p>
        </w:tc>
        <w:tc>
          <w:tcPr>
            <w:tcW w:w="500" w:type="dxa"/>
            <w:vAlign w:val="bottom"/>
          </w:tcPr>
          <w:p>
            <w:pPr>
              <w:spacing w:after="0"/>
              <w:rPr>
                <w:sz w:val="17"/>
                <w:szCs w:val="17"/>
                <w:color w:val="auto"/>
              </w:rPr>
            </w:pPr>
          </w:p>
        </w:tc>
        <w:tc>
          <w:tcPr>
            <w:tcW w:w="1380" w:type="dxa"/>
            <w:vAlign w:val="bottom"/>
            <w:gridSpan w:val="4"/>
          </w:tcPr>
          <w:p>
            <w:pPr>
              <w:jc w:val="right"/>
              <w:spacing w:after="0"/>
              <w:rPr>
                <w:sz w:val="20"/>
                <w:szCs w:val="20"/>
                <w:color w:val="auto"/>
              </w:rPr>
            </w:pPr>
            <w:r>
              <w:rPr>
                <w:rFonts w:ascii="Arial" w:cs="Arial" w:eastAsia="Arial" w:hAnsi="Arial"/>
                <w:sz w:val="16"/>
                <w:szCs w:val="16"/>
                <w:color w:val="auto"/>
              </w:rPr>
              <w:t>(32,524)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(36,597)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5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391</w:t>
            </w: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1,016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Gain on swaps</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17,771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500" w:type="dxa"/>
            <w:vAlign w:val="bottom"/>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spacing w:after="0"/>
              <w:rPr>
                <w:sz w:val="17"/>
                <w:szCs w:val="17"/>
                <w:color w:val="auto"/>
              </w:rPr>
            </w:pPr>
          </w:p>
        </w:tc>
        <w:tc>
          <w:tcPr>
            <w:tcW w:w="8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462</w:t>
            </w:r>
          </w:p>
        </w:tc>
        <w:tc>
          <w:tcPr>
            <w:tcW w:w="320" w:type="dxa"/>
            <w:vAlign w:val="bottom"/>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11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356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5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(31,507)</w:t>
            </w:r>
          </w:p>
        </w:tc>
        <w:tc>
          <w:tcPr>
            <w:tcW w:w="32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(17,454)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500" w:type="dxa"/>
            <w:vAlign w:val="bottom"/>
            <w:tcBorders>
              <w:bottom w:val="single" w:sz="8" w:color="E5FFFF"/>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spacing w:after="0"/>
              <w:rPr>
                <w:sz w:val="17"/>
                <w:szCs w:val="17"/>
                <w:color w:val="auto"/>
              </w:rPr>
            </w:pPr>
          </w:p>
        </w:tc>
        <w:tc>
          <w:tcPr>
            <w:tcW w:w="8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23,392</w:t>
            </w:r>
          </w:p>
        </w:tc>
        <w:tc>
          <w:tcPr>
            <w:tcW w:w="32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11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7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5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8,752</w:t>
            </w: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19,304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Non-controlling interests</w:t>
            </w:r>
          </w:p>
        </w:tc>
        <w:tc>
          <w:tcPr>
            <w:tcW w:w="500" w:type="dxa"/>
            <w:vAlign w:val="bottom"/>
            <w:tcBorders>
              <w:bottom w:val="single" w:sz="8" w:color="E5FF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14,640</w:t>
            </w:r>
          </w:p>
        </w:tc>
        <w:tc>
          <w:tcPr>
            <w:tcW w:w="32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23,237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bottom w:val="single" w:sz="8" w:color="E5FFFF"/>
            </w:tcBorders>
            <w:shd w:val="clear" w:color="auto" w:fill="E5FFFF"/>
          </w:tcPr>
          <w:p>
            <w:pPr>
              <w:spacing w:after="0"/>
              <w:rPr>
                <w:sz w:val="17"/>
                <w:szCs w:val="17"/>
                <w:color w:val="auto"/>
              </w:rPr>
            </w:pPr>
          </w:p>
        </w:tc>
        <w:tc>
          <w:tcPr>
            <w:tcW w:w="500" w:type="dxa"/>
            <w:vAlign w:val="bottom"/>
            <w:tcBorders>
              <w:bottom w:val="single" w:sz="8" w:color="E5FFFF"/>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spacing w:after="0"/>
              <w:rPr>
                <w:sz w:val="17"/>
                <w:szCs w:val="17"/>
                <w:color w:val="auto"/>
              </w:rPr>
            </w:pPr>
          </w:p>
        </w:tc>
        <w:tc>
          <w:tcPr>
            <w:tcW w:w="8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23,392</w:t>
            </w:r>
          </w:p>
        </w:tc>
        <w:tc>
          <w:tcPr>
            <w:tcW w:w="32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spacing w:after="0"/>
              <w:rPr>
                <w:sz w:val="17"/>
                <w:szCs w:val="17"/>
                <w:color w:val="auto"/>
              </w:rPr>
            </w:pPr>
          </w:p>
        </w:tc>
        <w:tc>
          <w:tcPr>
            <w:tcW w:w="11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share – basic and diluted</w:t>
            </w:r>
          </w:p>
        </w:tc>
        <w:tc>
          <w:tcPr>
            <w:tcW w:w="5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0.08</w:t>
            </w: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100" w:type="dxa"/>
            <w:vAlign w:val="bottom"/>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0.21</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7740" w:type="dxa"/>
            <w:vAlign w:val="bottom"/>
            <w:gridSpan w:val="2"/>
          </w:tcPr>
          <w:p>
            <w:pPr>
              <w:ind w:left="5640"/>
              <w:spacing w:after="0"/>
              <w:rPr>
                <w:sz w:val="20"/>
                <w:szCs w:val="20"/>
                <w:color w:val="auto"/>
              </w:rPr>
            </w:pPr>
            <w:r>
              <w:rPr>
                <w:rFonts w:ascii="Arial" w:cs="Arial" w:eastAsia="Arial" w:hAnsi="Arial"/>
                <w:sz w:val="14"/>
                <w:szCs w:val="14"/>
                <w:color w:val="auto"/>
              </w:rPr>
              <w:t>13</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740" w:type="dxa"/>
            <w:vAlign w:val="bottom"/>
            <w:tcBorders>
              <w:bottom w:val="single" w:sz="8" w:color="808080"/>
            </w:tcBorders>
            <w:gridSpan w:val="2"/>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53"/>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For the three months ended March 31, 2017 and 2018</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gridSpan w:val="6"/>
          </w:tcPr>
          <w:p>
            <w:pPr>
              <w:ind w:left="40"/>
              <w:spacing w:after="0"/>
              <w:rPr>
                <w:sz w:val="20"/>
                <w:szCs w:val="20"/>
                <w:color w:val="auto"/>
              </w:rPr>
            </w:pPr>
            <w:r>
              <w:rPr>
                <w:rFonts w:ascii="Arial" w:cs="Arial" w:eastAsia="Arial" w:hAnsi="Arial"/>
                <w:sz w:val="16"/>
                <w:szCs w:val="16"/>
                <w:b w:val="1"/>
                <w:bCs w:val="1"/>
                <w:color w:val="auto"/>
                <w:w w:val="90"/>
              </w:rPr>
              <w:t>For the three months ended</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4"/>
              </w:rPr>
              <w:t>March 31, 2017</w:t>
            </w:r>
          </w:p>
        </w:tc>
        <w:tc>
          <w:tcPr>
            <w:tcW w:w="2300" w:type="dxa"/>
            <w:vAlign w:val="bottom"/>
            <w:gridSpan w:val="8"/>
          </w:tcPr>
          <w:p>
            <w:pPr>
              <w:ind w:left="360"/>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50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Profit for the period</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23,392</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42,541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5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Depreciation</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33,708</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35,529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4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(462)</w:t>
            </w: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Financial income</w:t>
            </w:r>
          </w:p>
        </w:tc>
        <w:tc>
          <w:tcPr>
            <w:tcW w:w="1420" w:type="dxa"/>
            <w:vAlign w:val="bottom"/>
            <w:gridSpan w:val="3"/>
          </w:tcPr>
          <w:p>
            <w:pPr>
              <w:jc w:val="right"/>
              <w:ind w:right="20"/>
              <w:spacing w:after="0"/>
              <w:rPr>
                <w:sz w:val="20"/>
                <w:szCs w:val="20"/>
                <w:color w:val="auto"/>
              </w:rPr>
            </w:pPr>
            <w:r>
              <w:rPr>
                <w:rFonts w:ascii="Arial" w:cs="Arial" w:eastAsia="Arial" w:hAnsi="Arial"/>
                <w:sz w:val="16"/>
                <w:szCs w:val="16"/>
                <w:color w:val="auto"/>
              </w:rPr>
              <w:t>(391)</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42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32,524</w:t>
            </w: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36,597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Unrealized foreign exchange gains on cash and cash equivalents</w:t>
            </w:r>
          </w:p>
        </w:tc>
        <w:tc>
          <w:tcPr>
            <w:tcW w:w="1420" w:type="dxa"/>
            <w:vAlign w:val="bottom"/>
            <w:gridSpan w:val="3"/>
          </w:tcPr>
          <w:p>
            <w:pPr>
              <w:jc w:val="right"/>
              <w:ind w:right="20"/>
              <w:spacing w:after="0"/>
              <w:rPr>
                <w:sz w:val="20"/>
                <w:szCs w:val="20"/>
                <w:color w:val="auto"/>
              </w:rPr>
            </w:pPr>
            <w:r>
              <w:rPr>
                <w:rFonts w:ascii="Arial" w:cs="Arial" w:eastAsia="Arial" w:hAnsi="Arial"/>
                <w:sz w:val="16"/>
                <w:szCs w:val="16"/>
                <w:color w:val="auto"/>
              </w:rPr>
              <w:t>(75)</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Unrealized gain on derivative financial instruments held for trading including ineffective portion of cash flow</w:t>
            </w:r>
          </w:p>
        </w:tc>
        <w:tc>
          <w:tcPr>
            <w:tcW w:w="500" w:type="dxa"/>
            <w:vAlign w:val="bottom"/>
            <w:shd w:val="clear" w:color="auto" w:fill="E5FFFF"/>
          </w:tcPr>
          <w:p>
            <w:pPr>
              <w:spacing w:after="0"/>
              <w:rPr>
                <w:sz w:val="16"/>
                <w:szCs w:val="16"/>
                <w:color w:val="auto"/>
              </w:rPr>
            </w:pPr>
          </w:p>
        </w:tc>
        <w:tc>
          <w:tcPr>
            <w:tcW w:w="84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40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580" w:type="dxa"/>
            <w:vAlign w:val="bottom"/>
            <w:shd w:val="clear" w:color="auto" w:fill="E5FFFF"/>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hedges</w:t>
            </w:r>
          </w:p>
        </w:tc>
        <w:tc>
          <w:tcPr>
            <w:tcW w:w="14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(2,315)</w:t>
            </w:r>
          </w:p>
        </w:tc>
        <w:tc>
          <w:tcPr>
            <w:tcW w:w="40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(16,898)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1,012</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87,393</w:t>
            </w: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auto"/>
              <w:bottom w:val="single" w:sz="8" w:color="auto"/>
            </w:tcBorders>
            <w:shd w:val="clear" w:color="auto" w:fill="E5FFFF"/>
          </w:tcPr>
          <w:p>
            <w:pPr>
              <w:spacing w:after="0"/>
              <w:rPr>
                <w:sz w:val="17"/>
                <w:szCs w:val="17"/>
                <w:color w:val="auto"/>
              </w:rPr>
            </w:pPr>
          </w:p>
        </w:tc>
        <w:tc>
          <w:tcPr>
            <w:tcW w:w="320" w:type="dxa"/>
            <w:vAlign w:val="bottom"/>
            <w:tcBorders>
              <w:top w:val="single" w:sz="8" w:color="auto"/>
              <w:bottom w:val="single" w:sz="8" w:color="auto"/>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97,124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gridSpan w:val="2"/>
          </w:tcPr>
          <w:p>
            <w:pPr>
              <w:spacing w:after="0"/>
              <w:rPr>
                <w:sz w:val="20"/>
                <w:szCs w:val="20"/>
                <w:color w:val="auto"/>
              </w:rPr>
            </w:pPr>
            <w:r>
              <w:rPr>
                <w:rFonts w:ascii="Arial" w:cs="Arial" w:eastAsia="Arial" w:hAnsi="Arial"/>
                <w:sz w:val="16"/>
                <w:szCs w:val="16"/>
                <w:color w:val="auto"/>
              </w:rPr>
              <w:t>Movements in working capital</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(2,472)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(13,692)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84,921</w:t>
            </w: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auto"/>
              <w:bottom w:val="single" w:sz="8" w:color="auto"/>
            </w:tcBorders>
            <w:shd w:val="clear" w:color="auto" w:fill="E5FFFF"/>
          </w:tcPr>
          <w:p>
            <w:pPr>
              <w:spacing w:after="0"/>
              <w:rPr>
                <w:sz w:val="17"/>
                <w:szCs w:val="17"/>
                <w:color w:val="auto"/>
              </w:rPr>
            </w:pPr>
          </w:p>
        </w:tc>
        <w:tc>
          <w:tcPr>
            <w:tcW w:w="320" w:type="dxa"/>
            <w:vAlign w:val="bottom"/>
            <w:tcBorders>
              <w:top w:val="single" w:sz="8" w:color="auto"/>
              <w:bottom w:val="single" w:sz="8" w:color="auto"/>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83,432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(35,413)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(40,154)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49,508</w:t>
            </w: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auto"/>
              <w:bottom w:val="single" w:sz="8" w:color="auto"/>
            </w:tcBorders>
            <w:shd w:val="clear" w:color="auto" w:fill="E5FFFF"/>
          </w:tcPr>
          <w:p>
            <w:pPr>
              <w:spacing w:after="0"/>
              <w:rPr>
                <w:sz w:val="17"/>
                <w:szCs w:val="17"/>
                <w:color w:val="auto"/>
              </w:rPr>
            </w:pPr>
          </w:p>
        </w:tc>
        <w:tc>
          <w:tcPr>
            <w:tcW w:w="320" w:type="dxa"/>
            <w:vAlign w:val="bottom"/>
            <w:tcBorders>
              <w:top w:val="single" w:sz="8" w:color="auto"/>
              <w:bottom w:val="single" w:sz="8" w:color="auto"/>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43,278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72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4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(13,293)</w:t>
            </w: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1"/>
              </w:rPr>
              <w:t>(547,021)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Dividends received from associate</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700</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14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(13,844)</w:t>
            </w: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420" w:type="dxa"/>
            <w:vAlign w:val="bottom"/>
            <w:gridSpan w:val="3"/>
          </w:tcPr>
          <w:p>
            <w:pPr>
              <w:jc w:val="right"/>
              <w:ind w:right="20"/>
              <w:spacing w:after="0"/>
              <w:rPr>
                <w:sz w:val="20"/>
                <w:szCs w:val="20"/>
                <w:color w:val="auto"/>
              </w:rPr>
            </w:pPr>
            <w:r>
              <w:rPr>
                <w:rFonts w:ascii="Arial" w:cs="Arial" w:eastAsia="Arial" w:hAnsi="Arial"/>
                <w:sz w:val="16"/>
                <w:szCs w:val="16"/>
                <w:color w:val="auto"/>
              </w:rPr>
              <w:t>(10,000)</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(10,000)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42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18,000</w:t>
            </w: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Restricted cash</w:t>
            </w:r>
          </w:p>
        </w:tc>
        <w:tc>
          <w:tcPr>
            <w:tcW w:w="5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(4,915)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142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373</w:t>
            </w: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(18,064)</w:t>
            </w:r>
          </w:p>
        </w:tc>
        <w:tc>
          <w:tcPr>
            <w:tcW w:w="80" w:type="dxa"/>
            <w:vAlign w:val="bottom"/>
            <w:tcBorders>
              <w:bottom w:val="single" w:sz="8" w:color="E5FFFF"/>
            </w:tcBorders>
          </w:tcPr>
          <w:p>
            <w:pPr>
              <w:spacing w:after="0"/>
              <w:rPr>
                <w:sz w:val="17"/>
                <w:szCs w:val="17"/>
                <w:color w:val="auto"/>
              </w:rPr>
            </w:pPr>
          </w:p>
        </w:tc>
        <w:tc>
          <w:tcPr>
            <w:tcW w:w="400" w:type="dxa"/>
            <w:vAlign w:val="bottom"/>
            <w:tcBorders>
              <w:bottom w:val="single" w:sz="8" w:color="E5FF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1"/>
              </w:rPr>
              <w:t>(560,937)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720" w:type="dxa"/>
            <w:vAlign w:val="bottom"/>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500" w:type="dxa"/>
            <w:vAlign w:val="bottom"/>
            <w:shd w:val="clear" w:color="auto" w:fill="E5FFFF"/>
          </w:tcPr>
          <w:p>
            <w:pPr>
              <w:spacing w:after="0"/>
              <w:rPr>
                <w:sz w:val="15"/>
                <w:szCs w:val="15"/>
                <w:color w:val="auto"/>
              </w:rPr>
            </w:pPr>
          </w:p>
        </w:tc>
        <w:tc>
          <w:tcPr>
            <w:tcW w:w="84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40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580" w:type="dxa"/>
            <w:vAlign w:val="bottom"/>
            <w:shd w:val="clear" w:color="auto" w:fill="E5FFFF"/>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Proceeds from bank loans and bonds</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280,000</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498,225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14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(52,416)</w:t>
            </w: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(83,938)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1420" w:type="dxa"/>
            <w:vAlign w:val="bottom"/>
            <w:gridSpan w:val="3"/>
          </w:tcPr>
          <w:p>
            <w:pPr>
              <w:jc w:val="right"/>
              <w:ind w:right="20"/>
              <w:spacing w:after="0"/>
              <w:rPr>
                <w:sz w:val="20"/>
                <w:szCs w:val="20"/>
                <w:color w:val="auto"/>
              </w:rPr>
            </w:pPr>
            <w:r>
              <w:rPr>
                <w:rFonts w:ascii="Arial" w:cs="Arial" w:eastAsia="Arial" w:hAnsi="Arial"/>
                <w:sz w:val="16"/>
                <w:szCs w:val="16"/>
                <w:color w:val="auto"/>
              </w:rPr>
              <w:t>(4,270)</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(6,753)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Proceeds from GasLog Partners’ public offerings (net of underwriting discounts and commissions)</w:t>
            </w:r>
          </w:p>
        </w:tc>
        <w:tc>
          <w:tcPr>
            <w:tcW w:w="1420" w:type="dxa"/>
            <w:vAlign w:val="bottom"/>
            <w:gridSpan w:val="3"/>
            <w:shd w:val="clear" w:color="auto" w:fill="E5FFFF"/>
          </w:tcPr>
          <w:p>
            <w:pPr>
              <w:jc w:val="right"/>
              <w:ind w:right="80"/>
              <w:spacing w:after="0"/>
              <w:rPr>
                <w:sz w:val="20"/>
                <w:szCs w:val="20"/>
                <w:color w:val="auto"/>
              </w:rPr>
            </w:pPr>
            <w:r>
              <w:rPr>
                <w:rFonts w:ascii="Arial" w:cs="Arial" w:eastAsia="Arial" w:hAnsi="Arial"/>
                <w:sz w:val="16"/>
                <w:szCs w:val="16"/>
                <w:color w:val="auto"/>
              </w:rPr>
              <w:t>78,522</w:t>
            </w: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6"/>
              </w:rPr>
              <w:t>111,544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Payment of equity raising costs</w:t>
            </w:r>
          </w:p>
        </w:tc>
        <w:tc>
          <w:tcPr>
            <w:tcW w:w="1420" w:type="dxa"/>
            <w:vAlign w:val="bottom"/>
            <w:gridSpan w:val="3"/>
          </w:tcPr>
          <w:p>
            <w:pPr>
              <w:jc w:val="right"/>
              <w:ind w:right="20"/>
              <w:spacing w:after="0"/>
              <w:rPr>
                <w:sz w:val="20"/>
                <w:szCs w:val="20"/>
                <w:color w:val="auto"/>
              </w:rPr>
            </w:pPr>
            <w:r>
              <w:rPr>
                <w:rFonts w:ascii="Arial" w:cs="Arial" w:eastAsia="Arial" w:hAnsi="Arial"/>
                <w:sz w:val="16"/>
                <w:szCs w:val="16"/>
                <w:color w:val="auto"/>
              </w:rPr>
              <w:t>(117)</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142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(27,592)</w:t>
            </w: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(34,673)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Proceeds from stock options exercise</w:t>
            </w:r>
          </w:p>
        </w:tc>
        <w:tc>
          <w:tcPr>
            <w:tcW w:w="1420" w:type="dxa"/>
            <w:vAlign w:val="bottom"/>
            <w:gridSpan w:val="3"/>
          </w:tcPr>
          <w:p>
            <w:pPr>
              <w:jc w:val="right"/>
              <w:ind w:right="80"/>
              <w:spacing w:after="0"/>
              <w:rPr>
                <w:sz w:val="20"/>
                <w:szCs w:val="20"/>
                <w:color w:val="auto"/>
              </w:rPr>
            </w:pPr>
            <w:r>
              <w:rPr>
                <w:rFonts w:ascii="Arial" w:cs="Arial" w:eastAsia="Arial" w:hAnsi="Arial"/>
                <w:sz w:val="16"/>
                <w:szCs w:val="16"/>
                <w:color w:val="auto"/>
              </w:rPr>
              <w:t>108</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E5FFFF"/>
          </w:tcPr>
          <w:p>
            <w:pPr>
              <w:spacing w:after="0"/>
              <w:rPr>
                <w:sz w:val="20"/>
                <w:szCs w:val="20"/>
                <w:color w:val="auto"/>
              </w:rPr>
            </w:pPr>
            <w:r>
              <w:rPr>
                <w:rFonts w:ascii="Arial" w:cs="Arial" w:eastAsia="Arial" w:hAnsi="Arial"/>
                <w:sz w:val="16"/>
                <w:szCs w:val="16"/>
                <w:color w:val="auto"/>
              </w:rPr>
              <w:t>Purchase of treasury shares</w:t>
            </w:r>
          </w:p>
        </w:tc>
        <w:tc>
          <w:tcPr>
            <w:tcW w:w="50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6"/>
                <w:szCs w:val="16"/>
                <w:color w:val="auto"/>
              </w:rPr>
              <w:t>Payments for finance lease liability</w:t>
            </w:r>
          </w:p>
        </w:tc>
        <w:tc>
          <w:tcPr>
            <w:tcW w:w="5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(1,773)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274,235</w:t>
            </w: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auto"/>
              <w:bottom w:val="single" w:sz="8" w:color="auto"/>
            </w:tcBorders>
            <w:shd w:val="clear" w:color="auto" w:fill="E5FFFF"/>
          </w:tcPr>
          <w:p>
            <w:pPr>
              <w:spacing w:after="0"/>
              <w:rPr>
                <w:sz w:val="17"/>
                <w:szCs w:val="17"/>
                <w:color w:val="auto"/>
              </w:rPr>
            </w:pPr>
          </w:p>
        </w:tc>
        <w:tc>
          <w:tcPr>
            <w:tcW w:w="320" w:type="dxa"/>
            <w:vAlign w:val="bottom"/>
            <w:tcBorders>
              <w:top w:val="single" w:sz="8" w:color="auto"/>
              <w:bottom w:val="single" w:sz="8" w:color="auto"/>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6"/>
              </w:rPr>
              <w:t>482,255</w:t>
            </w:r>
          </w:p>
        </w:tc>
        <w:tc>
          <w:tcPr>
            <w:tcW w:w="160" w:type="dxa"/>
            <w:vAlign w:val="bottom"/>
            <w:tcBorders>
              <w:top w:val="single" w:sz="8" w:color="E5FFFF"/>
            </w:tcBorders>
            <w:shd w:val="clear" w:color="auto" w:fill="E5FFFF"/>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gridSpan w:val="2"/>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Increase/(decrease) in cash and cash equivalents</w:t>
            </w: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305,754</w:t>
            </w:r>
          </w:p>
        </w:tc>
        <w:tc>
          <w:tcPr>
            <w:tcW w:w="8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E5FFFF"/>
            </w:tcBorders>
            <w:shd w:val="clear" w:color="auto" w:fill="E5FFFF"/>
          </w:tcPr>
          <w:p>
            <w:pPr>
              <w:spacing w:after="0"/>
              <w:rPr>
                <w:sz w:val="17"/>
                <w:szCs w:val="17"/>
                <w:color w:val="auto"/>
              </w:rPr>
            </w:pPr>
          </w:p>
        </w:tc>
        <w:tc>
          <w:tcPr>
            <w:tcW w:w="60" w:type="dxa"/>
            <w:vAlign w:val="bottom"/>
            <w:tcBorders>
              <w:top w:val="single" w:sz="8" w:color="auto"/>
              <w:bottom w:val="single" w:sz="8" w:color="auto"/>
            </w:tcBorders>
            <w:shd w:val="clear" w:color="auto" w:fill="E5FFFF"/>
          </w:tcPr>
          <w:p>
            <w:pPr>
              <w:spacing w:after="0"/>
              <w:rPr>
                <w:sz w:val="17"/>
                <w:szCs w:val="17"/>
                <w:color w:val="auto"/>
              </w:rPr>
            </w:pPr>
          </w:p>
        </w:tc>
        <w:tc>
          <w:tcPr>
            <w:tcW w:w="320" w:type="dxa"/>
            <w:vAlign w:val="bottom"/>
            <w:tcBorders>
              <w:top w:val="single" w:sz="8" w:color="auto"/>
              <w:bottom w:val="single" w:sz="8" w:color="auto"/>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3"/>
              </w:rPr>
              <w:t>(34,945)</w:t>
            </w:r>
          </w:p>
        </w:tc>
        <w:tc>
          <w:tcPr>
            <w:tcW w:w="160" w:type="dxa"/>
            <w:vAlign w:val="bottom"/>
            <w:tcBorders>
              <w:top w:val="single" w:sz="8" w:color="E5FFFF"/>
            </w:tcBorders>
            <w:shd w:val="clear" w:color="auto" w:fill="E5FFFF"/>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gridSpan w:val="2"/>
          </w:tcPr>
          <w:p>
            <w:pPr>
              <w:spacing w:after="0"/>
              <w:rPr>
                <w:sz w:val="20"/>
                <w:szCs w:val="20"/>
                <w:color w:val="auto"/>
              </w:rPr>
            </w:pPr>
            <w:r>
              <w:rPr>
                <w:rFonts w:ascii="Arial" w:cs="Arial" w:eastAsia="Arial" w:hAnsi="Arial"/>
                <w:sz w:val="16"/>
                <w:szCs w:val="16"/>
                <w:color w:val="auto"/>
              </w:rPr>
              <w:t>Cash and cash equivalents, beginning of the period</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227,024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384,092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532,778</w:t>
            </w: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400" w:type="dxa"/>
            <w:vAlign w:val="bottom"/>
            <w:tcBorders>
              <w:top w:val="single" w:sz="8" w:color="E5FFFF"/>
              <w:bottom w:val="single" w:sz="8" w:color="E5FFFF"/>
            </w:tcBorders>
            <w:shd w:val="clear" w:color="auto" w:fill="E5FFFF"/>
          </w:tcPr>
          <w:p>
            <w:pPr>
              <w:spacing w:after="0"/>
              <w:rPr>
                <w:sz w:val="17"/>
                <w:szCs w:val="17"/>
                <w:color w:val="auto"/>
              </w:rPr>
            </w:pPr>
          </w:p>
        </w:tc>
        <w:tc>
          <w:tcPr>
            <w:tcW w:w="60" w:type="dxa"/>
            <w:vAlign w:val="bottom"/>
            <w:tcBorders>
              <w:top w:val="single" w:sz="8" w:color="auto"/>
              <w:bottom w:val="single" w:sz="8" w:color="auto"/>
            </w:tcBorders>
            <w:shd w:val="clear" w:color="auto" w:fill="E5FFFF"/>
          </w:tcPr>
          <w:p>
            <w:pPr>
              <w:spacing w:after="0"/>
              <w:rPr>
                <w:sz w:val="17"/>
                <w:szCs w:val="17"/>
                <w:color w:val="auto"/>
              </w:rPr>
            </w:pPr>
          </w:p>
        </w:tc>
        <w:tc>
          <w:tcPr>
            <w:tcW w:w="320" w:type="dxa"/>
            <w:vAlign w:val="bottom"/>
            <w:tcBorders>
              <w:top w:val="single" w:sz="8" w:color="auto"/>
              <w:bottom w:val="single" w:sz="8" w:color="auto"/>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6"/>
              </w:rPr>
              <w:t>349,147</w:t>
            </w:r>
          </w:p>
        </w:tc>
        <w:tc>
          <w:tcPr>
            <w:tcW w:w="160" w:type="dxa"/>
            <w:vAlign w:val="bottom"/>
            <w:tcBorders>
              <w:top w:val="single" w:sz="8" w:color="E5FFFF"/>
              <w:bottom w:val="single" w:sz="8" w:color="E5FFFF"/>
            </w:tcBorders>
            <w:shd w:val="clear" w:color="auto" w:fill="E5FFFF"/>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ind w:left="5640"/>
              <w:spacing w:after="0"/>
              <w:rPr>
                <w:sz w:val="20"/>
                <w:szCs w:val="20"/>
                <w:color w:val="auto"/>
              </w:rPr>
            </w:pPr>
            <w:r>
              <w:rPr>
                <w:rFonts w:ascii="Arial" w:cs="Arial" w:eastAsia="Arial" w:hAnsi="Arial"/>
                <w:sz w:val="14"/>
                <w:szCs w:val="14"/>
                <w:color w:val="auto"/>
              </w:rPr>
              <w:t>14</w:t>
            </w: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7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808080"/>
            </w:tcBorders>
          </w:tcPr>
          <w:p>
            <w:pPr>
              <w:spacing w:after="0"/>
              <w:rPr>
                <w:sz w:val="10"/>
                <w:szCs w:val="10"/>
                <w:color w:val="auto"/>
              </w:rPr>
            </w:pPr>
          </w:p>
        </w:tc>
        <w:tc>
          <w:tcPr>
            <w:tcW w:w="77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-6761480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-6761480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Adjusted Profit and Adjusted EPS</w:t>
      </w:r>
    </w:p>
    <w:p>
      <w:pPr>
        <w:sectPr>
          <w:pgSz w:w="11900" w:h="16838" w:orient="portrait"/>
          <w:cols w:equalWidth="0" w:num="1">
            <w:col w:w="11460"/>
          </w:cols>
          <w:pgMar w:left="240" w:top="130" w:right="199" w:bottom="0" w:gutter="0" w:footer="0" w:header="0"/>
        </w:sectPr>
      </w:pPr>
    </w:p>
    <w:bookmarkStart w:id="9" w:name="page10"/>
    <w:bookmarkEnd w:id="9"/>
    <w:p>
      <w:pPr>
        <w:spacing w:after="0" w:line="32"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EBITDA is defined as earnings before depreciation, amortization, financial income and costs, gain/loss on swaps and taxes. Adjusted EBITDA is defined as EBITDA before foreign exchange gains/losses. Adjusted Profit represents earnings before write-off and accelerated amortization of unamortized loan fees/bond fees and premium, foreign exchange gains/losses and non-cash gain/loss on swaps that includes (if any) (a) unrealized gain/loss on derivative financial instruments held for trading, (b) recycled loss of cash flow hedges reclassified to profit or loss and (c) ineffective portion of cash flow hedges. Adjusted EPS represents earnings attributable to owners of the Group before non-cash gain/loss on swaps as defined above, foreign exchange gains/losses and write-off and accelerated amortization of unamortized loan/bond fees and premium,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swaps, taxes, depreciation and amortization; in the case of Adjusted EBITDA, foreign exchange gains/losses; and in the case of Adjusted Profit and Adjusted EPS, non-cash gain/loss on swaps, foreign exchange gains/losses and write-off and accelerated amortization of unamortized loan/bond fees and premium, which items are affected by various and possibly changing financing methods, financial market conditions, capital structure and historical cost basis, and which items may significantly affect results of operations between periods.</w:t>
      </w:r>
    </w:p>
    <w:p>
      <w:pPr>
        <w:spacing w:after="0" w:line="182"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93"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 to EBITDA and Adjusted EBITDA: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6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March 31, 2017</w:t>
            </w: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March 31, 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3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23,392</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42,541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33,708</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35,529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32,524</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36,597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rPr>
                <w:sz w:val="20"/>
                <w:szCs w:val="20"/>
                <w:color w:val="auto"/>
              </w:rPr>
            </w:pPr>
            <w:r>
              <w:rPr>
                <w:rFonts w:ascii="Arial" w:cs="Arial" w:eastAsia="Arial" w:hAnsi="Arial"/>
                <w:sz w:val="16"/>
                <w:szCs w:val="16"/>
                <w:color w:val="auto"/>
              </w:rPr>
              <w:t>Financial income</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(391)</w:t>
            </w:r>
          </w:p>
        </w:tc>
        <w:tc>
          <w:tcPr>
            <w:tcW w:w="1380" w:type="dxa"/>
            <w:vAlign w:val="bottom"/>
          </w:tcPr>
          <w:p>
            <w:pPr>
              <w:jc w:val="right"/>
              <w:spacing w:after="0"/>
              <w:rPr>
                <w:sz w:val="20"/>
                <w:szCs w:val="20"/>
                <w:color w:val="auto"/>
              </w:rPr>
            </w:pPr>
            <w:r>
              <w:rPr>
                <w:rFonts w:ascii="Arial" w:cs="Arial" w:eastAsia="Arial" w:hAnsi="Arial"/>
                <w:sz w:val="16"/>
                <w:szCs w:val="16"/>
                <w:color w:val="auto"/>
              </w:rPr>
              <w:t>(1,016)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Gain on swaps</w:t>
            </w:r>
          </w:p>
        </w:tc>
        <w:tc>
          <w:tcPr>
            <w:tcW w:w="1580" w:type="dxa"/>
            <w:vAlign w:val="bottom"/>
            <w:gridSpan w:val="3"/>
            <w:shd w:val="clear" w:color="auto" w:fill="E5FFFF"/>
          </w:tcPr>
          <w:p>
            <w:pPr>
              <w:jc w:val="right"/>
              <w:ind w:right="160"/>
              <w:spacing w:after="0"/>
              <w:rPr>
                <w:sz w:val="20"/>
                <w:szCs w:val="20"/>
                <w:color w:val="auto"/>
              </w:rPr>
            </w:pPr>
            <w:r>
              <w:rPr>
                <w:rFonts w:ascii="Arial" w:cs="Arial" w:eastAsia="Arial" w:hAnsi="Arial"/>
                <w:sz w:val="16"/>
                <w:szCs w:val="16"/>
                <w:color w:val="auto"/>
              </w:rPr>
              <w:t>(164)</w:t>
            </w:r>
          </w:p>
        </w:tc>
        <w:tc>
          <w:tcPr>
            <w:tcW w:w="148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(17,771)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EBITDA</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89,069</w:t>
            </w:r>
          </w:p>
        </w:tc>
        <w:tc>
          <w:tcPr>
            <w:tcW w:w="20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95,880</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Foreign exchange losses/(gains), net</w:t>
            </w:r>
          </w:p>
        </w:tc>
        <w:tc>
          <w:tcPr>
            <w:tcW w:w="13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269</w:t>
            </w:r>
          </w:p>
        </w:tc>
        <w:tc>
          <w:tcPr>
            <w:tcW w:w="20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(354)</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Adjusted EBITDA</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89,338</w:t>
            </w: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95,526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36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March 31, 2017</w:t>
            </w: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March 31, 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3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23,392</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42,541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rPr>
                <w:sz w:val="20"/>
                <w:szCs w:val="20"/>
                <w:color w:val="auto"/>
              </w:rPr>
            </w:pPr>
            <w:r>
              <w:rPr>
                <w:rFonts w:ascii="Arial" w:cs="Arial" w:eastAsia="Arial" w:hAnsi="Arial"/>
                <w:sz w:val="16"/>
                <w:szCs w:val="16"/>
                <w:color w:val="auto"/>
              </w:rPr>
              <w:t>Non-cash gain on swaps</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(2,315)</w:t>
            </w:r>
          </w:p>
        </w:tc>
        <w:tc>
          <w:tcPr>
            <w:tcW w:w="1380" w:type="dxa"/>
            <w:vAlign w:val="bottom"/>
          </w:tcPr>
          <w:p>
            <w:pPr>
              <w:jc w:val="right"/>
              <w:spacing w:after="0"/>
              <w:rPr>
                <w:sz w:val="20"/>
                <w:szCs w:val="20"/>
                <w:color w:val="auto"/>
              </w:rPr>
            </w:pPr>
            <w:r>
              <w:rPr>
                <w:rFonts w:ascii="Arial" w:cs="Arial" w:eastAsia="Arial" w:hAnsi="Arial"/>
                <w:sz w:val="16"/>
                <w:szCs w:val="16"/>
                <w:color w:val="auto"/>
              </w:rPr>
              <w:t>(16,898)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576</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Foreign exchange losses/(gains), net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269</w:t>
            </w:r>
          </w:p>
        </w:tc>
        <w:tc>
          <w:tcPr>
            <w:tcW w:w="2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6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3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21,922</w:t>
            </w:r>
          </w:p>
        </w:tc>
        <w:tc>
          <w:tcPr>
            <w:tcW w:w="20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25,289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40"/>
              <w:spacing w:after="0"/>
              <w:rPr>
                <w:sz w:val="20"/>
                <w:szCs w:val="20"/>
                <w:color w:val="auto"/>
              </w:rPr>
            </w:pPr>
            <w:r>
              <w:rPr>
                <w:rFonts w:ascii="Arial" w:cs="Arial" w:eastAsia="Arial" w:hAnsi="Arial"/>
                <w:sz w:val="14"/>
                <w:szCs w:val="14"/>
                <w:color w:val="auto"/>
              </w:rPr>
              <w:t>15</w:t>
            </w: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53"/>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Earnings Per Share to Adjusted Earnings/(Loss) Per Share to:</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 Dollars, except shares and per share data)</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March 31, 2017</w:t>
            </w: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March 31, 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 attributable to owners of the Group</w:t>
            </w:r>
          </w:p>
        </w:tc>
        <w:tc>
          <w:tcPr>
            <w:tcW w:w="60" w:type="dxa"/>
            <w:vAlign w:val="bottom"/>
            <w:tcBorders>
              <w:top w:val="single" w:sz="8" w:color="auto"/>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8,752</w:t>
            </w:r>
          </w:p>
        </w:tc>
        <w:tc>
          <w:tcPr>
            <w:tcW w:w="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19,304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rPr>
                <w:sz w:val="20"/>
                <w:szCs w:val="20"/>
                <w:color w:val="auto"/>
              </w:rPr>
            </w:pPr>
            <w:r>
              <w:rPr>
                <w:rFonts w:ascii="Arial" w:cs="Arial" w:eastAsia="Arial" w:hAnsi="Arial"/>
                <w:sz w:val="16"/>
                <w:szCs w:val="16"/>
                <w:color w:val="auto"/>
              </w:rPr>
              <w:t>Less:</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Dividend on preference shares</w:t>
            </w: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(2,516)</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Profit for the period available to owners of the Group used in EPS calculation</w:t>
            </w:r>
          </w:p>
        </w:tc>
        <w:tc>
          <w:tcPr>
            <w:tcW w:w="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6,236</w:t>
            </w:r>
          </w:p>
        </w:tc>
        <w:tc>
          <w:tcPr>
            <w:tcW w:w="8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60" w:type="dxa"/>
            <w:vAlign w:val="bottom"/>
            <w:tcBorders>
              <w:bottom w:val="single" w:sz="8" w:color="auto"/>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80,561,353</w:t>
            </w: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80,715,130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Earnings per share</w:t>
            </w: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0.08</w:t>
            </w:r>
          </w:p>
        </w:tc>
        <w:tc>
          <w:tcPr>
            <w:tcW w:w="80" w:type="dxa"/>
            <w:vAlign w:val="bottom"/>
            <w:tcBorders>
              <w:bottom w:val="single" w:sz="8" w:color="E5FFFF"/>
            </w:tcBorders>
          </w:tcPr>
          <w:p>
            <w:pPr>
              <w:spacing w:after="0"/>
              <w:rPr>
                <w:sz w:val="20"/>
                <w:szCs w:val="20"/>
                <w:color w:val="auto"/>
              </w:rPr>
            </w:pPr>
          </w:p>
        </w:tc>
        <w:tc>
          <w:tcPr>
            <w:tcW w:w="20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300" w:type="dxa"/>
            <w:vAlign w:val="bottom"/>
            <w:shd w:val="clear" w:color="auto" w:fill="E5FFFF"/>
          </w:tcPr>
          <w:p>
            <w:pPr>
              <w:spacing w:after="0" w:line="167" w:lineRule="exact"/>
              <w:rPr>
                <w:sz w:val="20"/>
                <w:szCs w:val="20"/>
                <w:color w:val="auto"/>
              </w:rPr>
            </w:pPr>
            <w:r>
              <w:rPr>
                <w:rFonts w:ascii="Arial" w:cs="Arial" w:eastAsia="Arial" w:hAnsi="Arial"/>
                <w:sz w:val="16"/>
                <w:szCs w:val="16"/>
                <w:color w:val="auto"/>
              </w:rPr>
              <w:t>Profit for the period available to owners of the Group used in EPS calculation</w:t>
            </w:r>
          </w:p>
        </w:tc>
        <w:tc>
          <w:tcPr>
            <w:tcW w:w="60" w:type="dxa"/>
            <w:vAlign w:val="bottom"/>
            <w:shd w:val="clear" w:color="auto" w:fill="E5FFFF"/>
          </w:tcPr>
          <w:p>
            <w:pPr>
              <w:spacing w:after="0"/>
              <w:rPr>
                <w:sz w:val="15"/>
                <w:szCs w:val="15"/>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6,236</w:t>
            </w:r>
          </w:p>
        </w:tc>
        <w:tc>
          <w:tcPr>
            <w:tcW w:w="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16,788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rPr>
                <w:sz w:val="20"/>
                <w:szCs w:val="20"/>
                <w:color w:val="auto"/>
              </w:rPr>
            </w:pPr>
            <w:r>
              <w:rPr>
                <w:rFonts w:ascii="Arial" w:cs="Arial" w:eastAsia="Arial" w:hAnsi="Arial"/>
                <w:sz w:val="16"/>
                <w:szCs w:val="16"/>
                <w:color w:val="auto"/>
              </w:rPr>
              <w:t>Less:</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Non-cash gain on swaps</w:t>
            </w: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(2,315)</w:t>
            </w: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(16,898)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300" w:type="dxa"/>
            <w:vAlign w:val="bottom"/>
          </w:tcPr>
          <w:p>
            <w:pPr>
              <w:jc w:val="right"/>
              <w:spacing w:after="0"/>
              <w:rPr>
                <w:sz w:val="20"/>
                <w:szCs w:val="20"/>
                <w:color w:val="auto"/>
              </w:rPr>
            </w:pPr>
            <w:r>
              <w:rPr>
                <w:rFonts w:ascii="Arial" w:cs="Arial" w:eastAsia="Arial" w:hAnsi="Arial"/>
                <w:sz w:val="16"/>
                <w:szCs w:val="16"/>
                <w:color w:val="auto"/>
              </w:rPr>
              <w:t>576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Foreign exchange losses/(gains), net</w:t>
            </w:r>
          </w:p>
        </w:tc>
        <w:tc>
          <w:tcPr>
            <w:tcW w:w="13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269</w:t>
            </w: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Adjusted profit/(loss) attributable to owners of the Group</w:t>
            </w:r>
          </w:p>
        </w:tc>
        <w:tc>
          <w:tcPr>
            <w:tcW w:w="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4,766</w:t>
            </w:r>
          </w:p>
        </w:tc>
        <w:tc>
          <w:tcPr>
            <w:tcW w:w="8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Weighted average number of shares outstanding, basic</w:t>
            </w:r>
          </w:p>
        </w:tc>
        <w:tc>
          <w:tcPr>
            <w:tcW w:w="60" w:type="dxa"/>
            <w:vAlign w:val="bottom"/>
            <w:tcBorders>
              <w:bottom w:val="single" w:sz="8" w:color="auto"/>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80,561,353</w:t>
            </w:r>
          </w:p>
        </w:tc>
        <w:tc>
          <w:tcPr>
            <w:tcW w:w="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80,715,130</w:t>
            </w:r>
          </w:p>
        </w:tc>
        <w:tc>
          <w:tcPr>
            <w:tcW w:w="100" w:type="dxa"/>
            <w:vAlign w:val="bottom"/>
            <w:gridSpan w:val="2"/>
            <w:vMerge w:val="restart"/>
          </w:tcPr>
          <w:p>
            <w:pPr>
              <w:jc w:val="right"/>
              <w:ind w:right="60"/>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b w:val="1"/>
                <w:bCs w:val="1"/>
                <w:color w:val="auto"/>
              </w:rPr>
              <w:t>Adjusted earnings/(loss) per share</w:t>
            </w:r>
          </w:p>
        </w:tc>
        <w:tc>
          <w:tcPr>
            <w:tcW w:w="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0.06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-2960370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-2960370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346" w:right="199" w:bottom="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85090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 w:name="page12"/>
    <w:bookmarkEnd w:id="11"/>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Financial Report for the Three Months Ended March 31, 2018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w:t>
      </w:r>
    </w:p>
    <w:p>
      <w:pPr>
        <w:spacing w:after="0" w:line="225" w:lineRule="exact"/>
        <w:rPr>
          <w:sz w:val="20"/>
          <w:szCs w:val="20"/>
          <w:color w:val="auto"/>
        </w:rPr>
      </w:pPr>
    </w:p>
    <w:p>
      <w:pPr>
        <w:ind w:firstLine="356"/>
        <w:spacing w:after="0" w:line="289" w:lineRule="auto"/>
        <w:rPr>
          <w:sz w:val="20"/>
          <w:szCs w:val="20"/>
          <w:color w:val="auto"/>
        </w:rPr>
      </w:pPr>
      <w:r>
        <w:rPr>
          <w:rFonts w:ascii="Arial" w:cs="Arial" w:eastAsia="Arial" w:hAnsi="Arial"/>
          <w:sz w:val="15"/>
          <w:szCs w:val="15"/>
          <w:color w:val="auto"/>
        </w:rPr>
        <w:t>The following is a discussion of our financial condition and results of operations for the three-month periods ended March 31, 2017 and March 31, 2018.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 please see our Annual Report on Form 20-F filed with the U.S. Securities and Exchange Commission (the “SEC”) on February 28, 2018.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5" w:lineRule="exact"/>
        <w:rPr>
          <w:sz w:val="20"/>
          <w:szCs w:val="20"/>
          <w:color w:val="auto"/>
        </w:rPr>
      </w:pPr>
    </w:p>
    <w:p>
      <w:pPr>
        <w:ind w:right="60" w:firstLine="324"/>
        <w:spacing w:after="0" w:line="289" w:lineRule="auto"/>
        <w:rPr>
          <w:sz w:val="20"/>
          <w:szCs w:val="20"/>
          <w:color w:val="auto"/>
        </w:rPr>
      </w:pPr>
      <w:r>
        <w:rPr>
          <w:rFonts w:ascii="Arial" w:cs="Arial" w:eastAsia="Arial" w:hAnsi="Arial"/>
          <w:sz w:val="15"/>
          <w:szCs w:val="15"/>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21" w:lineRule="exact"/>
        <w:rPr>
          <w:sz w:val="20"/>
          <w:szCs w:val="20"/>
          <w:color w:val="auto"/>
        </w:rPr>
      </w:pPr>
    </w:p>
    <w:p>
      <w:pPr>
        <w:ind w:left="560" w:right="300" w:hanging="228"/>
        <w:spacing w:after="0" w:line="266" w:lineRule="auto"/>
        <w:tabs>
          <w:tab w:leader="none" w:pos="516"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fluctuations in spot and long-term charter hire rates and vessel values;</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560" w:right="20" w:hanging="228"/>
        <w:spacing w:after="0" w:line="264" w:lineRule="auto"/>
        <w:tabs>
          <w:tab w:leader="none" w:pos="516"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no longer under long-term time charter commitments, including the risk that certain of our vessels may no longer have the latest technology which may impact the rate at which we can charter such vessels;</w:t>
      </w: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maintain long term relationships and enter into time charters with new and existing customers;</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increased exposure to the spot market and fluctuations in spot charter rates;</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future operating performance and expenses, financial condition, liquidity and cash available for dividends and distributions;</w:t>
      </w:r>
    </w:p>
    <w:p>
      <w:pPr>
        <w:spacing w:after="0" w:line="18" w:lineRule="exact"/>
        <w:rPr>
          <w:rFonts w:ascii="Arial" w:cs="Arial" w:eastAsia="Arial" w:hAnsi="Arial"/>
          <w:sz w:val="16"/>
          <w:szCs w:val="16"/>
          <w:color w:val="auto"/>
        </w:rPr>
      </w:pPr>
    </w:p>
    <w:p>
      <w:pPr>
        <w:ind w:left="560" w:right="60" w:hanging="228"/>
        <w:spacing w:after="0" w:line="264" w:lineRule="auto"/>
        <w:tabs>
          <w:tab w:leader="none" w:pos="516"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time that it may take to construct and deliver newbuildings and the useful lives of our ships;</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fluctuations in currencies and interest rates;</w:t>
      </w:r>
    </w:p>
    <w:p>
      <w:pPr>
        <w:spacing w:after="0" w:line="18" w:lineRule="exact"/>
        <w:rPr>
          <w:rFonts w:ascii="Arial" w:cs="Arial" w:eastAsia="Arial" w:hAnsi="Arial"/>
          <w:sz w:val="16"/>
          <w:szCs w:val="16"/>
          <w:color w:val="auto"/>
        </w:rPr>
      </w:pPr>
    </w:p>
    <w:p>
      <w:pPr>
        <w:ind w:left="560" w:right="160" w:hanging="228"/>
        <w:spacing w:after="0" w:line="264" w:lineRule="auto"/>
        <w:tabs>
          <w:tab w:leader="none" w:pos="51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risks inherent in ship operation, including the risk of accidents, collisions and the discharge of pollutants;</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retain key employees and the availability of skilled labour, ship crews and management;</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political events, piracy or acts by terrorists;</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liability from future litigation;</w:t>
      </w:r>
    </w:p>
    <w:p>
      <w:pPr>
        <w:spacing w:after="0" w:line="18" w:lineRule="exact"/>
        <w:rPr>
          <w:rFonts w:ascii="Arial" w:cs="Arial" w:eastAsia="Arial" w:hAnsi="Arial"/>
          <w:sz w:val="16"/>
          <w:szCs w:val="16"/>
          <w:color w:val="auto"/>
        </w:rPr>
      </w:pPr>
    </w:p>
    <w:p>
      <w:pPr>
        <w:ind w:left="520" w:hanging="188"/>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breach; and</w:t>
      </w:r>
    </w:p>
    <w:p>
      <w:pPr>
        <w:spacing w:after="0" w:line="30" w:lineRule="exact"/>
        <w:rPr>
          <w:rFonts w:ascii="Arial" w:cs="Arial" w:eastAsia="Arial" w:hAnsi="Arial"/>
          <w:sz w:val="15"/>
          <w:szCs w:val="15"/>
          <w:color w:val="auto"/>
        </w:rPr>
      </w:pPr>
    </w:p>
    <w:p>
      <w:pPr>
        <w:ind w:left="520" w:hanging="188"/>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other risks and uncertainties described in the Company’s Annual Report on Form 20-F filed with the SEC on February 28, 2018 and available at </w:t>
      </w:r>
      <w:r>
        <w:rPr>
          <w:rFonts w:ascii="Arial" w:cs="Arial" w:eastAsia="Arial" w:hAnsi="Arial"/>
          <w:sz w:val="15"/>
          <w:szCs w:val="15"/>
          <w:u w:val="single" w:color="auto"/>
          <w:color w:val="0000FF"/>
        </w:rPr>
        <w:t>http://www.sec.gov</w:t>
      </w:r>
      <w:r>
        <w:rPr>
          <w:rFonts w:ascii="Arial" w:cs="Arial" w:eastAsia="Arial" w:hAnsi="Arial"/>
          <w:sz w:val="15"/>
          <w:szCs w:val="15"/>
          <w:color w:val="auto"/>
        </w:rPr>
        <w:t>.</w:t>
      </w:r>
    </w:p>
    <w:p>
      <w:pPr>
        <w:spacing w:after="0" w:line="229" w:lineRule="exact"/>
        <w:rPr>
          <w:sz w:val="20"/>
          <w:szCs w:val="20"/>
          <w:color w:val="auto"/>
        </w:rPr>
      </w:pPr>
    </w:p>
    <w:p>
      <w:pPr>
        <w:jc w:val="both"/>
        <w:ind w:right="8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6" w:lineRule="exact"/>
        <w:rPr>
          <w:sz w:val="20"/>
          <w:szCs w:val="20"/>
          <w:color w:val="auto"/>
        </w:rPr>
      </w:pPr>
    </w:p>
    <w:p>
      <w:pPr>
        <w:jc w:val="both"/>
        <w:ind w:right="740" w:firstLine="356"/>
        <w:spacing w:after="0" w:line="369" w:lineRule="auto"/>
        <w:rPr>
          <w:sz w:val="20"/>
          <w:szCs w:val="20"/>
          <w:color w:val="auto"/>
        </w:rPr>
      </w:pPr>
      <w:r>
        <w:rPr>
          <w:rFonts w:ascii="Arial" w:cs="Arial" w:eastAsia="Arial" w:hAnsi="Arial"/>
          <w:sz w:val="14"/>
          <w:szCs w:val="14"/>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right="20" w:firstLine="356"/>
        <w:spacing w:after="0" w:line="268" w:lineRule="auto"/>
        <w:rPr>
          <w:sz w:val="20"/>
          <w:szCs w:val="20"/>
          <w:color w:val="auto"/>
        </w:rPr>
      </w:pPr>
      <w:r>
        <w:rPr>
          <w:rFonts w:ascii="Arial" w:cs="Arial" w:eastAsia="Arial" w:hAnsi="Arial"/>
          <w:sz w:val="16"/>
          <w:szCs w:val="16"/>
          <w:color w:val="auto"/>
        </w:rPr>
        <w:t>We are an international owner, operator and manager of LNG carriers. Our wholly owned fleet as of May 4, 2018, consists of 16 LNG carriers, including 12 ships in operation and four LNG carriers on order at Samsung Heavy Industries Co., Ltd. (“Samsung”). GasLog is also the general and controlling partner in GasLog Partners LP (“GasLog Partners” or the “Partnership”), a publicly traded master limited partnership, which owns 13 LNG carriers. In addition, GasLog has leased back under a bareboat charter one vessel sold to Lepta Shipping Co., Ltd. (“Lepta Shipping”), a subsidiary of Mitsui Co., Ltd. (“Mitsui”) in February 2016, for a period of up to 20 years. GasLog has the option to re-purchase the vessel on pre-agreed terms no earlier than the end of year ten and no later than the end of year 17 of the bareboat charter. We currently manage and operate 26 LNG carriers including 12 of our wholly owned ships in operation, 12 of the 13 ships contributed or sold to the Partnership (the other one is managed by a subsidiary of Royal Dutch Shell plc (“Shell”)), the bareboat vessel and one LNG carrier owned by an entity in which we have a 25% interest. We are also supervising the construction of our newbuildings.</w:t>
      </w:r>
    </w:p>
    <w:p>
      <w:pPr>
        <w:spacing w:after="0" w:line="193" w:lineRule="exact"/>
        <w:rPr>
          <w:sz w:val="20"/>
          <w:szCs w:val="20"/>
          <w:color w:val="auto"/>
        </w:rPr>
      </w:pPr>
    </w:p>
    <w:p>
      <w:pPr>
        <w:ind w:right="160" w:firstLine="324"/>
        <w:spacing w:after="0" w:line="335" w:lineRule="auto"/>
        <w:rPr>
          <w:sz w:val="20"/>
          <w:szCs w:val="20"/>
          <w:color w:val="auto"/>
        </w:rPr>
      </w:pPr>
      <w:r>
        <w:rPr>
          <w:rFonts w:ascii="Arial" w:cs="Arial" w:eastAsia="Arial" w:hAnsi="Arial"/>
          <w:sz w:val="14"/>
          <w:szCs w:val="14"/>
          <w:color w:val="auto"/>
        </w:rPr>
        <w:t>GasLog has entered into a pool agreement (the “Pool Agreement”) with Dynagas Ltd. (“Dynagas”) and Golar LNG Ltd. (“Golar”) establishing an LNG carrier pooling arrangement (the “Cool Pool”) to market our and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w:t>
      </w:r>
    </w:p>
    <w:p>
      <w:pPr>
        <w:sectPr>
          <w:pgSz w:w="11900" w:h="16954" w:orient="portrait"/>
          <w:cols w:equalWidth="0" w:num="1">
            <w:col w:w="11420"/>
          </w:cols>
          <w:pgMar w:left="240" w:top="126" w:right="239" w:bottom="0" w:gutter="0" w:footer="0" w:header="0"/>
        </w:sectPr>
      </w:pPr>
    </w:p>
    <w:bookmarkStart w:id="12" w:name="page13"/>
    <w:bookmarkEnd w:id="12"/>
    <w:p>
      <w:pPr>
        <w:ind w:right="80"/>
        <w:spacing w:after="0" w:line="278" w:lineRule="auto"/>
        <w:rPr>
          <w:sz w:val="20"/>
          <w:szCs w:val="20"/>
          <w:color w:val="auto"/>
        </w:rPr>
      </w:pPr>
      <w:r>
        <w:rPr>
          <w:rFonts w:ascii="Arial" w:cs="Arial" w:eastAsia="Arial" w:hAnsi="Arial"/>
          <w:sz w:val="16"/>
          <w:szCs w:val="16"/>
          <w:color w:val="auto"/>
        </w:rPr>
        <w:t>transportation requirements of a rapidly growing LNG shipping market by providing customers with reliable, flexible and innovative solutions to meet their increasingly complex shipping requirements. For the operation of the Cool Pool, a Marshall Islands service company named “The Cool Pool Limited” was incorporated in September 2015 acting as an agent.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xml:space="preserve">We have a 25% interest in a ship, the </w:t>
      </w:r>
      <w:r>
        <w:rPr>
          <w:rFonts w:ascii="Arial" w:cs="Arial" w:eastAsia="Arial" w:hAnsi="Arial"/>
          <w:sz w:val="15"/>
          <w:szCs w:val="15"/>
          <w:i w:val="1"/>
          <w:iCs w:val="1"/>
          <w:color w:val="auto"/>
        </w:rPr>
        <w:t>Methane Nile Eagle</w:t>
      </w:r>
      <w:r>
        <w:rPr>
          <w:rFonts w:ascii="Arial" w:cs="Arial" w:eastAsia="Arial" w:hAnsi="Arial"/>
          <w:sz w:val="15"/>
          <w:szCs w:val="15"/>
          <w:color w:val="auto"/>
        </w:rPr>
        <w:t>, a 2007-built LNG carrier owned by Egypt LNG Shipping Ltd. (“Egypt LNG”) and technically managed by us.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It is currently operating under a 20-year time charter to a subsidiary of Shell.</w:t>
      </w:r>
    </w:p>
    <w:p>
      <w:pPr>
        <w:spacing w:after="0" w:line="231" w:lineRule="exact"/>
        <w:rPr>
          <w:sz w:val="20"/>
          <w:szCs w:val="20"/>
          <w:color w:val="auto"/>
        </w:rPr>
      </w:pPr>
    </w:p>
    <w:p>
      <w:pPr>
        <w:jc w:val="both"/>
        <w:ind w:right="20" w:firstLine="356"/>
        <w:spacing w:after="0" w:line="278" w:lineRule="auto"/>
        <w:rPr>
          <w:sz w:val="20"/>
          <w:szCs w:val="20"/>
          <w:color w:val="auto"/>
        </w:rPr>
      </w:pPr>
      <w:r>
        <w:rPr>
          <w:rFonts w:ascii="Arial" w:cs="Arial" w:eastAsia="Arial" w:hAnsi="Arial"/>
          <w:sz w:val="16"/>
          <w:szCs w:val="16"/>
          <w:color w:val="auto"/>
        </w:rPr>
        <w:t>We generate revenues by chartering our ships to customers on multi-year time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239"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6"/>
          <w:szCs w:val="16"/>
          <w:color w:val="auto"/>
        </w:rPr>
        <w:t xml:space="preserve">GasLog Partners entered into agreements with a new customer for two new charters plus options for an additional two charters, exercisable by the charterer. The agreements include an approximately three-and-a-half-year charter for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 155,000 cubic meters (“cbm”) tri-fuel diesel electric (“TFDE”) LNG carrier built in 2013, commencing in either August or September 2018 at the Partnership’s option, and a one-year charter for a 145,000 cbm steam-powered (“Steam”) vessel (either the 2006-built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or the 2007-built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as nominated by the Partnership) commencing in either November or December 2019 at the Partnership’s option. The charterer has options to extend the first charter for up to an additional seven years and the second charter for up to an additional four years, both at escalating rates.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Delivery of the </w:t>
      </w:r>
      <w:r>
        <w:rPr>
          <w:rFonts w:ascii="Arial" w:cs="Arial" w:eastAsia="Arial" w:hAnsi="Arial"/>
          <w:sz w:val="16"/>
          <w:szCs w:val="16"/>
          <w:b w:val="1"/>
          <w:bCs w:val="1"/>
          <w:i w:val="1"/>
          <w:iCs w:val="1"/>
          <w:u w:val="single" w:color="auto"/>
          <w:color w:val="auto"/>
        </w:rPr>
        <w:t>GasLog Houston,</w:t>
      </w:r>
      <w:r>
        <w:rPr>
          <w:rFonts w:ascii="Arial" w:cs="Arial" w:eastAsia="Arial" w:hAnsi="Arial"/>
          <w:sz w:val="16"/>
          <w:szCs w:val="16"/>
          <w:b w:val="1"/>
          <w:bCs w:val="1"/>
          <w:u w:val="single" w:color="auto"/>
          <w:color w:val="auto"/>
        </w:rPr>
        <w:t xml:space="preserve"> the </w:t>
      </w:r>
      <w:r>
        <w:rPr>
          <w:rFonts w:ascii="Arial" w:cs="Arial" w:eastAsia="Arial" w:hAnsi="Arial"/>
          <w:sz w:val="16"/>
          <w:szCs w:val="16"/>
          <w:b w:val="1"/>
          <w:bCs w:val="1"/>
          <w:i w:val="1"/>
          <w:iCs w:val="1"/>
          <w:u w:val="single" w:color="auto"/>
          <w:color w:val="auto"/>
        </w:rPr>
        <w:t>GasLog Hong Kong</w:t>
      </w:r>
      <w:r>
        <w:rPr>
          <w:rFonts w:ascii="Arial" w:cs="Arial" w:eastAsia="Arial" w:hAnsi="Arial"/>
          <w:sz w:val="16"/>
          <w:szCs w:val="16"/>
          <w:b w:val="1"/>
          <w:bCs w:val="1"/>
          <w:u w:val="single" w:color="auto"/>
          <w:color w:val="auto"/>
        </w:rPr>
        <w:t xml:space="preserve"> and the </w:t>
      </w:r>
      <w:r>
        <w:rPr>
          <w:rFonts w:ascii="Arial" w:cs="Arial" w:eastAsia="Arial" w:hAnsi="Arial"/>
          <w:sz w:val="16"/>
          <w:szCs w:val="16"/>
          <w:b w:val="1"/>
          <w:bCs w:val="1"/>
          <w:i w:val="1"/>
          <w:iCs w:val="1"/>
          <w:u w:val="single" w:color="auto"/>
          <w:color w:val="auto"/>
        </w:rPr>
        <w:t>GasLog Genoa</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On January 8, 2018, GasLog took delivery of the </w:t>
      </w:r>
      <w:r>
        <w:rPr>
          <w:rFonts w:ascii="Arial" w:cs="Arial" w:eastAsia="Arial" w:hAnsi="Arial"/>
          <w:sz w:val="15"/>
          <w:szCs w:val="15"/>
          <w:i w:val="1"/>
          <w:iCs w:val="1"/>
          <w:color w:val="auto"/>
        </w:rPr>
        <w:t>GasLog Houston</w:t>
      </w:r>
      <w:r>
        <w:rPr>
          <w:rFonts w:ascii="Arial" w:cs="Arial" w:eastAsia="Arial" w:hAnsi="Arial"/>
          <w:sz w:val="15"/>
          <w:szCs w:val="15"/>
          <w:color w:val="auto"/>
        </w:rPr>
        <w:t>, a 174,000 cbm LNG carrier with LP-2S propulsion constructed by Hyundai Heavy Industries</w:t>
      </w:r>
    </w:p>
    <w:p>
      <w:pPr>
        <w:spacing w:after="0" w:line="3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Co., Ltd. (“Hyundai”). The vessel completed a short-term charter to a major LNG producer and is currently available in the spot market until the commencement of her multi-year charter party with a subsidiary of Shell, from the end of 2018 until April 2028.</w:t>
      </w:r>
    </w:p>
    <w:p>
      <w:pPr>
        <w:spacing w:after="0" w:line="176" w:lineRule="exact"/>
        <w:rPr>
          <w:sz w:val="20"/>
          <w:szCs w:val="20"/>
          <w:color w:val="auto"/>
        </w:rPr>
      </w:pPr>
    </w:p>
    <w:p>
      <w:pPr>
        <w:jc w:val="both"/>
        <w:ind w:firstLine="383"/>
        <w:spacing w:after="0" w:line="271" w:lineRule="auto"/>
        <w:rPr>
          <w:sz w:val="20"/>
          <w:szCs w:val="20"/>
          <w:color w:val="auto"/>
        </w:rPr>
      </w:pPr>
      <w:r>
        <w:rPr>
          <w:rFonts w:ascii="Arial" w:cs="Arial" w:eastAsia="Arial" w:hAnsi="Arial"/>
          <w:sz w:val="16"/>
          <w:szCs w:val="16"/>
          <w:color w:val="auto"/>
        </w:rPr>
        <w:t xml:space="preserve">On March 20, 2018, GasLog took delivery of the </w:t>
      </w:r>
      <w:r>
        <w:rPr>
          <w:rFonts w:ascii="Arial" w:cs="Arial" w:eastAsia="Arial" w:hAnsi="Arial"/>
          <w:sz w:val="16"/>
          <w:szCs w:val="16"/>
          <w:i w:val="1"/>
          <w:iCs w:val="1"/>
          <w:color w:val="auto"/>
        </w:rPr>
        <w:t>GasLog Hong Kong</w:t>
      </w:r>
      <w:r>
        <w:rPr>
          <w:rFonts w:ascii="Arial" w:cs="Arial" w:eastAsia="Arial" w:hAnsi="Arial"/>
          <w:sz w:val="16"/>
          <w:szCs w:val="16"/>
          <w:color w:val="auto"/>
        </w:rPr>
        <w:t>, a 174,000 cbm LNG carrier with LP-2S propulsion constructed by Hyundai. The vessel was originally scheduled to commence a multi-year charter with Total Gas &amp; Power Chartering Limited (“Total”), a wholly owned subsidiary of Total S.A. in December 2018 ending in 2025. However, the commencement of the charter was brought forward to delivery from the yard, thus increasing the period of the charter to Total. Whilst the charter hire rate for this additional initial period is lower than that which GasLog will enjoy for the period from December 2018 to 2025, delivery of the vessel straight into charter from the yard together with the additional charter hire resulted in significant operational efficiencies for GasLog.</w:t>
      </w:r>
    </w:p>
    <w:p>
      <w:pPr>
        <w:spacing w:after="0" w:line="190" w:lineRule="exact"/>
        <w:rPr>
          <w:sz w:val="20"/>
          <w:szCs w:val="20"/>
          <w:color w:val="auto"/>
        </w:rPr>
      </w:pPr>
    </w:p>
    <w:p>
      <w:pPr>
        <w:jc w:val="both"/>
        <w:ind w:right="20" w:firstLine="383"/>
        <w:spacing w:after="0" w:line="293" w:lineRule="auto"/>
        <w:rPr>
          <w:sz w:val="20"/>
          <w:szCs w:val="20"/>
          <w:color w:val="auto"/>
        </w:rPr>
      </w:pPr>
      <w:r>
        <w:rPr>
          <w:rFonts w:ascii="Arial" w:cs="Arial" w:eastAsia="Arial" w:hAnsi="Arial"/>
          <w:sz w:val="16"/>
          <w:szCs w:val="16"/>
          <w:color w:val="auto"/>
        </w:rPr>
        <w:t xml:space="preserve">On March 29, 2018, GasLog took delivery of the </w:t>
      </w:r>
      <w:r>
        <w:rPr>
          <w:rFonts w:ascii="Arial" w:cs="Arial" w:eastAsia="Arial" w:hAnsi="Arial"/>
          <w:sz w:val="16"/>
          <w:szCs w:val="16"/>
          <w:i w:val="1"/>
          <w:iCs w:val="1"/>
          <w:color w:val="auto"/>
        </w:rPr>
        <w:t>GasLog Genoa</w:t>
      </w:r>
      <w:r>
        <w:rPr>
          <w:rFonts w:ascii="Arial" w:cs="Arial" w:eastAsia="Arial" w:hAnsi="Arial"/>
          <w:sz w:val="16"/>
          <w:szCs w:val="16"/>
          <w:color w:val="auto"/>
        </w:rPr>
        <w:t>, a 174,000 cbm LNG carrier with LP-2S propulsion constructed by Samsung. The vessel commenced her charter party agreement with Shell upon delivery until 2027.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Additional Vessels</w:t>
      </w:r>
    </w:p>
    <w:p>
      <w:pPr>
        <w:spacing w:after="0" w:line="239" w:lineRule="exact"/>
        <w:rPr>
          <w:sz w:val="20"/>
          <w:szCs w:val="20"/>
          <w:color w:val="auto"/>
        </w:rPr>
      </w:pPr>
    </w:p>
    <w:p>
      <w:pPr>
        <w:ind w:right="20" w:firstLine="383"/>
        <w:spacing w:after="0" w:line="297" w:lineRule="auto"/>
        <w:rPr>
          <w:sz w:val="20"/>
          <w:szCs w:val="20"/>
          <w:color w:val="auto"/>
        </w:rPr>
      </w:pPr>
      <w:r>
        <w:rPr>
          <w:rFonts w:ascii="Arial" w:cs="Arial" w:eastAsia="Arial" w:hAnsi="Arial"/>
          <w:sz w:val="15"/>
          <w:szCs w:val="15"/>
          <w:color w:val="auto"/>
        </w:rPr>
        <w:t>On January 12, 2018, GasLog entered into a shipbuilding contract with Samsung for the construction of a 180,000 cbm GTT Mark III Flex LNG Carrier with LP-2S propulsion (Hull No. 2213) that is scheduled to be delivered in the second quarter of 2020. This vessel will now be the vessel to be chartered to Pioneer Shipping Limited, a wholly owned subsidiary of Centrica plc (“Centrica”), for an initial period of approximately seven years, as previously announced on October 20, 2016. The 180,000 cbm GTT Mark III Flex Plus LNG Carrier with LP-2S propulsion (Hull No. 2212) to be delivered in the third quarter of 2019 is currently without charter.</w:t>
      </w:r>
    </w:p>
    <w:p>
      <w:pPr>
        <w:spacing w:after="0" w:line="173" w:lineRule="exact"/>
        <w:rPr>
          <w:sz w:val="20"/>
          <w:szCs w:val="20"/>
          <w:color w:val="auto"/>
        </w:rPr>
      </w:pPr>
    </w:p>
    <w:p>
      <w:pPr>
        <w:ind w:right="200" w:firstLine="383"/>
        <w:spacing w:after="0" w:line="293" w:lineRule="auto"/>
        <w:rPr>
          <w:sz w:val="20"/>
          <w:szCs w:val="20"/>
          <w:color w:val="auto"/>
        </w:rPr>
      </w:pPr>
      <w:r>
        <w:rPr>
          <w:rFonts w:ascii="Arial" w:cs="Arial" w:eastAsia="Arial" w:hAnsi="Arial"/>
          <w:sz w:val="16"/>
          <w:szCs w:val="16"/>
          <w:color w:val="auto"/>
        </w:rPr>
        <w:t>On March 9, 2018, GasLog entered into a shipbuilding contract with Samsung for the construction of a 180,000 cbm GTT Mark III Flex Plus LNG Carrier with LP-2S propulsion (Hull No. 2274) that is scheduled to be delivered in the second quarter of 2020 and is currently without charter.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Issuance of Series B Preference Units</w:t>
      </w:r>
    </w:p>
    <w:p>
      <w:pPr>
        <w:spacing w:after="0" w:line="239" w:lineRule="exact"/>
        <w:rPr>
          <w:sz w:val="20"/>
          <w:szCs w:val="20"/>
          <w:color w:val="auto"/>
        </w:rPr>
      </w:pPr>
    </w:p>
    <w:p>
      <w:pPr>
        <w:ind w:right="140" w:firstLine="383"/>
        <w:spacing w:after="0" w:line="273" w:lineRule="auto"/>
        <w:rPr>
          <w:sz w:val="20"/>
          <w:szCs w:val="20"/>
          <w:color w:val="auto"/>
        </w:rPr>
      </w:pPr>
      <w:r>
        <w:rPr>
          <w:rFonts w:ascii="Arial" w:cs="Arial" w:eastAsia="Arial" w:hAnsi="Arial"/>
          <w:sz w:val="16"/>
          <w:szCs w:val="16"/>
          <w:color w:val="auto"/>
        </w:rPr>
        <w:t>On January 17, 2018, GasLog Partners completed a public offering of 4,600,000 8.200% Series B Preference Units (including 600,000 units issued upon the exercise in full by the underwriters of their option to purchase additional Series B Preference Units), liquidation preference $25.00 per unit, at a price to the public of $25.00 per preference unit. The net proceeds from the offering after deducting underwriting discounts, commissions and other offering expenses were $111.2 million. The Series B Preference Units are listed on the New York Stock Exchange under the symbol “GLOP PR 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Sale of the </w:t>
      </w:r>
      <w:r>
        <w:rPr>
          <w:rFonts w:ascii="Arial" w:cs="Arial" w:eastAsia="Arial" w:hAnsi="Arial"/>
          <w:sz w:val="16"/>
          <w:szCs w:val="16"/>
          <w:b w:val="1"/>
          <w:bCs w:val="1"/>
          <w:i w:val="1"/>
          <w:iCs w:val="1"/>
          <w:u w:val="single" w:color="auto"/>
          <w:color w:val="auto"/>
        </w:rPr>
        <w:t>GasLog Gibraltar</w:t>
      </w:r>
    </w:p>
    <w:p>
      <w:pPr>
        <w:spacing w:after="0" w:line="239" w:lineRule="exact"/>
        <w:rPr>
          <w:sz w:val="20"/>
          <w:szCs w:val="20"/>
          <w:color w:val="auto"/>
        </w:rPr>
      </w:pPr>
    </w:p>
    <w:p>
      <w:pPr>
        <w:jc w:val="both"/>
        <w:ind w:right="100" w:firstLine="383"/>
        <w:spacing w:after="0" w:line="297" w:lineRule="auto"/>
        <w:rPr>
          <w:sz w:val="20"/>
          <w:szCs w:val="20"/>
          <w:color w:val="auto"/>
        </w:rPr>
      </w:pPr>
      <w:r>
        <w:rPr>
          <w:rFonts w:ascii="Arial" w:cs="Arial" w:eastAsia="Arial" w:hAnsi="Arial"/>
          <w:sz w:val="15"/>
          <w:szCs w:val="15"/>
          <w:color w:val="auto"/>
        </w:rPr>
        <w:t xml:space="preserve">On April 16, 2018, GasLog entered into a share purchase agreement for the sale to GasLog Partners of 100% of the ownership interest in GAS-fourteen Ltd., the entity that owns the </w:t>
      </w:r>
      <w:r>
        <w:rPr>
          <w:rFonts w:ascii="Arial" w:cs="Arial" w:eastAsia="Arial" w:hAnsi="Arial"/>
          <w:sz w:val="15"/>
          <w:szCs w:val="15"/>
          <w:i w:val="1"/>
          <w:iCs w:val="1"/>
          <w:color w:val="auto"/>
        </w:rPr>
        <w:t>GasLog Gibraltar</w:t>
      </w:r>
      <w:r>
        <w:rPr>
          <w:rFonts w:ascii="Arial" w:cs="Arial" w:eastAsia="Arial" w:hAnsi="Arial"/>
          <w:sz w:val="15"/>
          <w:szCs w:val="15"/>
          <w:color w:val="auto"/>
        </w:rPr>
        <w:t xml:space="preserve">, for an aggregate purchase price of $207.0 million, which includes $1.0 million for positive net working capital balances transferred with the entity. GasLog Partners financed the acquisition with cash on hand, $45.0 million of new privately placed common units issued to GasLog (1,858,975 common units at a price of $24.21 per unit) and the assumption of the </w:t>
      </w:r>
      <w:r>
        <w:rPr>
          <w:rFonts w:ascii="Arial" w:cs="Arial" w:eastAsia="Arial" w:hAnsi="Arial"/>
          <w:sz w:val="15"/>
          <w:szCs w:val="15"/>
          <w:i w:val="1"/>
          <w:iCs w:val="1"/>
          <w:color w:val="auto"/>
        </w:rPr>
        <w:t>GasLog Gibraltar</w:t>
      </w:r>
      <w:r>
        <w:rPr>
          <w:rFonts w:ascii="Arial" w:cs="Arial" w:eastAsia="Arial" w:hAnsi="Arial"/>
          <w:sz w:val="15"/>
          <w:szCs w:val="15"/>
          <w:color w:val="auto"/>
        </w:rPr>
        <w:t>’s outstanding indebtedness of $143.6 million. The sale closed on April 26, 2018.</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Alexandroupolis Project update</w:t>
      </w:r>
    </w:p>
    <w:p>
      <w:pPr>
        <w:spacing w:after="0" w:line="239" w:lineRule="exact"/>
        <w:rPr>
          <w:sz w:val="20"/>
          <w:szCs w:val="20"/>
          <w:color w:val="auto"/>
        </w:rPr>
      </w:pPr>
    </w:p>
    <w:p>
      <w:pPr>
        <w:ind w:right="40" w:firstLine="383"/>
        <w:spacing w:after="0" w:line="291" w:lineRule="auto"/>
        <w:rPr>
          <w:sz w:val="20"/>
          <w:szCs w:val="20"/>
          <w:color w:val="auto"/>
        </w:rPr>
      </w:pPr>
      <w:r>
        <w:rPr>
          <w:rFonts w:ascii="Arial" w:cs="Arial" w:eastAsia="Arial" w:hAnsi="Arial"/>
          <w:sz w:val="15"/>
          <w:szCs w:val="15"/>
          <w:color w:val="auto"/>
        </w:rPr>
        <w:t>On February 23, 2018, GasLog entered into an agreement to provide operations and maintenance (“O&amp;M”) services to the Alexandroupolis floating storage and regasification unit (“FSRU”) project (the “Alexandroupolis Project”). In addition, Gastrade S.A. (“Gastrade”) is currently in discussions with a number of additional potential investors, including DEPA, the Greek state-owned gas company, and Bulgarian Energy Holding (“BEH”), the holding company of the Bulgarian Ministry of Energy, and targets to take a final investment decision (“FID”) by the end of 2018 with the FSRU currently scheduled to be operational by the end of 2020. Following a trilateral meeting between DEPA, BEH and Gastrade, the Managing Directors of DEPA and Gastrade reached agreement regarding the future reservation of capacity in the terminal by DEPA. In addition, BEH confirmed its intention to speed up the respective negotiations for the completion of its own participation in the project.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At-the-Market Common Unit Equity Offering Programme (the “ATM Programme”)</w:t>
      </w:r>
    </w:p>
    <w:p>
      <w:pPr>
        <w:spacing w:after="0" w:line="239" w:lineRule="exact"/>
        <w:rPr>
          <w:sz w:val="20"/>
          <w:szCs w:val="20"/>
          <w:color w:val="auto"/>
        </w:rPr>
      </w:pPr>
    </w:p>
    <w:p>
      <w:pPr>
        <w:jc w:val="both"/>
        <w:ind w:right="140" w:firstLine="383"/>
        <w:spacing w:after="0" w:line="369" w:lineRule="auto"/>
        <w:rPr>
          <w:sz w:val="20"/>
          <w:szCs w:val="20"/>
          <w:color w:val="auto"/>
        </w:rPr>
      </w:pPr>
      <w:r>
        <w:rPr>
          <w:rFonts w:ascii="Arial" w:cs="Arial" w:eastAsia="Arial" w:hAnsi="Arial"/>
          <w:sz w:val="14"/>
          <w:szCs w:val="14"/>
          <w:color w:val="auto"/>
        </w:rPr>
        <w:t>On May 16, 2017, GasLog Partners commenced an ATM Programme under which the Partnership may, from time to time, raise equity through the issuance and sale of new common units having an aggregate offering value of up to $100.0 million in accordance with the terms of an equity distribution agreement entered into on the same date.</w:t>
      </w:r>
    </w:p>
    <w:p>
      <w:pPr>
        <w:sectPr>
          <w:pgSz w:w="11900" w:h="16838" w:orient="portrait"/>
          <w:cols w:equalWidth="0" w:num="1">
            <w:col w:w="11420"/>
          </w:cols>
          <w:pgMar w:left="240" w:top="130" w:right="239" w:bottom="0" w:gutter="0" w:footer="0" w:header="0"/>
        </w:sectPr>
      </w:pPr>
    </w:p>
    <w:bookmarkStart w:id="13" w:name="page14"/>
    <w:bookmarkEnd w:id="13"/>
    <w:p>
      <w:pPr>
        <w:spacing w:after="0" w:line="329" w:lineRule="auto"/>
        <w:rPr>
          <w:sz w:val="20"/>
          <w:szCs w:val="20"/>
          <w:color w:val="auto"/>
        </w:rPr>
      </w:pPr>
      <w:r>
        <w:rPr>
          <w:rFonts w:ascii="Arial" w:cs="Arial" w:eastAsia="Arial" w:hAnsi="Arial"/>
          <w:sz w:val="15"/>
          <w:szCs w:val="15"/>
          <w:color w:val="auto"/>
        </w:rPr>
        <w:t>Citigroup Global Markets Inc., Merrill Lynch, Pierce, Fenner &amp; Smith Incorporated, Credit Suisse Securities (USA) LLC and Morgan Stanley &amp; Co. LLC agreed to act as sales agents. On November 3, 2017, the size of the ATM Programme was increased to $144.0 million and UBS Securities LLC was included as a sales agent.</w:t>
      </w:r>
    </w:p>
    <w:p>
      <w:pPr>
        <w:spacing w:after="0" w:line="148" w:lineRule="exact"/>
        <w:rPr>
          <w:sz w:val="20"/>
          <w:szCs w:val="20"/>
          <w:color w:val="auto"/>
        </w:rPr>
      </w:pPr>
    </w:p>
    <w:p>
      <w:pPr>
        <w:ind w:right="140" w:firstLine="383"/>
        <w:spacing w:after="0" w:line="273" w:lineRule="auto"/>
        <w:rPr>
          <w:sz w:val="20"/>
          <w:szCs w:val="20"/>
          <w:color w:val="auto"/>
        </w:rPr>
      </w:pPr>
      <w:r>
        <w:rPr>
          <w:rFonts w:ascii="Arial" w:cs="Arial" w:eastAsia="Arial" w:hAnsi="Arial"/>
          <w:sz w:val="16"/>
          <w:szCs w:val="16"/>
          <w:color w:val="auto"/>
        </w:rPr>
        <w:t>Since the commencement of the ATM Programme through March 31, 2018, GasLog Partners has issued and received payment for a total of 2,737,405 common units, with cumulative gross proceeds of $62.9 million at a weighted average price of $22.97 per unit, representing a discount of 0.5% to the volume weighted average trading price of GasLog Partners’ common units on the days on which new common units were issued. No issuances of common units were made under the ATM Programme in the first quarter of 2018. As of March 31, 2018, the cumulative net proceeds were $61.2 million.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 Declaration</w:t>
      </w:r>
    </w:p>
    <w:p>
      <w:pPr>
        <w:spacing w:after="0" w:line="239" w:lineRule="exact"/>
        <w:rPr>
          <w:sz w:val="20"/>
          <w:szCs w:val="20"/>
          <w:color w:val="auto"/>
        </w:rPr>
      </w:pPr>
    </w:p>
    <w:p>
      <w:pPr>
        <w:ind w:right="380" w:firstLine="383"/>
        <w:spacing w:after="0" w:line="293" w:lineRule="auto"/>
        <w:rPr>
          <w:sz w:val="20"/>
          <w:szCs w:val="20"/>
          <w:color w:val="auto"/>
        </w:rPr>
      </w:pPr>
      <w:r>
        <w:rPr>
          <w:rFonts w:ascii="Arial" w:cs="Arial" w:eastAsia="Arial" w:hAnsi="Arial"/>
          <w:sz w:val="16"/>
          <w:szCs w:val="16"/>
          <w:color w:val="auto"/>
        </w:rPr>
        <w:t>On March 8, 2018, the board of directors declared a dividend on the Series A Preference Shares of $0.546875 per share, or $2.5 million in the aggregate, payable on April 2, 2018 to holders of record as of March 29, 2018. GasLog paid the declared dividend to the transfer agent on March 29, 2018.</w:t>
      </w:r>
    </w:p>
    <w:p>
      <w:pPr>
        <w:spacing w:after="0" w:line="172" w:lineRule="exact"/>
        <w:rPr>
          <w:sz w:val="20"/>
          <w:szCs w:val="20"/>
          <w:color w:val="auto"/>
        </w:rPr>
      </w:pPr>
    </w:p>
    <w:p>
      <w:pPr>
        <w:ind w:right="300" w:firstLine="383"/>
        <w:spacing w:after="0" w:line="293" w:lineRule="auto"/>
        <w:rPr>
          <w:sz w:val="20"/>
          <w:szCs w:val="20"/>
          <w:color w:val="auto"/>
        </w:rPr>
      </w:pPr>
      <w:r>
        <w:rPr>
          <w:rFonts w:ascii="Arial" w:cs="Arial" w:eastAsia="Arial" w:hAnsi="Arial"/>
          <w:sz w:val="16"/>
          <w:szCs w:val="16"/>
          <w:color w:val="auto"/>
        </w:rPr>
        <w:t>On May 3, 2018, the board of directors declared a quarterly cash dividend of $0.15 per common share, or $12.1 million in the aggregate, payable on May 24, 2018 to shareholders of record as of May 14,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Fleet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March 31, 2018, our wholly owned fleet consisted of the following vessels: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Charter</w:t>
            </w:r>
          </w:p>
        </w:tc>
        <w:tc>
          <w:tcPr>
            <w:tcW w:w="1320" w:type="dxa"/>
            <w:vAlign w:val="bottom"/>
          </w:tcPr>
          <w:p>
            <w:pPr>
              <w:ind w:left="360"/>
              <w:spacing w:after="0"/>
              <w:rPr>
                <w:sz w:val="20"/>
                <w:szCs w:val="20"/>
                <w:color w:val="auto"/>
              </w:rPr>
            </w:pPr>
            <w:r>
              <w:rPr>
                <w:rFonts w:ascii="Arial" w:cs="Arial" w:eastAsia="Arial" w:hAnsi="Arial"/>
                <w:sz w:val="16"/>
                <w:szCs w:val="16"/>
                <w:b w:val="1"/>
                <w:bCs w:val="1"/>
                <w:color w:val="auto"/>
              </w:rPr>
              <w:t>Optional</w:t>
            </w:r>
          </w:p>
        </w:tc>
      </w:tr>
      <w:tr>
        <w:trPr>
          <w:trHeight w:val="216"/>
        </w:trPr>
        <w:tc>
          <w:tcPr>
            <w:tcW w:w="360" w:type="dxa"/>
            <w:vAlign w:val="bottom"/>
          </w:tcPr>
          <w:p>
            <w:pPr>
              <w:spacing w:after="0"/>
              <w:rPr>
                <w:sz w:val="18"/>
                <w:szCs w:val="18"/>
                <w:color w:val="auto"/>
              </w:rPr>
            </w:pPr>
          </w:p>
        </w:tc>
        <w:tc>
          <w:tcPr>
            <w:tcW w:w="2800" w:type="dxa"/>
            <w:vAlign w:val="bottom"/>
            <w:gridSpan w:val="2"/>
          </w:tcPr>
          <w:p>
            <w:pPr>
              <w:ind w:left="740"/>
              <w:spacing w:after="0"/>
              <w:rPr>
                <w:sz w:val="20"/>
                <w:szCs w:val="20"/>
                <w:color w:val="auto"/>
              </w:rPr>
            </w:pPr>
            <w:r>
              <w:rPr>
                <w:rFonts w:ascii="Arial" w:cs="Arial" w:eastAsia="Arial" w:hAnsi="Arial"/>
                <w:sz w:val="16"/>
                <w:szCs w:val="16"/>
                <w:b w:val="1"/>
                <w:bCs w:val="1"/>
                <w:color w:val="auto"/>
              </w:rPr>
              <w:t>Vessel Name</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Built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(cbm)</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Propulsion</w:t>
            </w:r>
          </w:p>
        </w:tc>
        <w:tc>
          <w:tcPr>
            <w:tcW w:w="192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320" w:type="dxa"/>
            <w:vAlign w:val="bottom"/>
          </w:tcPr>
          <w:p>
            <w:pPr>
              <w:ind w:left="38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r>
      <w:tr>
        <w:trPr>
          <w:trHeight w:val="196"/>
        </w:trPr>
        <w:tc>
          <w:tcPr>
            <w:tcW w:w="3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680" w:type="dxa"/>
            <w:vAlign w:val="bottom"/>
            <w:tcBorders>
              <w:top w:val="single" w:sz="8" w:color="auto"/>
            </w:tcBorders>
            <w:shd w:val="clear" w:color="auto" w:fill="E5FFFF"/>
          </w:tcPr>
          <w:p>
            <w:pPr>
              <w:ind w:left="180"/>
              <w:spacing w:after="0"/>
              <w:rPr>
                <w:sz w:val="20"/>
                <w:szCs w:val="20"/>
                <w:color w:val="auto"/>
              </w:rPr>
            </w:pPr>
            <w:r>
              <w:rPr>
                <w:rFonts w:ascii="Arial" w:cs="Arial" w:eastAsia="Arial" w:hAnsi="Arial"/>
                <w:sz w:val="16"/>
                <w:szCs w:val="16"/>
                <w:i w:val="1"/>
                <w:iCs w:val="1"/>
                <w:color w:val="auto"/>
              </w:rPr>
              <w:t>GasLog Savannah</w:t>
            </w:r>
          </w:p>
        </w:tc>
        <w:tc>
          <w:tcPr>
            <w:tcW w:w="1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ind w:left="260"/>
              <w:spacing w:after="0"/>
              <w:rPr>
                <w:sz w:val="20"/>
                <w:szCs w:val="20"/>
                <w:color w:val="auto"/>
              </w:rPr>
            </w:pPr>
            <w:r>
              <w:rPr>
                <w:rFonts w:ascii="Arial" w:cs="Arial" w:eastAsia="Arial" w:hAnsi="Arial"/>
                <w:sz w:val="16"/>
                <w:szCs w:val="16"/>
                <w:color w:val="auto"/>
              </w:rPr>
              <w:t>2010</w:t>
            </w:r>
          </w:p>
        </w:tc>
        <w:tc>
          <w:tcPr>
            <w:tcW w:w="1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GasLog Singapore</w:t>
            </w:r>
          </w:p>
        </w:tc>
        <w:tc>
          <w:tcPr>
            <w:tcW w:w="820" w:type="dxa"/>
            <w:vAlign w:val="bottom"/>
          </w:tcPr>
          <w:p>
            <w:pPr>
              <w:ind w:left="26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2800" w:type="dxa"/>
            <w:vAlign w:val="bottom"/>
            <w:gridSpan w:val="2"/>
            <w:shd w:val="clear" w:color="auto" w:fill="E5FFFF"/>
          </w:tcPr>
          <w:p>
            <w:pPr>
              <w:ind w:left="180"/>
              <w:spacing w:after="0" w:line="203" w:lineRule="exact"/>
              <w:rPr>
                <w:sz w:val="20"/>
                <w:szCs w:val="20"/>
                <w:color w:val="auto"/>
              </w:rPr>
            </w:pPr>
            <w:r>
              <w:rPr>
                <w:rFonts w:ascii="Arial" w:cs="Arial" w:eastAsia="Arial" w:hAnsi="Arial"/>
                <w:sz w:val="16"/>
                <w:szCs w:val="16"/>
                <w:i w:val="1"/>
                <w:iCs w:val="1"/>
                <w:color w:val="auto"/>
              </w:rPr>
              <w:t>GasLog Skagen</w:t>
            </w:r>
            <w:r>
              <w:rPr>
                <w:rFonts w:ascii="Arial" w:cs="Arial" w:eastAsia="Arial" w:hAnsi="Arial"/>
                <w:sz w:val="21"/>
                <w:szCs w:val="21"/>
                <w:color w:val="auto"/>
                <w:vertAlign w:val="superscript"/>
              </w:rPr>
              <w:t>(4)</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1"/>
              </w:rPr>
              <w:t>August 2019</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4</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GasLog Chelsea</w:t>
            </w:r>
          </w:p>
        </w:tc>
        <w:tc>
          <w:tcPr>
            <w:tcW w:w="820" w:type="dxa"/>
            <w:vAlign w:val="bottom"/>
          </w:tcPr>
          <w:p>
            <w:pPr>
              <w:ind w:left="26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153,600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GasLog Saratoga</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line="203"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6</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Methane Lydon Volney</w:t>
            </w:r>
          </w:p>
        </w:tc>
        <w:tc>
          <w:tcPr>
            <w:tcW w:w="820" w:type="dxa"/>
            <w:vAlign w:val="bottom"/>
          </w:tcPr>
          <w:p>
            <w:pPr>
              <w:ind w:left="260"/>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2020</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2023-2025</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Methane Becki Anne</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March 2024</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2027-2029</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8</w:t>
            </w:r>
          </w:p>
        </w:tc>
        <w:tc>
          <w:tcPr>
            <w:tcW w:w="2800" w:type="dxa"/>
            <w:vAlign w:val="bottom"/>
            <w:gridSpan w:val="2"/>
          </w:tcPr>
          <w:p>
            <w:pPr>
              <w:ind w:left="180"/>
              <w:spacing w:after="0" w:line="203" w:lineRule="exact"/>
              <w:rPr>
                <w:sz w:val="20"/>
                <w:szCs w:val="20"/>
                <w:color w:val="auto"/>
              </w:rPr>
            </w:pPr>
            <w:r>
              <w:rPr>
                <w:rFonts w:ascii="Arial" w:cs="Arial" w:eastAsia="Arial" w:hAnsi="Arial"/>
                <w:sz w:val="16"/>
                <w:szCs w:val="16"/>
                <w:i w:val="1"/>
                <w:iCs w:val="1"/>
                <w:color w:val="auto"/>
              </w:rPr>
              <w:t>GasLog Salem</w:t>
            </w:r>
            <w:r>
              <w:rPr>
                <w:rFonts w:ascii="Arial" w:cs="Arial" w:eastAsia="Arial" w:hAnsi="Arial"/>
                <w:sz w:val="21"/>
                <w:szCs w:val="21"/>
                <w:color w:val="auto"/>
                <w:vertAlign w:val="superscript"/>
              </w:rPr>
              <w:t>(4)</w:t>
            </w:r>
          </w:p>
        </w:tc>
        <w:tc>
          <w:tcPr>
            <w:tcW w:w="820" w:type="dxa"/>
            <w:vAlign w:val="bottom"/>
          </w:tcPr>
          <w:p>
            <w:pPr>
              <w:ind w:left="26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line="203" w:lineRule="exact"/>
              <w:rPr>
                <w:sz w:val="20"/>
                <w:szCs w:val="20"/>
                <w:color w:val="auto"/>
              </w:rPr>
            </w:pPr>
            <w:r>
              <w:rPr>
                <w:rFonts w:ascii="Arial" w:cs="Arial" w:eastAsia="Arial" w:hAnsi="Arial"/>
                <w:sz w:val="16"/>
                <w:szCs w:val="16"/>
                <w:color w:val="auto"/>
                <w:w w:val="90"/>
              </w:rPr>
              <w:t xml:space="preserve">Spot Market </w:t>
            </w:r>
            <w:r>
              <w:rPr>
                <w:rFonts w:ascii="Arial" w:cs="Arial" w:eastAsia="Arial" w:hAnsi="Arial"/>
                <w:sz w:val="21"/>
                <w:szCs w:val="21"/>
                <w:color w:val="auto"/>
                <w:w w:val="90"/>
                <w:vertAlign w:val="superscript"/>
              </w:rPr>
              <w:t>(3)</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GasLog Glasgow</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2026</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2031</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800" w:type="dxa"/>
            <w:vAlign w:val="bottom"/>
            <w:gridSpan w:val="2"/>
          </w:tcPr>
          <w:p>
            <w:pPr>
              <w:ind w:left="180"/>
              <w:spacing w:after="0" w:line="203" w:lineRule="exact"/>
              <w:rPr>
                <w:sz w:val="20"/>
                <w:szCs w:val="20"/>
                <w:color w:val="auto"/>
              </w:rPr>
            </w:pPr>
            <w:r>
              <w:rPr>
                <w:rFonts w:ascii="Arial" w:cs="Arial" w:eastAsia="Arial" w:hAnsi="Arial"/>
                <w:sz w:val="16"/>
                <w:szCs w:val="16"/>
                <w:i w:val="1"/>
                <w:iCs w:val="1"/>
                <w:color w:val="auto"/>
              </w:rPr>
              <w:t>GasLog Gibraltar</w:t>
            </w:r>
            <w:r>
              <w:rPr>
                <w:rFonts w:ascii="Arial" w:cs="Arial" w:eastAsia="Arial" w:hAnsi="Arial"/>
                <w:sz w:val="21"/>
                <w:szCs w:val="21"/>
                <w:color w:val="auto"/>
                <w:vertAlign w:val="superscript"/>
              </w:rPr>
              <w:t>(5)</w:t>
            </w:r>
          </w:p>
        </w:tc>
        <w:tc>
          <w:tcPr>
            <w:tcW w:w="820" w:type="dxa"/>
            <w:vAlign w:val="bottom"/>
          </w:tcPr>
          <w:p>
            <w:pPr>
              <w:ind w:left="26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2023</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2028-2031</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2800" w:type="dxa"/>
            <w:vAlign w:val="bottom"/>
            <w:gridSpan w:val="2"/>
            <w:shd w:val="clear" w:color="auto" w:fill="E5FFFF"/>
          </w:tcPr>
          <w:p>
            <w:pPr>
              <w:ind w:left="180"/>
              <w:spacing w:after="0" w:line="203" w:lineRule="exact"/>
              <w:rPr>
                <w:sz w:val="20"/>
                <w:szCs w:val="20"/>
                <w:color w:val="auto"/>
              </w:rPr>
            </w:pPr>
            <w:r>
              <w:rPr>
                <w:rFonts w:ascii="Arial" w:cs="Arial" w:eastAsia="Arial" w:hAnsi="Arial"/>
                <w:sz w:val="16"/>
                <w:szCs w:val="16"/>
                <w:i w:val="1"/>
                <w:iCs w:val="1"/>
                <w:color w:val="auto"/>
              </w:rPr>
              <w:t>GasLog Houston</w:t>
            </w:r>
            <w:r>
              <w:rPr>
                <w:rFonts w:ascii="Arial" w:cs="Arial" w:eastAsia="Arial" w:hAnsi="Arial"/>
                <w:sz w:val="21"/>
                <w:szCs w:val="21"/>
                <w:color w:val="auto"/>
                <w:vertAlign w:val="superscript"/>
              </w:rPr>
              <w:t>(6)</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LP-2S</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7"/>
              </w:rPr>
              <w:t>April 2028</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2031-2034</w:t>
            </w: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12</w:t>
            </w:r>
          </w:p>
        </w:tc>
        <w:tc>
          <w:tcPr>
            <w:tcW w:w="2800" w:type="dxa"/>
            <w:vAlign w:val="bottom"/>
            <w:gridSpan w:val="2"/>
          </w:tcPr>
          <w:p>
            <w:pPr>
              <w:ind w:left="180"/>
              <w:spacing w:after="0" w:line="203" w:lineRule="exact"/>
              <w:rPr>
                <w:sz w:val="20"/>
                <w:szCs w:val="20"/>
                <w:color w:val="auto"/>
              </w:rPr>
            </w:pPr>
            <w:r>
              <w:rPr>
                <w:rFonts w:ascii="Arial" w:cs="Arial" w:eastAsia="Arial" w:hAnsi="Arial"/>
                <w:sz w:val="16"/>
                <w:szCs w:val="16"/>
                <w:i w:val="1"/>
                <w:iCs w:val="1"/>
                <w:color w:val="auto"/>
              </w:rPr>
              <w:t>GasLog Hong Kong</w:t>
            </w:r>
            <w:r>
              <w:rPr>
                <w:rFonts w:ascii="Arial" w:cs="Arial" w:eastAsia="Arial" w:hAnsi="Arial"/>
                <w:sz w:val="21"/>
                <w:szCs w:val="21"/>
                <w:color w:val="auto"/>
                <w:vertAlign w:val="superscript"/>
              </w:rPr>
              <w:t>(7)</w:t>
            </w:r>
          </w:p>
        </w:tc>
        <w:tc>
          <w:tcPr>
            <w:tcW w:w="820" w:type="dxa"/>
            <w:vAlign w:val="bottom"/>
          </w:tcPr>
          <w:p>
            <w:pPr>
              <w:ind w:left="26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Total</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LP-2S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2025</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2028</w:t>
            </w: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13</w:t>
            </w:r>
          </w:p>
        </w:tc>
        <w:tc>
          <w:tcPr>
            <w:tcW w:w="2800" w:type="dxa"/>
            <w:vAlign w:val="bottom"/>
            <w:gridSpan w:val="2"/>
            <w:shd w:val="clear" w:color="auto" w:fill="E5FFFF"/>
          </w:tcPr>
          <w:p>
            <w:pPr>
              <w:ind w:left="180"/>
              <w:spacing w:after="0" w:line="203" w:lineRule="exact"/>
              <w:rPr>
                <w:sz w:val="20"/>
                <w:szCs w:val="20"/>
                <w:color w:val="auto"/>
              </w:rPr>
            </w:pPr>
            <w:r>
              <w:rPr>
                <w:rFonts w:ascii="Arial" w:cs="Arial" w:eastAsia="Arial" w:hAnsi="Arial"/>
                <w:sz w:val="16"/>
                <w:szCs w:val="16"/>
                <w:i w:val="1"/>
                <w:iCs w:val="1"/>
                <w:color w:val="auto"/>
              </w:rPr>
              <w:t>GasLog Genoa</w:t>
            </w:r>
            <w:r>
              <w:rPr>
                <w:rFonts w:ascii="Arial" w:cs="Arial" w:eastAsia="Arial" w:hAnsi="Arial"/>
                <w:sz w:val="21"/>
                <w:szCs w:val="21"/>
                <w:color w:val="auto"/>
                <w:vertAlign w:val="superscript"/>
              </w:rPr>
              <w:t>(8)</w:t>
            </w:r>
          </w:p>
        </w:tc>
        <w:tc>
          <w:tcPr>
            <w:tcW w:w="820" w:type="dxa"/>
            <w:vAlign w:val="bottom"/>
            <w:shd w:val="clear" w:color="auto" w:fill="E5FFFF"/>
          </w:tcPr>
          <w:p>
            <w:pPr>
              <w:ind w:left="260"/>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LP-2S</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7"/>
              </w:rPr>
              <w:t>April 2027</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2030-2033</w:t>
            </w:r>
          </w:p>
        </w:tc>
      </w:tr>
    </w:tbl>
    <w:p>
      <w:pPr>
        <w:spacing w:after="0" w:line="200" w:lineRule="exact"/>
        <w:rPr>
          <w:sz w:val="20"/>
          <w:szCs w:val="20"/>
          <w:color w:val="auto"/>
        </w:rPr>
      </w:pPr>
    </w:p>
    <w:p>
      <w:pPr>
        <w:spacing w:after="0" w:line="22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March 31, 2018, the Partnership’s fleet consisted of the following vessels: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Charter</w:t>
            </w:r>
          </w:p>
        </w:tc>
        <w:tc>
          <w:tcPr>
            <w:tcW w:w="1320" w:type="dxa"/>
            <w:vAlign w:val="bottom"/>
          </w:tcPr>
          <w:p>
            <w:pPr>
              <w:ind w:left="36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00" w:type="dxa"/>
            <w:vAlign w:val="bottom"/>
            <w:gridSpan w:val="2"/>
          </w:tcPr>
          <w:p>
            <w:pPr>
              <w:ind w:left="740"/>
              <w:spacing w:after="0"/>
              <w:rPr>
                <w:sz w:val="20"/>
                <w:szCs w:val="20"/>
                <w:color w:val="auto"/>
              </w:rPr>
            </w:pPr>
            <w:r>
              <w:rPr>
                <w:rFonts w:ascii="Arial" w:cs="Arial" w:eastAsia="Arial" w:hAnsi="Arial"/>
                <w:sz w:val="16"/>
                <w:szCs w:val="16"/>
                <w:b w:val="1"/>
                <w:bCs w:val="1"/>
                <w:color w:val="auto"/>
              </w:rPr>
              <w:t>Vessel Name</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Built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(cbm)</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Propulsion</w:t>
            </w:r>
          </w:p>
        </w:tc>
        <w:tc>
          <w:tcPr>
            <w:tcW w:w="192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320" w:type="dxa"/>
            <w:vAlign w:val="bottom"/>
          </w:tcPr>
          <w:p>
            <w:pPr>
              <w:ind w:left="38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196"/>
        </w:trPr>
        <w:tc>
          <w:tcPr>
            <w:tcW w:w="3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680" w:type="dxa"/>
            <w:vAlign w:val="bottom"/>
            <w:tcBorders>
              <w:top w:val="single" w:sz="8" w:color="auto"/>
            </w:tcBorders>
            <w:shd w:val="clear" w:color="auto" w:fill="E5FFFF"/>
          </w:tcPr>
          <w:p>
            <w:pPr>
              <w:ind w:left="180"/>
              <w:spacing w:after="0"/>
              <w:rPr>
                <w:sz w:val="20"/>
                <w:szCs w:val="20"/>
                <w:color w:val="auto"/>
              </w:rPr>
            </w:pPr>
            <w:r>
              <w:rPr>
                <w:rFonts w:ascii="Arial" w:cs="Arial" w:eastAsia="Arial" w:hAnsi="Arial"/>
                <w:sz w:val="16"/>
                <w:szCs w:val="16"/>
                <w:i w:val="1"/>
                <w:iCs w:val="1"/>
                <w:color w:val="auto"/>
              </w:rPr>
              <w:t>GasLog Shanghai</w:t>
            </w:r>
          </w:p>
        </w:tc>
        <w:tc>
          <w:tcPr>
            <w:tcW w:w="1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May 2018</w:t>
            </w:r>
          </w:p>
        </w:tc>
        <w:tc>
          <w:tcPr>
            <w:tcW w:w="1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360" w:type="dxa"/>
            <w:vAlign w:val="bottom"/>
            <w:vMerge w:val="restart"/>
          </w:tcPr>
          <w:p>
            <w:pPr>
              <w:spacing w:after="0"/>
              <w:rPr>
                <w:sz w:val="20"/>
                <w:szCs w:val="20"/>
                <w:color w:val="auto"/>
              </w:rPr>
            </w:pPr>
            <w:r>
              <w:rPr>
                <w:rFonts w:ascii="Arial" w:cs="Arial" w:eastAsia="Arial" w:hAnsi="Arial"/>
                <w:sz w:val="16"/>
                <w:szCs w:val="16"/>
                <w:b w:val="1"/>
                <w:bCs w:val="1"/>
                <w:color w:val="auto"/>
              </w:rPr>
              <w:t>2</w:t>
            </w: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2018</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60" w:type="dxa"/>
            <w:vAlign w:val="bottom"/>
            <w:vMerge w:val="continue"/>
          </w:tcPr>
          <w:p>
            <w:pPr>
              <w:spacing w:after="0"/>
              <w:rPr>
                <w:sz w:val="17"/>
                <w:szCs w:val="17"/>
                <w:color w:val="auto"/>
              </w:rPr>
            </w:pP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GasLog Santiago</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New Customer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December 2021/January</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2022-2028</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ind w:right="579"/>
              <w:spacing w:after="0" w:line="213" w:lineRule="exact"/>
              <w:rPr>
                <w:sz w:val="20"/>
                <w:szCs w:val="20"/>
                <w:color w:val="auto"/>
              </w:rPr>
            </w:pPr>
            <w:r>
              <w:rPr>
                <w:rFonts w:ascii="Arial" w:cs="Arial" w:eastAsia="Arial" w:hAnsi="Arial"/>
                <w:sz w:val="16"/>
                <w:szCs w:val="16"/>
                <w:color w:val="auto"/>
              </w:rPr>
              <w:t>2022</w:t>
            </w:r>
            <w:r>
              <w:rPr>
                <w:rFonts w:ascii="Arial" w:cs="Arial" w:eastAsia="Arial" w:hAnsi="Arial"/>
                <w:sz w:val="21"/>
                <w:szCs w:val="21"/>
                <w:color w:val="auto"/>
                <w:vertAlign w:val="superscript"/>
              </w:rPr>
              <w:t>(9)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GasLog Sydney</w:t>
            </w: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September 2018</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4</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GasLog Seattle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2020</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2025-2030</w:t>
            </w:r>
          </w:p>
        </w:tc>
        <w:tc>
          <w:tcPr>
            <w:tcW w:w="0" w:type="dxa"/>
            <w:vAlign w:val="bottom"/>
          </w:tcPr>
          <w:p>
            <w:pPr>
              <w:spacing w:after="0"/>
              <w:rPr>
                <w:sz w:val="1"/>
                <w:szCs w:val="1"/>
                <w:color w:val="auto"/>
              </w:rPr>
            </w:pP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Solaris</w:t>
            </w: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2014</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2021</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2026-2031</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6</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GasLog Greece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2026</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2031</w:t>
            </w:r>
          </w:p>
        </w:tc>
        <w:tc>
          <w:tcPr>
            <w:tcW w:w="0" w:type="dxa"/>
            <w:vAlign w:val="bottom"/>
          </w:tcPr>
          <w:p>
            <w:pPr>
              <w:spacing w:after="0"/>
              <w:rPr>
                <w:sz w:val="1"/>
                <w:szCs w:val="1"/>
                <w:color w:val="auto"/>
              </w:rPr>
            </w:pP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GasLog Geneva</w:t>
            </w: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TFDE</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September 2023</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2028-2031</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8</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Methane Rita Andrea</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April 2020</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Methane Jane Elizabeth</w:t>
            </w: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2006</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October 2019</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Methane Alison Victoria</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2019</w:t>
            </w:r>
          </w:p>
        </w:tc>
        <w:tc>
          <w:tcPr>
            <w:tcW w:w="13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360" w:type="dxa"/>
            <w:vAlign w:val="bottom"/>
            <w:shd w:val="clear" w:color="auto" w:fill="E5FFFF"/>
          </w:tcPr>
          <w:p>
            <w:pPr>
              <w:spacing w:after="0"/>
              <w:rPr>
                <w:sz w:val="16"/>
                <w:szCs w:val="16"/>
                <w:color w:val="auto"/>
              </w:rPr>
            </w:pP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Methane Jane Elizabeth/ Methane</w:t>
            </w:r>
          </w:p>
        </w:tc>
        <w:tc>
          <w:tcPr>
            <w:tcW w:w="8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5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1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November/December</w:t>
            </w:r>
          </w:p>
        </w:tc>
        <w:tc>
          <w:tcPr>
            <w:tcW w:w="13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E5FFFF"/>
          </w:tcPr>
          <w:p>
            <w:pPr>
              <w:spacing w:after="0"/>
              <w:rPr>
                <w:sz w:val="18"/>
                <w:szCs w:val="18"/>
                <w:color w:val="auto"/>
              </w:rPr>
            </w:pP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Alison Victoria</w:t>
            </w: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2006/2007</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2"/>
              </w:rPr>
              <w:t>New Customer</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6"/>
              </w:rPr>
              <w:t>Steam</w:t>
            </w:r>
          </w:p>
        </w:tc>
        <w:tc>
          <w:tcPr>
            <w:tcW w:w="1820" w:type="dxa"/>
            <w:vAlign w:val="bottom"/>
            <w:shd w:val="clear" w:color="auto" w:fill="E5FFFF"/>
          </w:tcPr>
          <w:p>
            <w:pPr>
              <w:jc w:val="center"/>
              <w:ind w:right="559"/>
              <w:spacing w:after="0" w:line="213" w:lineRule="exact"/>
              <w:rPr>
                <w:sz w:val="20"/>
                <w:szCs w:val="20"/>
                <w:color w:val="auto"/>
              </w:rPr>
            </w:pPr>
            <w:r>
              <w:rPr>
                <w:rFonts w:ascii="Arial" w:cs="Arial" w:eastAsia="Arial" w:hAnsi="Arial"/>
                <w:sz w:val="16"/>
                <w:szCs w:val="16"/>
                <w:color w:val="auto"/>
              </w:rPr>
              <w:t>2020</w:t>
            </w:r>
            <w:r>
              <w:rPr>
                <w:rFonts w:ascii="Arial" w:cs="Arial" w:eastAsia="Arial" w:hAnsi="Arial"/>
                <w:sz w:val="21"/>
                <w:szCs w:val="21"/>
                <w:color w:val="auto"/>
                <w:vertAlign w:val="superscript"/>
              </w:rPr>
              <w:t>(10)</w:t>
            </w:r>
          </w:p>
        </w:tc>
        <w:tc>
          <w:tcPr>
            <w:tcW w:w="100" w:type="dxa"/>
            <w:vAlign w:val="bottom"/>
            <w:shd w:val="clear" w:color="auto" w:fill="E5FFFF"/>
          </w:tcPr>
          <w:p>
            <w:pPr>
              <w:spacing w:after="0"/>
              <w:rPr>
                <w:sz w:val="18"/>
                <w:szCs w:val="18"/>
                <w:color w:val="auto"/>
              </w:rPr>
            </w:pP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2021–2024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20"/>
                <w:szCs w:val="20"/>
                <w:color w:val="auto"/>
              </w:rPr>
            </w:pPr>
            <w:r>
              <w:rPr>
                <w:rFonts w:ascii="Arial" w:cs="Arial" w:eastAsia="Arial" w:hAnsi="Arial"/>
                <w:sz w:val="16"/>
                <w:szCs w:val="16"/>
                <w:b w:val="1"/>
                <w:bCs w:val="1"/>
                <w:color w:val="auto"/>
              </w:rPr>
              <w:t>11</w:t>
            </w:r>
          </w:p>
        </w:tc>
        <w:tc>
          <w:tcPr>
            <w:tcW w:w="2800" w:type="dxa"/>
            <w:vAlign w:val="bottom"/>
            <w:gridSpan w:val="2"/>
          </w:tcPr>
          <w:p>
            <w:pPr>
              <w:ind w:left="180"/>
              <w:spacing w:after="0"/>
              <w:rPr>
                <w:sz w:val="20"/>
                <w:szCs w:val="20"/>
                <w:color w:val="auto"/>
              </w:rPr>
            </w:pPr>
            <w:r>
              <w:rPr>
                <w:rFonts w:ascii="Arial" w:cs="Arial" w:eastAsia="Arial" w:hAnsi="Arial"/>
                <w:sz w:val="16"/>
                <w:szCs w:val="16"/>
                <w:i w:val="1"/>
                <w:iCs w:val="1"/>
                <w:color w:val="auto"/>
              </w:rPr>
              <w:t>Methane Shirley Elisabeth</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2020</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2023-2025</w:t>
            </w:r>
          </w:p>
        </w:tc>
        <w:tc>
          <w:tcPr>
            <w:tcW w:w="0" w:type="dxa"/>
            <w:vAlign w:val="bottom"/>
          </w:tcPr>
          <w:p>
            <w:pPr>
              <w:spacing w:after="0"/>
              <w:rPr>
                <w:sz w:val="1"/>
                <w:szCs w:val="1"/>
                <w:color w:val="auto"/>
              </w:rPr>
            </w:pPr>
          </w:p>
        </w:tc>
      </w:tr>
      <w:tr>
        <w:trPr>
          <w:trHeight w:val="203"/>
        </w:trPr>
        <w:tc>
          <w:tcPr>
            <w:tcW w:w="36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12</w:t>
            </w:r>
          </w:p>
        </w:tc>
        <w:tc>
          <w:tcPr>
            <w:tcW w:w="2800" w:type="dxa"/>
            <w:vAlign w:val="bottom"/>
            <w:gridSpan w:val="2"/>
            <w:shd w:val="clear" w:color="auto" w:fill="E5FFFF"/>
          </w:tcPr>
          <w:p>
            <w:pPr>
              <w:ind w:left="180"/>
              <w:spacing w:after="0"/>
              <w:rPr>
                <w:sz w:val="20"/>
                <w:szCs w:val="20"/>
                <w:color w:val="auto"/>
              </w:rPr>
            </w:pPr>
            <w:r>
              <w:rPr>
                <w:rFonts w:ascii="Arial" w:cs="Arial" w:eastAsia="Arial" w:hAnsi="Arial"/>
                <w:sz w:val="16"/>
                <w:szCs w:val="16"/>
                <w:i w:val="1"/>
                <w:iCs w:val="1"/>
                <w:color w:val="auto"/>
              </w:rPr>
              <w:t>Methane Heather Sally</w:t>
            </w: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17"/>
                <w:szCs w:val="17"/>
                <w:color w:val="auto"/>
              </w:rPr>
            </w:pPr>
          </w:p>
        </w:tc>
        <w:tc>
          <w:tcPr>
            <w:tcW w:w="17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5"/>
              </w:rPr>
              <w:t>Shell</w:t>
            </w:r>
          </w:p>
        </w:tc>
        <w:tc>
          <w:tcPr>
            <w:tcW w:w="12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6"/>
              </w:rPr>
              <w:t>Steam</w:t>
            </w:r>
          </w:p>
        </w:tc>
        <w:tc>
          <w:tcPr>
            <w:tcW w:w="1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December 2020</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2023-2025</w:t>
            </w:r>
          </w:p>
        </w:tc>
        <w:tc>
          <w:tcPr>
            <w:tcW w:w="0" w:type="dxa"/>
            <w:vAlign w:val="bottom"/>
          </w:tcPr>
          <w:p>
            <w:pPr>
              <w:spacing w:after="0"/>
              <w:rPr>
                <w:sz w:val="1"/>
                <w:szCs w:val="1"/>
                <w:color w:val="auto"/>
              </w:rPr>
            </w:pPr>
          </w:p>
        </w:tc>
      </w:tr>
      <w:tr>
        <w:trPr>
          <w:trHeight w:val="399"/>
        </w:trPr>
        <w:tc>
          <w:tcPr>
            <w:tcW w:w="31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Bareboat Vessel</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Cargo</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Charter</w:t>
            </w:r>
          </w:p>
        </w:tc>
        <w:tc>
          <w:tcPr>
            <w:tcW w:w="1320" w:type="dxa"/>
            <w:vAlign w:val="bottom"/>
          </w:tcPr>
          <w:p>
            <w:pPr>
              <w:ind w:left="36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00" w:type="dxa"/>
            <w:vAlign w:val="bottom"/>
            <w:gridSpan w:val="2"/>
          </w:tcPr>
          <w:p>
            <w:pPr>
              <w:ind w:left="740"/>
              <w:spacing w:after="0"/>
              <w:rPr>
                <w:sz w:val="20"/>
                <w:szCs w:val="20"/>
                <w:color w:val="auto"/>
              </w:rPr>
            </w:pPr>
            <w:r>
              <w:rPr>
                <w:rFonts w:ascii="Arial" w:cs="Arial" w:eastAsia="Arial" w:hAnsi="Arial"/>
                <w:sz w:val="16"/>
                <w:szCs w:val="16"/>
                <w:b w:val="1"/>
                <w:bCs w:val="1"/>
                <w:color w:val="auto"/>
              </w:rPr>
              <w:t>Vessel Name</w:t>
            </w:r>
          </w:p>
        </w:tc>
        <w:tc>
          <w:tcPr>
            <w:tcW w:w="940" w:type="dxa"/>
            <w:vAlign w:val="bottom"/>
            <w:gridSpan w:val="2"/>
          </w:tcPr>
          <w:p>
            <w:pPr>
              <w:ind w:left="240"/>
              <w:spacing w:after="0"/>
              <w:rPr>
                <w:sz w:val="20"/>
                <w:szCs w:val="20"/>
                <w:color w:val="auto"/>
              </w:rPr>
            </w:pPr>
            <w:r>
              <w:rPr>
                <w:rFonts w:ascii="Arial" w:cs="Arial" w:eastAsia="Arial" w:hAnsi="Arial"/>
                <w:sz w:val="16"/>
                <w:szCs w:val="16"/>
                <w:b w:val="1"/>
                <w:bCs w:val="1"/>
                <w:color w:val="auto"/>
              </w:rPr>
              <w:t>Built</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(cbm)</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Charterer</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Propulsion</w:t>
            </w:r>
          </w:p>
        </w:tc>
        <w:tc>
          <w:tcPr>
            <w:tcW w:w="1920" w:type="dxa"/>
            <w:vAlign w:val="bottom"/>
            <w:gridSpan w:val="2"/>
          </w:tcPr>
          <w:p>
            <w:pPr>
              <w:jc w:val="center"/>
              <w:ind w:right="100"/>
              <w:spacing w:after="0" w:line="217"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1"/>
                <w:szCs w:val="21"/>
                <w:b w:val="1"/>
                <w:bCs w:val="1"/>
                <w:color w:val="auto"/>
                <w:w w:val="90"/>
                <w:vertAlign w:val="superscript"/>
              </w:rPr>
              <w:t>(1)</w:t>
            </w:r>
          </w:p>
        </w:tc>
        <w:tc>
          <w:tcPr>
            <w:tcW w:w="1320" w:type="dxa"/>
            <w:vAlign w:val="bottom"/>
          </w:tcPr>
          <w:p>
            <w:pPr>
              <w:ind w:left="380"/>
              <w:spacing w:after="0" w:line="217"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196"/>
        </w:trPr>
        <w:tc>
          <w:tcPr>
            <w:tcW w:w="3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680" w:type="dxa"/>
            <w:vAlign w:val="bottom"/>
            <w:tcBorders>
              <w:top w:val="single" w:sz="8" w:color="auto"/>
            </w:tcBorders>
            <w:shd w:val="clear" w:color="auto" w:fill="E5FFFF"/>
          </w:tcPr>
          <w:p>
            <w:pPr>
              <w:ind w:left="180"/>
              <w:spacing w:after="0" w:line="196" w:lineRule="exact"/>
              <w:rPr>
                <w:sz w:val="20"/>
                <w:szCs w:val="20"/>
                <w:color w:val="auto"/>
              </w:rPr>
            </w:pPr>
            <w:r>
              <w:rPr>
                <w:rFonts w:ascii="Arial" w:cs="Arial" w:eastAsia="Arial" w:hAnsi="Arial"/>
                <w:sz w:val="16"/>
                <w:szCs w:val="16"/>
                <w:i w:val="1"/>
                <w:iCs w:val="1"/>
                <w:color w:val="auto"/>
              </w:rPr>
              <w:t xml:space="preserve">Methane Julia Louise </w:t>
            </w:r>
            <w:r>
              <w:rPr>
                <w:rFonts w:ascii="Arial" w:cs="Arial" w:eastAsia="Arial" w:hAnsi="Arial"/>
                <w:sz w:val="21"/>
                <w:szCs w:val="21"/>
                <w:color w:val="auto"/>
                <w:vertAlign w:val="superscript"/>
              </w:rPr>
              <w:t>(11)</w:t>
            </w:r>
          </w:p>
        </w:tc>
        <w:tc>
          <w:tcPr>
            <w:tcW w:w="1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2010</w:t>
            </w:r>
          </w:p>
        </w:tc>
        <w:tc>
          <w:tcPr>
            <w:tcW w:w="1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170,000</w:t>
            </w:r>
          </w:p>
        </w:tc>
        <w:tc>
          <w:tcPr>
            <w:tcW w:w="12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20" w:type="dxa"/>
            <w:vAlign w:val="bottom"/>
            <w:tcBorders>
              <w:top w:val="single" w:sz="8" w:color="E5FFFF"/>
            </w:tcBorders>
            <w:shd w:val="clear" w:color="auto" w:fill="E5FFFF"/>
          </w:tcPr>
          <w:p>
            <w:pPr>
              <w:spacing w:after="0"/>
              <w:rPr>
                <w:sz w:val="17"/>
                <w:szCs w:val="17"/>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5"/>
              </w:rPr>
              <w:t>TFDE</w:t>
            </w:r>
          </w:p>
        </w:tc>
        <w:tc>
          <w:tcPr>
            <w:tcW w:w="100" w:type="dxa"/>
            <w:vAlign w:val="bottom"/>
            <w:tcBorders>
              <w:top w:val="single" w:sz="8" w:color="E5FFFF"/>
            </w:tcBorders>
            <w:shd w:val="clear" w:color="auto" w:fill="E5FFFF"/>
          </w:tcPr>
          <w:p>
            <w:pPr>
              <w:spacing w:after="0"/>
              <w:rPr>
                <w:sz w:val="17"/>
                <w:szCs w:val="17"/>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March 2026</w:t>
            </w:r>
          </w:p>
        </w:tc>
        <w:tc>
          <w:tcPr>
            <w:tcW w:w="10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2029-2031</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Indicates the expiration of the initial term.</w:t>
      </w:r>
    </w:p>
    <w:p>
      <w:pPr>
        <w:ind w:left="200" w:hanging="192"/>
        <w:spacing w:after="0" w:line="236" w:lineRule="auto"/>
        <w:tabs>
          <w:tab w:leader="none" w:pos="191"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 xml:space="preserve">The period shown reflects the expiration of the minimum optional period and the maximum optional period. The charterer of the new charter commencing August 2018 of the </w:t>
      </w:r>
      <w:r>
        <w:rPr>
          <w:rFonts w:ascii="Arial" w:cs="Arial" w:eastAsia="Arial" w:hAnsi="Arial"/>
          <w:sz w:val="13"/>
          <w:szCs w:val="13"/>
          <w:i w:val="1"/>
          <w:iCs w:val="1"/>
          <w:color w:val="auto"/>
        </w:rPr>
        <w:t>GasLog Santiago</w:t>
      </w:r>
      <w:r>
        <w:rPr>
          <w:rFonts w:ascii="Arial" w:cs="Arial" w:eastAsia="Arial" w:hAnsi="Arial"/>
          <w:sz w:val="13"/>
          <w:szCs w:val="13"/>
          <w:color w:val="auto"/>
        </w:rPr>
        <w:t xml:space="preserve"> may extend the term of this time charter for a period ranging from one to seven years, provided that the charterer provides us with advance notice of declaration. The charterers of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Seattle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Solaris </w:t>
      </w:r>
      <w:r>
        <w:rPr>
          <w:rFonts w:ascii="Arial" w:cs="Arial" w:eastAsia="Arial" w:hAnsi="Arial"/>
          <w:sz w:val="13"/>
          <w:szCs w:val="13"/>
          <w:color w:val="auto"/>
        </w:rPr>
        <w:t>have unilateral options to extend the term of the time charters for periods ranging from five to ten years, provided that the charterers provide us with advance notices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declaration of any option in accordance with the terms of the applicable charter. The charterers of the </w:t>
      </w:r>
      <w:r>
        <w:rPr>
          <w:rFonts w:ascii="Arial" w:cs="Arial" w:eastAsia="Arial" w:hAnsi="Arial"/>
          <w:sz w:val="13"/>
          <w:szCs w:val="13"/>
          <w:i w:val="1"/>
          <w:iCs w:val="1"/>
          <w:color w:val="auto"/>
        </w:rPr>
        <w:t>Methane Lydon Volney,</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Shirley Elisabeth,</w:t>
      </w:r>
      <w:r>
        <w:rPr>
          <w:rFonts w:ascii="Arial" w:cs="Arial" w:eastAsia="Arial" w:hAnsi="Arial"/>
          <w:sz w:val="13"/>
          <w:szCs w:val="13"/>
          <w:color w:val="auto"/>
        </w:rPr>
        <w:t xml:space="preserve"> the </w:t>
      </w:r>
      <w:r>
        <w:rPr>
          <w:rFonts w:ascii="Arial" w:cs="Arial" w:eastAsia="Arial" w:hAnsi="Arial"/>
          <w:sz w:val="13"/>
          <w:szCs w:val="13"/>
          <w:i w:val="1"/>
          <w:iCs w:val="1"/>
          <w:color w:val="auto"/>
        </w:rPr>
        <w:t>Methane Heather Sally,</w:t>
      </w:r>
      <w:r>
        <w:rPr>
          <w:rFonts w:ascii="Arial" w:cs="Arial" w:eastAsia="Arial" w:hAnsi="Arial"/>
          <w:sz w:val="13"/>
          <w:szCs w:val="13"/>
          <w:color w:val="auto"/>
        </w:rPr>
        <w:t xml:space="preserve"> the </w:t>
      </w:r>
      <w:r>
        <w:rPr>
          <w:rFonts w:ascii="Arial" w:cs="Arial" w:eastAsia="Arial" w:hAnsi="Arial"/>
          <w:sz w:val="13"/>
          <w:szCs w:val="13"/>
          <w:i w:val="1"/>
          <w:iCs w:val="1"/>
          <w:color w:val="auto"/>
        </w:rPr>
        <w:t xml:space="preserve">Methane Becki Anne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Methane Julia Louise </w:t>
      </w:r>
      <w:r>
        <w:rPr>
          <w:rFonts w:ascii="Arial" w:cs="Arial" w:eastAsia="Arial" w:hAnsi="Arial"/>
          <w:sz w:val="13"/>
          <w:szCs w:val="13"/>
          <w:color w:val="auto"/>
        </w:rPr>
        <w:t>have unilateral options to extend the term of the related time charters for a period of either three or five years at their election, provided that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charterers provide us with advance notices of declaration of any option in accordance with the terms of the applicable charter. The charterer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Glasgow</w:t>
      </w:r>
      <w:r>
        <w:rPr>
          <w:rFonts w:ascii="Arial" w:cs="Arial" w:eastAsia="Arial" w:hAnsi="Arial"/>
          <w:sz w:val="13"/>
          <w:szCs w:val="13"/>
          <w:color w:val="auto"/>
        </w:rPr>
        <w:t xml:space="preserve"> has the right to extend the charters for a period of five years at the charterer’s option. The charterer of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Gibraltar</w:t>
      </w:r>
      <w:r>
        <w:rPr>
          <w:rFonts w:ascii="Arial" w:cs="Arial" w:eastAsia="Arial" w:hAnsi="Arial"/>
          <w:sz w:val="13"/>
          <w:szCs w:val="13"/>
          <w:color w:val="auto"/>
        </w:rPr>
        <w:t xml:space="preserve"> has the right to extend the charter by two additional periods of five and three years, respectively, provided that the charterer provides us with advance notice of declaration. The charterer of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Genoa</w:t>
      </w:r>
    </w:p>
    <w:p>
      <w:pPr>
        <w:sectPr>
          <w:pgSz w:w="11900" w:h="16838" w:orient="portrait"/>
          <w:cols w:equalWidth="0" w:num="1">
            <w:col w:w="11420"/>
          </w:cols>
          <w:pgMar w:left="240" w:top="130" w:right="239" w:bottom="0" w:gutter="0" w:footer="0" w:header="0"/>
        </w:sectPr>
      </w:pPr>
    </w:p>
    <w:bookmarkStart w:id="14" w:name="page15"/>
    <w:bookmarkEnd w:id="14"/>
    <w:p>
      <w:pPr>
        <w:spacing w:after="0" w:line="54" w:lineRule="exact"/>
        <w:rPr>
          <w:sz w:val="20"/>
          <w:szCs w:val="20"/>
          <w:color w:val="auto"/>
        </w:rPr>
      </w:pPr>
    </w:p>
    <w:p>
      <w:pPr>
        <w:ind w:left="200" w:right="200"/>
        <w:spacing w:after="0" w:line="225" w:lineRule="auto"/>
        <w:rPr>
          <w:sz w:val="20"/>
          <w:szCs w:val="20"/>
          <w:color w:val="auto"/>
        </w:rPr>
      </w:pPr>
      <w:r>
        <w:rPr>
          <w:rFonts w:ascii="Arial" w:cs="Arial" w:eastAsia="Arial" w:hAnsi="Arial"/>
          <w:sz w:val="14"/>
          <w:szCs w:val="14"/>
          <w:color w:val="auto"/>
        </w:rPr>
        <w:t xml:space="preserve">has the right to extend the charter by two additional periods of three years, provided that the charterer provides us with advance notices of declaration. The charterer of the </w:t>
      </w:r>
      <w:r>
        <w:rPr>
          <w:rFonts w:ascii="Arial" w:cs="Arial" w:eastAsia="Arial" w:hAnsi="Arial"/>
          <w:sz w:val="14"/>
          <w:szCs w:val="14"/>
          <w:i w:val="1"/>
          <w:iCs w:val="1"/>
          <w:color w:val="auto"/>
        </w:rPr>
        <w:t>GasLog Hong Kong</w:t>
      </w:r>
      <w:r>
        <w:rPr>
          <w:rFonts w:ascii="Arial" w:cs="Arial" w:eastAsia="Arial" w:hAnsi="Arial"/>
          <w:sz w:val="14"/>
          <w:szCs w:val="14"/>
          <w:color w:val="auto"/>
        </w:rPr>
        <w:t xml:space="preserve"> has the right to extend the charter for a period of three years, provided that the charterer provides us with advance notice of declaration.</w:t>
      </w:r>
    </w:p>
    <w:p>
      <w:pPr>
        <w:ind w:left="200" w:hanging="192"/>
        <w:spacing w:after="0" w:line="190" w:lineRule="auto"/>
        <w:tabs>
          <w:tab w:leader="none" w:pos="20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Vessels operating in the spot market that participate in the Cool Pool.</w:t>
      </w:r>
    </w:p>
    <w:p>
      <w:pPr>
        <w:ind w:left="200" w:right="340" w:hanging="192"/>
        <w:spacing w:after="0" w:line="213" w:lineRule="auto"/>
        <w:tabs>
          <w:tab w:leader="none" w:pos="191"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 xml:space="preserve">On December 6, 2017, a deed of novation and amendment of the charter party agreement of the </w:t>
      </w:r>
      <w:r>
        <w:rPr>
          <w:rFonts w:ascii="Arial" w:cs="Arial" w:eastAsia="Arial" w:hAnsi="Arial"/>
          <w:sz w:val="13"/>
          <w:szCs w:val="13"/>
          <w:i w:val="1"/>
          <w:iCs w:val="1"/>
          <w:color w:val="auto"/>
        </w:rPr>
        <w:t>GasLog Skagen</w:t>
      </w:r>
      <w:r>
        <w:rPr>
          <w:rFonts w:ascii="Arial" w:cs="Arial" w:eastAsia="Arial" w:hAnsi="Arial"/>
          <w:sz w:val="13"/>
          <w:szCs w:val="13"/>
          <w:color w:val="auto"/>
        </w:rPr>
        <w:t xml:space="preserve"> with Shell was signed between the Group and Shell to substitute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Salem </w:t>
      </w:r>
      <w:r>
        <w:rPr>
          <w:rFonts w:ascii="Arial" w:cs="Arial" w:eastAsia="Arial" w:hAnsi="Arial"/>
          <w:sz w:val="13"/>
          <w:szCs w:val="13"/>
          <w:color w:val="auto"/>
        </w:rPr>
        <w:t>for the</w:t>
      </w:r>
      <w:r>
        <w:rPr>
          <w:rFonts w:ascii="Arial" w:cs="Arial" w:eastAsia="Arial" w:hAnsi="Arial"/>
          <w:sz w:val="13"/>
          <w:szCs w:val="13"/>
          <w:i w:val="1"/>
          <w:iCs w:val="1"/>
          <w:color w:val="auto"/>
        </w:rPr>
        <w:t xml:space="preserve"> GasLog Skagen </w:t>
      </w:r>
      <w:r>
        <w:rPr>
          <w:rFonts w:ascii="Arial" w:cs="Arial" w:eastAsia="Arial" w:hAnsi="Arial"/>
          <w:sz w:val="13"/>
          <w:szCs w:val="13"/>
          <w:color w:val="auto"/>
        </w:rPr>
        <w:t>in execution of the charter party. The substitution will take effect after the completion of the</w:t>
      </w:r>
      <w:r>
        <w:rPr>
          <w:rFonts w:ascii="Arial" w:cs="Arial" w:eastAsia="Arial" w:hAnsi="Arial"/>
          <w:sz w:val="13"/>
          <w:szCs w:val="13"/>
          <w:i w:val="1"/>
          <w:iCs w:val="1"/>
          <w:color w:val="auto"/>
        </w:rPr>
        <w:t xml:space="preserve"> GasLog Skagen’s </w:t>
      </w:r>
      <w:r>
        <w:rPr>
          <w:rFonts w:ascii="Arial" w:cs="Arial" w:eastAsia="Arial" w:hAnsi="Arial"/>
          <w:sz w:val="13"/>
          <w:szCs w:val="13"/>
          <w:color w:val="auto"/>
        </w:rPr>
        <w:t>drydocking in the third quarter of 2018.</w:t>
      </w:r>
    </w:p>
    <w:p>
      <w:pPr>
        <w:spacing w:after="0" w:line="1" w:lineRule="exact"/>
        <w:rPr>
          <w:rFonts w:ascii="Arial" w:cs="Arial" w:eastAsia="Arial" w:hAnsi="Arial"/>
          <w:sz w:val="16"/>
          <w:szCs w:val="16"/>
          <w:color w:val="auto"/>
          <w:vertAlign w:val="superscript"/>
        </w:rPr>
      </w:pPr>
    </w:p>
    <w:p>
      <w:pPr>
        <w:ind w:left="200" w:hanging="192"/>
        <w:spacing w:after="0" w:line="182" w:lineRule="auto"/>
        <w:tabs>
          <w:tab w:leader="none" w:pos="20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 xml:space="preserve">On April 26, 2018, GasLog Partners acquired from GasLog 100% of the shares in the entity that owns and charters the </w:t>
      </w:r>
      <w:r>
        <w:rPr>
          <w:rFonts w:ascii="Arial" w:cs="Arial" w:eastAsia="Arial" w:hAnsi="Arial"/>
          <w:sz w:val="14"/>
          <w:szCs w:val="14"/>
          <w:i w:val="1"/>
          <w:iCs w:val="1"/>
          <w:color w:val="auto"/>
        </w:rPr>
        <w:t>GasLog Gibraltar</w:t>
      </w:r>
      <w:r>
        <w:rPr>
          <w:rFonts w:ascii="Arial" w:cs="Arial" w:eastAsia="Arial" w:hAnsi="Arial"/>
          <w:sz w:val="14"/>
          <w:szCs w:val="14"/>
          <w:color w:val="auto"/>
        </w:rPr>
        <w:t>.</w:t>
      </w:r>
    </w:p>
    <w:p>
      <w:pPr>
        <w:ind w:left="200" w:right="340" w:hanging="192"/>
        <w:spacing w:after="0" w:line="193" w:lineRule="auto"/>
        <w:tabs>
          <w:tab w:leader="none" w:pos="191"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 vessel completed a short-term charter to a major LNG producer and is currently available in the spot market until the commencement of her multi-year charter party with a subsidiary of Shell, from the end of 2018 until April 2028.</w:t>
      </w:r>
    </w:p>
    <w:p>
      <w:pPr>
        <w:spacing w:after="0" w:line="1" w:lineRule="exact"/>
        <w:rPr>
          <w:rFonts w:ascii="Arial" w:cs="Arial" w:eastAsia="Arial" w:hAnsi="Arial"/>
          <w:sz w:val="18"/>
          <w:szCs w:val="18"/>
          <w:color w:val="auto"/>
          <w:vertAlign w:val="superscript"/>
        </w:rPr>
      </w:pPr>
    </w:p>
    <w:p>
      <w:pPr>
        <w:ind w:left="200" w:hanging="192"/>
        <w:spacing w:after="0" w:line="182" w:lineRule="auto"/>
        <w:tabs>
          <w:tab w:leader="none" w:pos="20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The vessel is currently on a multi-year charter party with Total from the delivery of the vessel until December 2025.</w:t>
      </w:r>
    </w:p>
    <w:p>
      <w:pPr>
        <w:ind w:left="200" w:hanging="192"/>
        <w:spacing w:after="0" w:line="182" w:lineRule="auto"/>
        <w:tabs>
          <w:tab w:leader="none" w:pos="20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The vessel is currently on a multi-year charter party with Shell from the delivery of the vessel until April 2027.</w:t>
      </w:r>
    </w:p>
    <w:p>
      <w:pPr>
        <w:ind w:left="200" w:right="140" w:hanging="192"/>
        <w:spacing w:after="0" w:line="193" w:lineRule="auto"/>
        <w:tabs>
          <w:tab w:leader="none" w:pos="191"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 xml:space="preserve">On March 22, 2018, a new charter party agreement was signed with a new customer for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commencing in either August or September 2018, at the Partnership’s option, until December 2021 or January 2022, with the charterer having the option to extend the charter for up to an additional seven years.</w:t>
      </w:r>
    </w:p>
    <w:p>
      <w:pPr>
        <w:spacing w:after="0" w:line="1" w:lineRule="exact"/>
        <w:rPr>
          <w:rFonts w:ascii="Arial" w:cs="Arial" w:eastAsia="Arial" w:hAnsi="Arial"/>
          <w:sz w:val="18"/>
          <w:szCs w:val="18"/>
          <w:color w:val="auto"/>
          <w:vertAlign w:val="superscript"/>
        </w:rPr>
      </w:pPr>
    </w:p>
    <w:p>
      <w:pPr>
        <w:ind w:left="200" w:right="400" w:hanging="192"/>
        <w:spacing w:after="0" w:line="387" w:lineRule="auto"/>
        <w:tabs>
          <w:tab w:leader="none" w:pos="182" w:val="left"/>
        </w:tabs>
        <w:numPr>
          <w:ilvl w:val="0"/>
          <w:numId w:val="11"/>
        </w:numPr>
        <w:rPr>
          <w:rFonts w:ascii="Arial" w:cs="Arial" w:eastAsia="Arial" w:hAnsi="Arial"/>
          <w:sz w:val="13"/>
          <w:szCs w:val="13"/>
          <w:color w:val="auto"/>
          <w:vertAlign w:val="superscript"/>
        </w:rPr>
      </w:pPr>
      <w:r>
        <w:rPr>
          <w:rFonts w:ascii="Arial" w:cs="Arial" w:eastAsia="Arial" w:hAnsi="Arial"/>
          <w:sz w:val="11"/>
          <w:szCs w:val="11"/>
          <w:color w:val="auto"/>
        </w:rPr>
        <w:t xml:space="preserve">On March 22, 2018, a new charter party agreement was signed with a new customer for either the </w:t>
      </w:r>
      <w:r>
        <w:rPr>
          <w:rFonts w:ascii="Arial" w:cs="Arial" w:eastAsia="Arial" w:hAnsi="Arial"/>
          <w:sz w:val="11"/>
          <w:szCs w:val="11"/>
          <w:i w:val="1"/>
          <w:iCs w:val="1"/>
          <w:color w:val="auto"/>
        </w:rPr>
        <w:t>Methane Jane Elizabeth</w:t>
      </w:r>
      <w:r>
        <w:rPr>
          <w:rFonts w:ascii="Arial" w:cs="Arial" w:eastAsia="Arial" w:hAnsi="Arial"/>
          <w:sz w:val="11"/>
          <w:szCs w:val="11"/>
          <w:color w:val="auto"/>
        </w:rPr>
        <w:t xml:space="preserve"> or the </w:t>
      </w:r>
      <w:r>
        <w:rPr>
          <w:rFonts w:ascii="Arial" w:cs="Arial" w:eastAsia="Arial" w:hAnsi="Arial"/>
          <w:sz w:val="11"/>
          <w:szCs w:val="11"/>
          <w:i w:val="1"/>
          <w:iCs w:val="1"/>
          <w:color w:val="auto"/>
        </w:rPr>
        <w:t>Methane Alison Victoria</w:t>
      </w:r>
      <w:r>
        <w:rPr>
          <w:rFonts w:ascii="Arial" w:cs="Arial" w:eastAsia="Arial" w:hAnsi="Arial"/>
          <w:sz w:val="11"/>
          <w:szCs w:val="11"/>
          <w:color w:val="auto"/>
        </w:rPr>
        <w:t xml:space="preserve"> (as nominated by the Partnership) commencing in either November or December 2019, at the Partnership’s option, until November or December 2020, with the charterer having the option to extend the charter for up to an additional four years.</w:t>
      </w:r>
    </w:p>
    <w:p>
      <w:pPr>
        <w:ind w:left="200" w:right="80" w:hanging="192"/>
        <w:spacing w:after="0" w:line="291" w:lineRule="auto"/>
        <w:tabs>
          <w:tab w:leader="none" w:pos="179" w:val="left"/>
        </w:tabs>
        <w:numPr>
          <w:ilvl w:val="0"/>
          <w:numId w:val="11"/>
        </w:numPr>
        <w:rPr>
          <w:rFonts w:ascii="Arial" w:cs="Arial" w:eastAsia="Arial" w:hAnsi="Arial"/>
          <w:sz w:val="13"/>
          <w:szCs w:val="13"/>
          <w:color w:val="auto"/>
          <w:vertAlign w:val="superscript"/>
        </w:rPr>
      </w:pPr>
      <w:r>
        <w:rPr>
          <w:rFonts w:ascii="Arial" w:cs="Arial" w:eastAsia="Arial" w:hAnsi="Arial"/>
          <w:sz w:val="11"/>
          <w:szCs w:val="11"/>
          <w:color w:val="auto"/>
        </w:rPr>
        <w:t xml:space="preserve">On February 24, 2016, GasLog’s subsidiary, GAS-twenty six Ltd., completed the sale and leaseback of the </w:t>
      </w:r>
      <w:r>
        <w:rPr>
          <w:rFonts w:ascii="Arial" w:cs="Arial" w:eastAsia="Arial" w:hAnsi="Arial"/>
          <w:sz w:val="11"/>
          <w:szCs w:val="11"/>
          <w:i w:val="1"/>
          <w:iCs w:val="1"/>
          <w:color w:val="auto"/>
        </w:rPr>
        <w:t>Methane Julia Louise</w:t>
      </w:r>
      <w:r>
        <w:rPr>
          <w:rFonts w:ascii="Arial" w:cs="Arial" w:eastAsia="Arial" w:hAnsi="Arial"/>
          <w:sz w:val="11"/>
          <w:szCs w:val="11"/>
          <w:color w:val="auto"/>
        </w:rPr>
        <w:t xml:space="preserve"> with Lepta Shipping.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 a subsidiary of Shell.</w:t>
      </w:r>
    </w:p>
    <w:p>
      <w:pPr>
        <w:spacing w:after="0" w:line="166" w:lineRule="exact"/>
        <w:rPr>
          <w:sz w:val="20"/>
          <w:szCs w:val="20"/>
          <w:color w:val="auto"/>
        </w:rPr>
      </w:pPr>
    </w:p>
    <w:p>
      <w:pPr>
        <w:ind w:firstLine="383"/>
        <w:spacing w:after="0" w:line="297" w:lineRule="auto"/>
        <w:rPr>
          <w:sz w:val="20"/>
          <w:szCs w:val="20"/>
          <w:color w:val="auto"/>
        </w:rPr>
      </w:pPr>
      <w:r>
        <w:rPr>
          <w:rFonts w:ascii="Arial" w:cs="Arial" w:eastAsia="Arial" w:hAnsi="Arial"/>
          <w:sz w:val="15"/>
          <w:szCs w:val="15"/>
          <w:color w:val="auto"/>
        </w:rPr>
        <w:t xml:space="preserve">Under the omnibus agreement entered into with GasLog Partners and certain of its subsidiaries in connection with the Partnership’s initial public offering, as amended, GasLog Partners has the option to purchase from us: (i) the </w:t>
      </w:r>
      <w:r>
        <w:rPr>
          <w:rFonts w:ascii="Arial" w:cs="Arial" w:eastAsia="Arial" w:hAnsi="Arial"/>
          <w:sz w:val="15"/>
          <w:szCs w:val="15"/>
          <w:i w:val="1"/>
          <w:iCs w:val="1"/>
          <w:color w:val="auto"/>
        </w:rPr>
        <w:t>GasLog Glasgow</w:t>
      </w:r>
      <w:r>
        <w:rPr>
          <w:rFonts w:ascii="Arial" w:cs="Arial" w:eastAsia="Arial" w:hAnsi="Arial"/>
          <w:sz w:val="15"/>
          <w:szCs w:val="15"/>
          <w:color w:val="auto"/>
        </w:rPr>
        <w:t xml:space="preserve"> within 36 months after we notify the Partnership’s board of directors of the vessel’s acceptance by their charterers and (ii)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within 30 days after we notify the Partnership’s board of directors of the vessel’s commencement of her multi-year charter with Shell. In each case, GasLog Partners’ option to purchase is at fair market value as determined pursuant to the omnibus agreement.</w:t>
      </w:r>
    </w:p>
    <w:p>
      <w:pPr>
        <w:spacing w:after="0" w:line="173" w:lineRule="exact"/>
        <w:rPr>
          <w:sz w:val="20"/>
          <w:szCs w:val="20"/>
          <w:color w:val="auto"/>
        </w:rPr>
      </w:pPr>
    </w:p>
    <w:p>
      <w:pPr>
        <w:ind w:right="140" w:firstLine="356"/>
        <w:spacing w:after="0" w:line="291" w:lineRule="auto"/>
        <w:rPr>
          <w:sz w:val="20"/>
          <w:szCs w:val="20"/>
          <w:color w:val="auto"/>
        </w:rPr>
      </w:pPr>
      <w:r>
        <w:rPr>
          <w:rFonts w:ascii="Arial" w:cs="Arial" w:eastAsia="Arial" w:hAnsi="Arial"/>
          <w:sz w:val="15"/>
          <w:szCs w:val="15"/>
          <w:color w:val="auto"/>
        </w:rPr>
        <w:t>GasLog Partners also has a right of first offer from us to purchase any other LNG carriers with cargo capacities greater than 75,000 cbm engaged in ongoing LNG transportation under charters of five full years or more that we own or acquire (the “Five-Year Vessels”) either at their acquisition cost plus certain break up costs (in the case of a newly acquired Five-Year Vessel) or at their fair market value (in the case of a previously owned vessel that becomes a Five-Year Vessel). In addition, two of our four newbuildings (Hull Nos. 2131 and 2213) will each qualify as a Five-Year Vessel upon commencement of their charters and we will be required to offer to GasLog Partners an opportunity to purchase each vessel at fair market value within 30 days of the commencement of her charter. Generally, GasLog Partners must exercise this right of first offer within 30 days following the notice from us that the vessel has been acquired or has become a Five-Year Vessel.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Charter Expirations</w:t>
      </w:r>
    </w:p>
    <w:p>
      <w:pPr>
        <w:spacing w:after="0" w:line="221" w:lineRule="exact"/>
        <w:rPr>
          <w:sz w:val="20"/>
          <w:szCs w:val="20"/>
          <w:color w:val="auto"/>
        </w:rPr>
      </w:pPr>
    </w:p>
    <w:p>
      <w:pPr>
        <w:ind w:right="100" w:firstLine="383"/>
        <w:spacing w:after="0" w:line="284"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are due to come off charter in May 2018, July 2018 and September 2018, respectively, each plus or minus 30 days. In addition,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are due to come off charter in October 2019,</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 xml:space="preserve">December 2019 and April 2020, respectively, each plus or minus 30 days. GasLog Partners has already secured an approximately three-and-a-half year charter for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Santiago</w:t>
      </w:r>
      <w:r>
        <w:rPr>
          <w:rFonts w:ascii="Arial" w:cs="Arial" w:eastAsia="Arial" w:hAnsi="Arial"/>
          <w:sz w:val="15"/>
          <w:szCs w:val="15"/>
          <w:color w:val="auto"/>
        </w:rPr>
        <w:t>, commencing in either August or September 2018 at the Partnership’s option, and a one-year charter for either</w:t>
      </w:r>
      <w:r>
        <w:rPr>
          <w:rFonts w:ascii="Arial" w:cs="Arial" w:eastAsia="Arial" w:hAnsi="Arial"/>
          <w:sz w:val="15"/>
          <w:szCs w:val="15"/>
          <w:i w:val="1"/>
          <w:iCs w:val="1"/>
          <w:color w:val="auto"/>
        </w:rPr>
        <w:t xml:space="preserve"> Methane Jane Elizabeth </w:t>
      </w:r>
      <w:r>
        <w:rPr>
          <w:rFonts w:ascii="Arial" w:cs="Arial" w:eastAsia="Arial" w:hAnsi="Arial"/>
          <w:sz w:val="15"/>
          <w:szCs w:val="15"/>
          <w:color w:val="auto"/>
        </w:rPr>
        <w:t>or</w:t>
      </w:r>
      <w:r>
        <w:rPr>
          <w:rFonts w:ascii="Arial" w:cs="Arial" w:eastAsia="Arial" w:hAnsi="Arial"/>
          <w:sz w:val="15"/>
          <w:szCs w:val="15"/>
          <w:i w:val="1"/>
          <w:iCs w:val="1"/>
          <w:color w:val="auto"/>
        </w:rPr>
        <w:t xml:space="preserve"> Methane Alison Victoria </w:t>
      </w:r>
      <w:r>
        <w:rPr>
          <w:rFonts w:ascii="Arial" w:cs="Arial" w:eastAsia="Arial" w:hAnsi="Arial"/>
          <w:sz w:val="15"/>
          <w:szCs w:val="15"/>
          <w:color w:val="auto"/>
        </w:rPr>
        <w:t>(as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nominated by the Partnership), commencing in either November or December 2019 at the Partnership’s option. GasLog Partners and GasLog continue to pursue opportunities for new multi-year charters with third parties for the remaining open vessels and, on an interim basis, may consider trading the vessels in the spot market, pursuing the most advantageous redeployment depending on evolving market conditions. It should be noted that, for the </w:t>
      </w:r>
      <w:r>
        <w:rPr>
          <w:rFonts w:ascii="Arial" w:cs="Arial" w:eastAsia="Arial" w:hAnsi="Arial"/>
          <w:sz w:val="15"/>
          <w:szCs w:val="15"/>
          <w:i w:val="1"/>
          <w:iCs w:val="1"/>
          <w:color w:val="auto"/>
        </w:rPr>
        <w:t>GasLog Sydney</w:t>
      </w:r>
      <w:r>
        <w:rPr>
          <w:rFonts w:ascii="Arial" w:cs="Arial" w:eastAsia="Arial" w:hAnsi="Arial"/>
          <w:sz w:val="15"/>
          <w:szCs w:val="15"/>
          <w:color w:val="auto"/>
        </w:rPr>
        <w:t>, GasLog Partners has the option to enter into a bareboat charter or time charter arrangement with GasLog designed to guarantee the total cash available for distribution from the vessel for one year, such option being agreed to at the time the amendments to the initial charter terms, referenced above, were accepted.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20"/>
                <w:szCs w:val="20"/>
                <w:color w:val="auto"/>
              </w:rPr>
            </w:pPr>
            <w:r>
              <w:rPr>
                <w:rFonts w:ascii="Arial" w:cs="Arial" w:eastAsia="Arial" w:hAnsi="Arial"/>
                <w:sz w:val="16"/>
                <w:szCs w:val="16"/>
                <w:b w:val="1"/>
                <w:bCs w:val="1"/>
                <w:color w:val="auto"/>
              </w:rPr>
              <w:t>Results of Operations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860" w:type="dxa"/>
            <w:vAlign w:val="bottom"/>
          </w:tcPr>
          <w:p>
            <w:pPr>
              <w:spacing w:after="0"/>
              <w:rPr>
                <w:sz w:val="20"/>
                <w:szCs w:val="20"/>
                <w:color w:val="auto"/>
              </w:rPr>
            </w:pPr>
            <w:r>
              <w:rPr>
                <w:rFonts w:ascii="Arial" w:cs="Arial" w:eastAsia="Arial" w:hAnsi="Arial"/>
                <w:sz w:val="16"/>
                <w:szCs w:val="16"/>
                <w:b w:val="1"/>
                <w:bCs w:val="1"/>
                <w:i w:val="1"/>
                <w:iCs w:val="1"/>
                <w:color w:val="auto"/>
              </w:rPr>
              <w:t>Three-month period ended March 31, 2017 compared to the three-month period ended March 31, 2018</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7860" w:type="dxa"/>
            <w:vAlign w:val="bottom"/>
          </w:tcPr>
          <w:p>
            <w:pPr>
              <w:spacing w:after="0"/>
              <w:rPr>
                <w:sz w:val="24"/>
                <w:szCs w:val="24"/>
                <w:color w:val="auto"/>
              </w:rPr>
            </w:pPr>
          </w:p>
        </w:tc>
        <w:tc>
          <w:tcPr>
            <w:tcW w:w="310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17"/>
                <w:szCs w:val="17"/>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 31,</w:t>
            </w: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78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128,285</w:t>
            </w:r>
          </w:p>
        </w:tc>
        <w:tc>
          <w:tcPr>
            <w:tcW w:w="28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138,478</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Net pool allocation</w:t>
            </w:r>
          </w:p>
        </w:tc>
        <w:tc>
          <w:tcPr>
            <w:tcW w:w="1360" w:type="dxa"/>
            <w:vAlign w:val="bottom"/>
          </w:tcPr>
          <w:p>
            <w:pPr>
              <w:jc w:val="right"/>
              <w:spacing w:after="0"/>
              <w:rPr>
                <w:sz w:val="20"/>
                <w:szCs w:val="20"/>
                <w:color w:val="auto"/>
              </w:rPr>
            </w:pPr>
            <w:r>
              <w:rPr>
                <w:rFonts w:ascii="Arial" w:cs="Arial" w:eastAsia="Arial" w:hAnsi="Arial"/>
                <w:sz w:val="16"/>
                <w:szCs w:val="16"/>
                <w:color w:val="auto"/>
              </w:rPr>
              <w:t>828</w:t>
            </w:r>
          </w:p>
        </w:tc>
        <w:tc>
          <w:tcPr>
            <w:tcW w:w="28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8,653</w:t>
            </w:r>
          </w:p>
        </w:tc>
        <w:tc>
          <w:tcPr>
            <w:tcW w:w="0" w:type="dxa"/>
            <w:vAlign w:val="bottom"/>
          </w:tcPr>
          <w:p>
            <w:pPr>
              <w:spacing w:after="0"/>
              <w:rPr>
                <w:sz w:val="1"/>
                <w:szCs w:val="1"/>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and supervision costs</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(27,489)</w:t>
            </w:r>
          </w:p>
        </w:tc>
        <w:tc>
          <w:tcPr>
            <w:tcW w:w="14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(34,313)</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(2,872)</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(5,281)</w:t>
            </w:r>
          </w:p>
        </w:tc>
        <w:tc>
          <w:tcPr>
            <w:tcW w:w="0" w:type="dxa"/>
            <w:vAlign w:val="bottom"/>
          </w:tcPr>
          <w:p>
            <w:pPr>
              <w:spacing w:after="0"/>
              <w:rPr>
                <w:sz w:val="1"/>
                <w:szCs w:val="1"/>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6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(33,708)</w:t>
            </w:r>
          </w:p>
        </w:tc>
        <w:tc>
          <w:tcPr>
            <w:tcW w:w="14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(35,529)</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(10,145)</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(12,013)</w:t>
            </w:r>
          </w:p>
        </w:tc>
        <w:tc>
          <w:tcPr>
            <w:tcW w:w="0" w:type="dxa"/>
            <w:vAlign w:val="bottom"/>
          </w:tcPr>
          <w:p>
            <w:pPr>
              <w:spacing w:after="0"/>
              <w:rPr>
                <w:sz w:val="1"/>
                <w:szCs w:val="1"/>
                <w:color w:val="auto"/>
              </w:rPr>
            </w:pPr>
          </w:p>
        </w:tc>
      </w:tr>
      <w:tr>
        <w:trPr>
          <w:trHeight w:val="196"/>
        </w:trPr>
        <w:tc>
          <w:tcPr>
            <w:tcW w:w="7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54,899</w:t>
            </w:r>
          </w:p>
        </w:tc>
        <w:tc>
          <w:tcPr>
            <w:tcW w:w="28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59,995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20"/>
                <w:szCs w:val="20"/>
                <w:color w:val="auto"/>
              </w:rPr>
            </w:pPr>
            <w:r>
              <w:rPr>
                <w:rFonts w:ascii="Arial" w:cs="Arial" w:eastAsia="Arial" w:hAnsi="Arial"/>
                <w:sz w:val="16"/>
                <w:szCs w:val="16"/>
                <w:color w:val="auto"/>
              </w:rPr>
              <w:t>Financial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(32,524)</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391</w:t>
            </w:r>
          </w:p>
        </w:tc>
        <w:tc>
          <w:tcPr>
            <w:tcW w:w="28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Gain on swaps</w:t>
            </w:r>
          </w:p>
        </w:tc>
        <w:tc>
          <w:tcPr>
            <w:tcW w:w="1360" w:type="dxa"/>
            <w:vAlign w:val="bottom"/>
          </w:tcPr>
          <w:p>
            <w:pPr>
              <w:jc w:val="right"/>
              <w:spacing w:after="0"/>
              <w:rPr>
                <w:sz w:val="20"/>
                <w:szCs w:val="20"/>
                <w:color w:val="auto"/>
              </w:rPr>
            </w:pPr>
            <w:r>
              <w:rPr>
                <w:rFonts w:ascii="Arial" w:cs="Arial" w:eastAsia="Arial" w:hAnsi="Arial"/>
                <w:sz w:val="16"/>
                <w:szCs w:val="16"/>
                <w:color w:val="auto"/>
              </w:rPr>
              <w:t>164</w:t>
            </w:r>
          </w:p>
        </w:tc>
        <w:tc>
          <w:tcPr>
            <w:tcW w:w="28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17,771</w:t>
            </w:r>
          </w:p>
        </w:tc>
        <w:tc>
          <w:tcPr>
            <w:tcW w:w="0" w:type="dxa"/>
            <w:vAlign w:val="bottom"/>
          </w:tcPr>
          <w:p>
            <w:pPr>
              <w:spacing w:after="0"/>
              <w:rPr>
                <w:sz w:val="1"/>
                <w:szCs w:val="1"/>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462</w:t>
            </w:r>
          </w:p>
        </w:tc>
        <w:tc>
          <w:tcPr>
            <w:tcW w:w="280" w:type="dxa"/>
            <w:vAlign w:val="bottom"/>
            <w:shd w:val="clear" w:color="auto" w:fill="E5FFFF"/>
          </w:tcPr>
          <w:p>
            <w:pPr>
              <w:spacing w:after="0"/>
              <w:rPr>
                <w:sz w:val="17"/>
                <w:szCs w:val="17"/>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(31,507)</w:t>
            </w:r>
          </w:p>
        </w:tc>
        <w:tc>
          <w:tcPr>
            <w:tcW w:w="28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(17,454)</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23,392</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color w:val="auto"/>
              </w:rPr>
              <w:t>Non-controlling interests</w:t>
            </w:r>
          </w:p>
        </w:tc>
        <w:tc>
          <w:tcPr>
            <w:tcW w:w="16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60" w:type="dxa"/>
            <w:vAlign w:val="bottom"/>
            <w:tcBorders>
              <w:bottom w:val="single" w:sz="8" w:color="E5FFFF"/>
            </w:tcBorders>
            <w:vMerge w:val="continue"/>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(14,640)</w:t>
            </w:r>
          </w:p>
        </w:tc>
        <w:tc>
          <w:tcPr>
            <w:tcW w:w="280" w:type="dxa"/>
            <w:vAlign w:val="bottom"/>
            <w:tcBorders>
              <w:bottom w:val="single" w:sz="8" w:color="E5FFFF"/>
            </w:tcBorders>
          </w:tcPr>
          <w:p>
            <w:pPr>
              <w:spacing w:after="0"/>
              <w:rPr>
                <w:sz w:val="15"/>
                <w:szCs w:val="15"/>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(23,237)</w:t>
            </w:r>
          </w:p>
        </w:tc>
        <w:tc>
          <w:tcPr>
            <w:tcW w:w="10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attributable to owners of the Group</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8,752</w:t>
            </w: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19,304</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firstLine="405"/>
        <w:spacing w:after="0" w:line="297" w:lineRule="auto"/>
        <w:rPr>
          <w:sz w:val="20"/>
          <w:szCs w:val="20"/>
          <w:color w:val="auto"/>
        </w:rPr>
      </w:pPr>
      <w:r>
        <w:rPr>
          <w:rFonts w:ascii="Arial" w:cs="Arial" w:eastAsia="Arial" w:hAnsi="Arial"/>
          <w:sz w:val="15"/>
          <w:szCs w:val="15"/>
          <w:color w:val="auto"/>
        </w:rPr>
        <w:t>During the three-month period ended March 31, 2017 we had an average of 23.0 ships operating in our owned and bareboat fleet (including ships owned by the Partnership), having 2,070 operating days and an average of 24.1 ships operating under our technical management (including our 22.0 owned and bareboat ships). During the three-month period ended March 31, 2018, we had an average of 24.0 ships operating in our owned and bareboat fleet (including ships owned by the Partnership), having 2,163 operating days and an average of 24.1 ships operating under our technical management (including 23.0 of our owned and bareboat ships).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221" w:lineRule="exact"/>
        <w:rPr>
          <w:sz w:val="20"/>
          <w:szCs w:val="20"/>
          <w:color w:val="auto"/>
        </w:rPr>
      </w:pPr>
    </w:p>
    <w:p>
      <w:pPr>
        <w:ind w:right="80" w:firstLine="428"/>
        <w:spacing w:after="0" w:line="324" w:lineRule="auto"/>
        <w:rPr>
          <w:sz w:val="20"/>
          <w:szCs w:val="20"/>
          <w:color w:val="auto"/>
        </w:rPr>
      </w:pPr>
      <w:r>
        <w:rPr>
          <w:rFonts w:ascii="Arial" w:cs="Arial" w:eastAsia="Arial" w:hAnsi="Arial"/>
          <w:sz w:val="14"/>
          <w:szCs w:val="14"/>
          <w:color w:val="auto"/>
        </w:rPr>
        <w:t xml:space="preserve">Revenues increased by 8.0%, or $10.2 million, from $128.3 million during the three-month period ended March 31, 2017 to $138.5 million during the three-month period ended March 31, 2018. The increase is mainly attributable to an increase of $6.1 million in earnings from our vessels operating in the spot market and an increase of $4.8 million due to the deliveries of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Hong Kong</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Genoa</w:t>
      </w:r>
      <w:r>
        <w:rPr>
          <w:rFonts w:ascii="Arial" w:cs="Arial" w:eastAsia="Arial" w:hAnsi="Arial"/>
          <w:sz w:val="14"/>
          <w:szCs w:val="14"/>
          <w:color w:val="auto"/>
        </w:rPr>
        <w:t xml:space="preserve"> on January 8, 2018, March 20, 2018 and March 29, 2018, respectively. These increases in revenues were partially offset by a decrease of $0.6 million in revenues from the remaining vessels. The average daily hire rate increased from</w:t>
      </w:r>
    </w:p>
    <w:p>
      <w:pPr>
        <w:sectPr>
          <w:pgSz w:w="11900" w:h="16893" w:orient="portrait"/>
          <w:cols w:equalWidth="0" w:num="1">
            <w:col w:w="11420"/>
          </w:cols>
          <w:pgMar w:left="240" w:top="122" w:right="239" w:bottom="0" w:gutter="0" w:footer="0" w:header="0"/>
        </w:sectPr>
      </w:pPr>
    </w:p>
    <w:bookmarkStart w:id="15" w:name="page16"/>
    <w:bookmarkEnd w:id="15"/>
    <w:p>
      <w:pPr>
        <w:spacing w:after="0" w:line="1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$61,863 for the three-month period ended March 31, 2017 to $63,939 for the three-month period ended March 31, 2018. There was also a decrease of $0.1 million in revenues from technical management services mainly due to the decrease in the average number of the managed vessels owned by third parties.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Pool Allocation:</w:t>
      </w:r>
    </w:p>
    <w:p>
      <w:pPr>
        <w:spacing w:after="0" w:line="221" w:lineRule="exact"/>
        <w:rPr>
          <w:sz w:val="20"/>
          <w:szCs w:val="20"/>
          <w:color w:val="auto"/>
        </w:rPr>
      </w:pPr>
    </w:p>
    <w:p>
      <w:pPr>
        <w:ind w:right="260" w:firstLine="383"/>
        <w:spacing w:after="0" w:line="293" w:lineRule="auto"/>
        <w:rPr>
          <w:sz w:val="20"/>
          <w:szCs w:val="20"/>
          <w:color w:val="auto"/>
        </w:rPr>
      </w:pPr>
      <w:r>
        <w:rPr>
          <w:rFonts w:ascii="Arial" w:cs="Arial" w:eastAsia="Arial" w:hAnsi="Arial"/>
          <w:sz w:val="15"/>
          <w:szCs w:val="15"/>
          <w:color w:val="auto"/>
        </w:rPr>
        <w:t>Net pool allocation increased by $7.9 million, from $0.8 million during the three-month period ended March 31, 2017 to $8.7 million during the three-month period ended March 31, 2018. The increase was attributable to the movement in allocation of the net pool results in accordance with applicable profit sharing terms. GasLog recognized gross revenues and gross voyage expenses and commissions of $13.4 million and $3.5 million, respectively, from the operation of its vessels in the Cool Pool during the quarter ended March 31, 2018 (March 31, 2017: $7.4 million and $1.4 million, respectively). The increase in GasLog’s total net pool performance was driven by higher spot rates and higher utilization achieved by all vessels trading in the Cool Pool. GasLog’s total net pool performance is presented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310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17"/>
                <w:szCs w:val="17"/>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March 31,</w:t>
            </w:r>
          </w:p>
        </w:tc>
        <w:tc>
          <w:tcPr>
            <w:tcW w:w="14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3"/>
        </w:trPr>
        <w:tc>
          <w:tcPr>
            <w:tcW w:w="78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86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Pool gross revenues (included in 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7,355</w:t>
            </w:r>
          </w:p>
        </w:tc>
        <w:tc>
          <w:tcPr>
            <w:tcW w:w="28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13,405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Pr>
          <w:p>
            <w:pPr>
              <w:spacing w:after="0"/>
              <w:rPr>
                <w:sz w:val="20"/>
                <w:szCs w:val="20"/>
                <w:color w:val="auto"/>
              </w:rPr>
            </w:pPr>
            <w:r>
              <w:rPr>
                <w:rFonts w:ascii="Arial" w:cs="Arial" w:eastAsia="Arial" w:hAnsi="Arial"/>
                <w:sz w:val="16"/>
                <w:szCs w:val="16"/>
                <w:color w:val="auto"/>
              </w:rPr>
              <w:t>Pool gross voyage expenses and commissions (included in Voyage expenses and commissions)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(1,380)</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(3,538)</w:t>
            </w:r>
          </w:p>
        </w:tc>
        <w:tc>
          <w:tcPr>
            <w:tcW w:w="0" w:type="dxa"/>
            <w:vAlign w:val="bottom"/>
          </w:tcPr>
          <w:p>
            <w:pPr>
              <w:spacing w:after="0"/>
              <w:rPr>
                <w:sz w:val="1"/>
                <w:szCs w:val="1"/>
                <w:color w:val="auto"/>
              </w:rPr>
            </w:pPr>
          </w:p>
        </w:tc>
      </w:tr>
      <w:tr>
        <w:trPr>
          <w:trHeight w:val="203"/>
        </w:trPr>
        <w:tc>
          <w:tcPr>
            <w:tcW w:w="7860" w:type="dxa"/>
            <w:vAlign w:val="bottom"/>
            <w:shd w:val="clear" w:color="auto" w:fill="E5FFFF"/>
          </w:tcPr>
          <w:p>
            <w:pPr>
              <w:spacing w:after="0"/>
              <w:rPr>
                <w:sz w:val="20"/>
                <w:szCs w:val="20"/>
                <w:color w:val="auto"/>
              </w:rPr>
            </w:pPr>
            <w:r>
              <w:rPr>
                <w:rFonts w:ascii="Arial" w:cs="Arial" w:eastAsia="Arial" w:hAnsi="Arial"/>
                <w:sz w:val="16"/>
                <w:szCs w:val="16"/>
                <w:color w:val="auto"/>
              </w:rPr>
              <w:t>GasLog’s adjustment for net pool allocation (included in Net pool allocation)</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828</w:t>
            </w:r>
          </w:p>
        </w:tc>
        <w:tc>
          <w:tcPr>
            <w:tcW w:w="280" w:type="dxa"/>
            <w:vAlign w:val="bottom"/>
            <w:shd w:val="clear" w:color="auto" w:fill="E5FFFF"/>
          </w:tcPr>
          <w:p>
            <w:pPr>
              <w:spacing w:after="0"/>
              <w:rPr>
                <w:sz w:val="17"/>
                <w:szCs w:val="17"/>
                <w:color w:val="auto"/>
              </w:rPr>
            </w:pP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8,653</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20"/>
                <w:szCs w:val="20"/>
                <w:color w:val="auto"/>
              </w:rPr>
            </w:pPr>
            <w:r>
              <w:rPr>
                <w:rFonts w:ascii="Arial" w:cs="Arial" w:eastAsia="Arial" w:hAnsi="Arial"/>
                <w:sz w:val="16"/>
                <w:szCs w:val="16"/>
                <w:b w:val="1"/>
                <w:bCs w:val="1"/>
                <w:color w:val="auto"/>
              </w:rPr>
              <w:t>GasLog’s Total net pool performance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6,803</w:t>
            </w:r>
          </w:p>
        </w:tc>
        <w:tc>
          <w:tcPr>
            <w:tcW w:w="2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 Operating and Supervision Costs:</w:t>
      </w:r>
    </w:p>
    <w:p>
      <w:pPr>
        <w:spacing w:after="0" w:line="221" w:lineRule="exact"/>
        <w:rPr>
          <w:sz w:val="20"/>
          <w:szCs w:val="20"/>
          <w:color w:val="auto"/>
        </w:rPr>
      </w:pPr>
    </w:p>
    <w:p>
      <w:pPr>
        <w:ind w:right="40" w:firstLine="356"/>
        <w:spacing w:after="0" w:line="293" w:lineRule="auto"/>
        <w:rPr>
          <w:sz w:val="20"/>
          <w:szCs w:val="20"/>
          <w:color w:val="auto"/>
        </w:rPr>
      </w:pPr>
      <w:r>
        <w:rPr>
          <w:rFonts w:ascii="Arial" w:cs="Arial" w:eastAsia="Arial" w:hAnsi="Arial"/>
          <w:sz w:val="15"/>
          <w:szCs w:val="15"/>
          <w:color w:val="auto"/>
        </w:rPr>
        <w:t xml:space="preserve">Vessel operating and supervision costs increased by 24.7%, or $6.8 million, from $27.5 million during the three-month period ended March 31, 2017, to $34.3 million during the three-month period ended March 31, 2018. The increase is mainly attributable to the deliveries of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Hong Kong</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Genoa</w:t>
      </w:r>
      <w:r>
        <w:rPr>
          <w:rFonts w:ascii="Arial" w:cs="Arial" w:eastAsia="Arial" w:hAnsi="Arial"/>
          <w:sz w:val="15"/>
          <w:szCs w:val="15"/>
          <w:color w:val="auto"/>
        </w:rPr>
        <w:t>, increased scheduled technical maintenance costs, related to engine maintenance, intermediate surveys and certifications, and crew wages, all of which were affected by</w:t>
      </w:r>
      <w:r>
        <w:rPr>
          <w:rFonts w:ascii="Arial" w:cs="Arial" w:eastAsia="Arial" w:hAnsi="Arial"/>
          <w:sz w:val="15"/>
          <w:szCs w:val="15"/>
          <w:i w:val="1"/>
          <w:iCs w:val="1"/>
          <w:color w:val="auto"/>
        </w:rPr>
        <w:t xml:space="preserve"> </w:t>
      </w:r>
      <w:r>
        <w:rPr>
          <w:rFonts w:ascii="Arial" w:cs="Arial" w:eastAsia="Arial" w:hAnsi="Arial"/>
          <w:sz w:val="15"/>
          <w:szCs w:val="15"/>
          <w:color w:val="auto"/>
        </w:rPr>
        <w:t>the unfavorable movement of the Euro (“EUR”)/U.S. Dollar (“USD”) exchange rate (we have entered into forward foreign exchange contracts to economically hedge part of this exposure and the associated realized gains are recorded in Gain on swaps, which is discussed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Voyage Expenses and Commissions:</w:t>
      </w:r>
    </w:p>
    <w:p>
      <w:pPr>
        <w:spacing w:after="0" w:line="221" w:lineRule="exact"/>
        <w:rPr>
          <w:sz w:val="20"/>
          <w:szCs w:val="20"/>
          <w:color w:val="auto"/>
        </w:rPr>
      </w:pPr>
    </w:p>
    <w:p>
      <w:pPr>
        <w:ind w:right="180" w:firstLine="356"/>
        <w:spacing w:after="0" w:line="369" w:lineRule="auto"/>
        <w:rPr>
          <w:sz w:val="20"/>
          <w:szCs w:val="20"/>
          <w:color w:val="auto"/>
        </w:rPr>
      </w:pPr>
      <w:r>
        <w:rPr>
          <w:rFonts w:ascii="Arial" w:cs="Arial" w:eastAsia="Arial" w:hAnsi="Arial"/>
          <w:sz w:val="14"/>
          <w:szCs w:val="14"/>
          <w:color w:val="auto"/>
        </w:rPr>
        <w:t>Voyage expenses and commissions increased by 82.8%, or $2.4 million, from $2.9 million during the three-month period ended March 31, 2017, to $5.3 million during the three-month period ended March 31, 2018. The increase is primarily attributable to the increase in bunkers consumption of the vessels operating in the spot market.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w:t>
      </w:r>
    </w:p>
    <w:p>
      <w:pPr>
        <w:spacing w:after="0" w:line="221" w:lineRule="exact"/>
        <w:rPr>
          <w:sz w:val="20"/>
          <w:szCs w:val="20"/>
          <w:color w:val="auto"/>
        </w:rPr>
      </w:pPr>
    </w:p>
    <w:p>
      <w:pPr>
        <w:ind w:firstLine="356"/>
        <w:spacing w:after="0" w:line="278" w:lineRule="auto"/>
        <w:rPr>
          <w:sz w:val="20"/>
          <w:szCs w:val="20"/>
          <w:color w:val="auto"/>
        </w:rPr>
      </w:pPr>
      <w:r>
        <w:rPr>
          <w:rFonts w:ascii="Arial" w:cs="Arial" w:eastAsia="Arial" w:hAnsi="Arial"/>
          <w:sz w:val="16"/>
          <w:szCs w:val="16"/>
          <w:color w:val="auto"/>
        </w:rPr>
        <w:t>Depreciation increased by 5.3%, or $1.8 million, from $33.7 million during the three-month period ended March 31, 2017, to $35.5 million during the three-month period ended March 31, 2018. The increase in depreciation resulted mainly from the increase in the average number of vessels in our fleet in the quarter ended March 31, 2018, compared to same quarter in 2017.</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21" w:lineRule="exact"/>
        <w:rPr>
          <w:sz w:val="20"/>
          <w:szCs w:val="20"/>
          <w:color w:val="auto"/>
        </w:rPr>
      </w:pPr>
    </w:p>
    <w:p>
      <w:pPr>
        <w:ind w:right="80" w:firstLine="356"/>
        <w:spacing w:after="0" w:line="297" w:lineRule="auto"/>
        <w:rPr>
          <w:sz w:val="20"/>
          <w:szCs w:val="20"/>
          <w:color w:val="auto"/>
        </w:rPr>
      </w:pPr>
      <w:r>
        <w:rPr>
          <w:rFonts w:ascii="Arial" w:cs="Arial" w:eastAsia="Arial" w:hAnsi="Arial"/>
          <w:sz w:val="15"/>
          <w:szCs w:val="15"/>
          <w:color w:val="auto"/>
        </w:rPr>
        <w:t>General and administrative expenses increased by 18.8%, or $1.9 million, from $10.1 million during the three-month period ended March 31, 2017, to $12.0 million during the three-month period ended March 31, 2018. The increase is mainly attributable to an increase of $1.5 million in employee costs due to the unfavorable movement of the USD against EUR and British Pound (“GBP”) (we have entered into forward foreign exchange contracts to economically hedge part of this exposure and the associated realized gains are recorded in Gains on swaps, which is discussed below) and an increase of $0.4 million in various other expenses.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Costs:</w:t>
      </w:r>
    </w:p>
    <w:p>
      <w:pPr>
        <w:spacing w:after="0" w:line="221" w:lineRule="exact"/>
        <w:rPr>
          <w:sz w:val="20"/>
          <w:szCs w:val="20"/>
          <w:color w:val="auto"/>
        </w:rPr>
      </w:pPr>
    </w:p>
    <w:p>
      <w:pPr>
        <w:ind w:right="20" w:firstLine="356"/>
        <w:spacing w:after="0" w:line="315" w:lineRule="auto"/>
        <w:rPr>
          <w:sz w:val="20"/>
          <w:szCs w:val="20"/>
          <w:color w:val="auto"/>
        </w:rPr>
      </w:pPr>
      <w:r>
        <w:rPr>
          <w:rFonts w:ascii="Arial" w:cs="Arial" w:eastAsia="Arial" w:hAnsi="Arial"/>
          <w:sz w:val="14"/>
          <w:szCs w:val="14"/>
          <w:color w:val="auto"/>
        </w:rPr>
        <w:t>Financial costs increased by 12.6%, or $4.1 million, from $32.5 million during the three-month period ended March 31, 2017 to $36.6 million during the three-month period ended March 31, 2018. The increase is attributable to an increase of $4.7 million in interest expense on loans, bonds and cash flow hedges, partially offset by a decrease of $0.5 million in amortization of deferred loan fees mainly driven by a decrease in write-offs of unamortized loan fees and a decrease of $0.1 million in finance lease charges. During the quarter ended March 31, 2018, we had an average of $2,728.2 million of outstanding indebtedness, with a weighted average interest rate of 4.5%, while during the quarter ended March 31, 2017, we had an average of $2,736.0 million of outstanding indebtedness having an aggregate weighted average interest rate of 3.8%. These weighted average interest rates include interest expense on loans and cash flow hedges and interest expense on senior unsecured notes and cross-currency swaps (“CCSs”).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Gain on Swaps:</w:t>
      </w:r>
    </w:p>
    <w:p>
      <w:pPr>
        <w:spacing w:after="0" w:line="221" w:lineRule="exact"/>
        <w:rPr>
          <w:sz w:val="20"/>
          <w:szCs w:val="20"/>
          <w:color w:val="auto"/>
        </w:rPr>
      </w:pPr>
    </w:p>
    <w:p>
      <w:pPr>
        <w:ind w:right="40" w:firstLine="356"/>
        <w:spacing w:after="0" w:line="293" w:lineRule="auto"/>
        <w:rPr>
          <w:sz w:val="20"/>
          <w:szCs w:val="20"/>
          <w:color w:val="auto"/>
        </w:rPr>
      </w:pPr>
      <w:r>
        <w:rPr>
          <w:rFonts w:ascii="Arial" w:cs="Arial" w:eastAsia="Arial" w:hAnsi="Arial"/>
          <w:sz w:val="15"/>
          <w:szCs w:val="15"/>
          <w:color w:val="auto"/>
        </w:rPr>
        <w:t>Gain on swaps increased by $17.6 million, from $0.2 million during the three-month period ended March 31, 2017 to $17.8 million during the three-month period ended March 31, 2018. The increase is mainly attributable to an increase of $14.9 million in gain from mark-to-market valuation of our derivative financial instruments carried at fair value through profit or loss, which reflected a gain of $17.2 million for the quarter ended March 31, 2018, as compared to a gain of $2.3 million for the quarter ended March 31, 2017, a decrease of $1.5 million in realized loss from interest rate swaps held for trading and an increase of $1.5 million in realized gain on forward foreign exchange contracts held for trading, partially offset by an increase of $0.3 million in the ineffective portion of cash flow hedges.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 for the Period:</w:t>
      </w:r>
    </w:p>
    <w:p>
      <w:pPr>
        <w:spacing w:after="0" w:line="221" w:lineRule="exact"/>
        <w:rPr>
          <w:sz w:val="20"/>
          <w:szCs w:val="20"/>
          <w:color w:val="auto"/>
        </w:rPr>
      </w:pPr>
    </w:p>
    <w:p>
      <w:pPr>
        <w:ind w:right="60" w:firstLine="356"/>
        <w:spacing w:after="0" w:line="293" w:lineRule="auto"/>
        <w:rPr>
          <w:sz w:val="20"/>
          <w:szCs w:val="20"/>
          <w:color w:val="auto"/>
        </w:rPr>
      </w:pPr>
      <w:r>
        <w:rPr>
          <w:rFonts w:ascii="Arial" w:cs="Arial" w:eastAsia="Arial" w:hAnsi="Arial"/>
          <w:sz w:val="16"/>
          <w:szCs w:val="16"/>
          <w:color w:val="auto"/>
        </w:rPr>
        <w:t>Profit for the period increased by $19.1 million, from a profit of $23.4 million for the three-month period ended March 31, 2017 to a profit of $42.5 million for the three-month period ended March 31, 2018, as a result of the aforementioned factors.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Profit Attributable to Owners of the Group:</w:t>
      </w:r>
    </w:p>
    <w:p>
      <w:pPr>
        <w:spacing w:after="0" w:line="221" w:lineRule="exact"/>
        <w:rPr>
          <w:sz w:val="20"/>
          <w:szCs w:val="20"/>
          <w:color w:val="auto"/>
        </w:rPr>
      </w:pPr>
    </w:p>
    <w:p>
      <w:pPr>
        <w:ind w:right="100" w:firstLine="356"/>
        <w:spacing w:after="0" w:line="293" w:lineRule="auto"/>
        <w:rPr>
          <w:sz w:val="20"/>
          <w:szCs w:val="20"/>
          <w:color w:val="auto"/>
        </w:rPr>
      </w:pPr>
      <w:r>
        <w:rPr>
          <w:rFonts w:ascii="Arial" w:cs="Arial" w:eastAsia="Arial" w:hAnsi="Arial"/>
          <w:sz w:val="15"/>
          <w:szCs w:val="15"/>
          <w:color w:val="auto"/>
        </w:rPr>
        <w:t xml:space="preserve">Profit attributable to owners of the Group increased by $10.5 million, from $8.8 million for the three-month period ended March 31, 2017 to $19.3 million for the three-month period ended March 31, 2018. The increase in profit attributable to the owners of GasLog resulted mainly from the increase in profit mentioned above, partially offset by the increase in profit attributable to the non-controlling interests (non-controlling unitholders of GasLog Partners) as a result of GasLog Partners’ equity offerings in January 2017, its ATM Programme implemented in May 2017, the issuances of the Series A Preference Units in May 2017 and the Series B Preference Units in January 2018, and the associated sales of the </w:t>
      </w:r>
      <w:r>
        <w:rPr>
          <w:rFonts w:ascii="Arial" w:cs="Arial" w:eastAsia="Arial" w:hAnsi="Arial"/>
          <w:sz w:val="15"/>
          <w:szCs w:val="15"/>
          <w:i w:val="1"/>
          <w:iCs w:val="1"/>
          <w:color w:val="auto"/>
        </w:rPr>
        <w:t>GasLog Greece</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Geneva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Solaris</w:t>
      </w:r>
      <w:r>
        <w:rPr>
          <w:rFonts w:ascii="Arial" w:cs="Arial" w:eastAsia="Arial" w:hAnsi="Arial"/>
          <w:sz w:val="15"/>
          <w:szCs w:val="15"/>
          <w:color w:val="auto"/>
        </w:rPr>
        <w:t xml:space="preserve"> on May 3, 2017, July 3, 2017 and October 20, 2017,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ectPr>
          <w:pgSz w:w="11900" w:h="16851" w:orient="portrait"/>
          <w:cols w:equalWidth="0" w:num="1">
            <w:col w:w="11400"/>
          </w:cols>
          <w:pgMar w:left="240" w:top="130" w:right="259" w:bottom="0" w:gutter="0" w:footer="0" w:header="0"/>
        </w:sectPr>
      </w:pPr>
    </w:p>
    <w:bookmarkStart w:id="16" w:name="page17"/>
    <w:bookmarkEnd w:id="16"/>
    <w:p>
      <w:pPr>
        <w:spacing w:after="0" w:line="45" w:lineRule="exact"/>
        <w:rPr>
          <w:sz w:val="20"/>
          <w:szCs w:val="20"/>
          <w:color w:val="auto"/>
        </w:rPr>
      </w:pPr>
    </w:p>
    <w:p>
      <w:pPr>
        <w:ind w:right="300" w:firstLine="356"/>
        <w:spacing w:after="0" w:line="293" w:lineRule="auto"/>
        <w:rPr>
          <w:sz w:val="20"/>
          <w:szCs w:val="20"/>
          <w:color w:val="auto"/>
        </w:rPr>
      </w:pPr>
      <w:r>
        <w:rPr>
          <w:rFonts w:ascii="Arial" w:cs="Arial" w:eastAsia="Arial" w:hAnsi="Arial"/>
          <w:sz w:val="16"/>
          <w:szCs w:val="16"/>
          <w:color w:val="auto"/>
        </w:rPr>
        <w:t>For the three-month period ended March 31, 2018, we received 86.7% of our revenues from Shell, 9.8% of our revenues from various charterers in the spot/short-term market, 2.9% of our revenues from a major LNG producer, 0.5% of our revenues from Total and 0.1% of our</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revenues from Egypt LNG, an entity in which we have a 25% ownership interest. For the three-month period ended March 31, 2017, we received 94.1% of our revenues from Shell, 5.7% of our revenues from various charterers in the spot/short-term market and 0.2% of our revenues from Egypt LNG.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80" w:firstLine="356"/>
        <w:spacing w:after="0" w:line="273" w:lineRule="auto"/>
        <w:rPr>
          <w:sz w:val="20"/>
          <w:szCs w:val="20"/>
          <w:color w:val="auto"/>
        </w:rPr>
      </w:pPr>
      <w:r>
        <w:rPr>
          <w:rFonts w:ascii="Arial" w:cs="Arial" w:eastAsia="Arial" w:hAnsi="Arial"/>
          <w:sz w:val="16"/>
          <w:szCs w:val="16"/>
          <w:color w:val="auto"/>
        </w:rPr>
        <w:t>Our primary liquidity needs are to fund our ship-operating expenses,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189" w:lineRule="exact"/>
        <w:rPr>
          <w:sz w:val="20"/>
          <w:szCs w:val="20"/>
          <w:color w:val="auto"/>
        </w:rPr>
      </w:pPr>
    </w:p>
    <w:p>
      <w:pPr>
        <w:ind w:right="200" w:firstLine="356"/>
        <w:spacing w:after="0" w:line="305" w:lineRule="auto"/>
        <w:rPr>
          <w:sz w:val="20"/>
          <w:szCs w:val="20"/>
          <w:color w:val="auto"/>
        </w:rPr>
      </w:pPr>
      <w:r>
        <w:rPr>
          <w:rFonts w:ascii="Arial" w:cs="Arial" w:eastAsia="Arial" w:hAnsi="Arial"/>
          <w:sz w:val="15"/>
          <w:szCs w:val="15"/>
          <w:color w:val="auto"/>
        </w:rPr>
        <w:t>We anticipate that our primary sources of funds will be available cash, cash from operations and borrowings under existing and new debt agreements. We may also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166" w:lineRule="exact"/>
        <w:rPr>
          <w:sz w:val="20"/>
          <w:szCs w:val="20"/>
          <w:color w:val="auto"/>
        </w:rPr>
      </w:pPr>
    </w:p>
    <w:p>
      <w:pPr>
        <w:ind w:right="160" w:firstLine="356"/>
        <w:spacing w:after="0" w:line="293" w:lineRule="auto"/>
        <w:rPr>
          <w:sz w:val="20"/>
          <w:szCs w:val="20"/>
          <w:color w:val="auto"/>
        </w:rPr>
      </w:pPr>
      <w:r>
        <w:rPr>
          <w:rFonts w:ascii="Arial" w:cs="Arial" w:eastAsia="Arial" w:hAnsi="Arial"/>
          <w:sz w:val="16"/>
          <w:szCs w:val="16"/>
          <w:color w:val="auto"/>
        </w:rPr>
        <w:t>Our funding and treasury activities are intended to meet our operating and financing requirements while maintaining appropriate liquidity. Cash and cash equivalents are held primarily in U.S. dollars.</w:t>
      </w:r>
    </w:p>
    <w:p>
      <w:pPr>
        <w:spacing w:after="0" w:line="172" w:lineRule="exact"/>
        <w:rPr>
          <w:sz w:val="20"/>
          <w:szCs w:val="20"/>
          <w:color w:val="auto"/>
        </w:rPr>
      </w:pPr>
    </w:p>
    <w:p>
      <w:pPr>
        <w:ind w:right="100" w:firstLine="356"/>
        <w:spacing w:after="0" w:line="273" w:lineRule="auto"/>
        <w:rPr>
          <w:sz w:val="20"/>
          <w:szCs w:val="20"/>
          <w:color w:val="auto"/>
        </w:rPr>
      </w:pPr>
      <w:r>
        <w:rPr>
          <w:rFonts w:ascii="Arial" w:cs="Arial" w:eastAsia="Arial" w:hAnsi="Arial"/>
          <w:sz w:val="16"/>
          <w:szCs w:val="16"/>
          <w:color w:val="auto"/>
        </w:rPr>
        <w:t>As of March 31, 2018, GasLog had $349.1 million of cash and cash equivalents, of which $234.4 million was held in time deposits and the remaining balance in current accounts. Moreover, as of March 31, 2018, GasLog had $10.0 million held in time deposits with an initial duration of more than three months but less than a year that have been classified as short-term investments and $4.9 million in restricted cash which consisted of guarantees held for vessels with respect to the enhancement of their operational performance.</w:t>
      </w:r>
    </w:p>
    <w:p>
      <w:pPr>
        <w:spacing w:after="0" w:line="189" w:lineRule="exact"/>
        <w:rPr>
          <w:sz w:val="20"/>
          <w:szCs w:val="20"/>
          <w:color w:val="auto"/>
        </w:rPr>
      </w:pPr>
    </w:p>
    <w:p>
      <w:pPr>
        <w:ind w:right="60" w:firstLine="356"/>
        <w:spacing w:after="0" w:line="278" w:lineRule="auto"/>
        <w:rPr>
          <w:sz w:val="20"/>
          <w:szCs w:val="20"/>
          <w:color w:val="auto"/>
        </w:rPr>
      </w:pPr>
      <w:r>
        <w:rPr>
          <w:rFonts w:ascii="Arial" w:cs="Arial" w:eastAsia="Arial" w:hAnsi="Arial"/>
          <w:sz w:val="16"/>
          <w:szCs w:val="16"/>
          <w:color w:val="auto"/>
        </w:rPr>
        <w:t xml:space="preserve">As of March 31, 2018, GasLog had an aggregate of $3.0 billion of indebtedness outstanding under its credit facilities and bond agreements, of which $182.4 million was repayable within one year, and a $211.7 million finance lease liability related to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of which $6.4 million was repayable within one year.</w:t>
      </w:r>
    </w:p>
    <w:p>
      <w:pPr>
        <w:spacing w:after="0" w:line="184" w:lineRule="exact"/>
        <w:rPr>
          <w:sz w:val="20"/>
          <w:szCs w:val="20"/>
          <w:color w:val="auto"/>
        </w:rPr>
      </w:pPr>
    </w:p>
    <w:p>
      <w:pPr>
        <w:ind w:right="220" w:firstLine="356"/>
        <w:spacing w:after="0" w:line="293" w:lineRule="auto"/>
        <w:rPr>
          <w:sz w:val="20"/>
          <w:szCs w:val="20"/>
          <w:color w:val="auto"/>
        </w:rPr>
      </w:pPr>
      <w:r>
        <w:rPr>
          <w:rFonts w:ascii="Arial" w:cs="Arial" w:eastAsia="Arial" w:hAnsi="Arial"/>
          <w:sz w:val="16"/>
          <w:szCs w:val="16"/>
          <w:color w:val="auto"/>
        </w:rPr>
        <w:t>As of March 31, 2018, GasLog, through GasLog Partners, had prepaid in full the outstanding $29.8 million of the junior tranche of the credit agreement entered into on February 18, 2016, which would have been due in April 2018.</w:t>
      </w:r>
    </w:p>
    <w:p>
      <w:pPr>
        <w:spacing w:after="0" w:line="172" w:lineRule="exact"/>
        <w:rPr>
          <w:sz w:val="20"/>
          <w:szCs w:val="20"/>
          <w:color w:val="auto"/>
        </w:rPr>
      </w:pPr>
    </w:p>
    <w:p>
      <w:pPr>
        <w:ind w:right="80" w:firstLine="356"/>
        <w:spacing w:after="0" w:line="293" w:lineRule="auto"/>
        <w:rPr>
          <w:sz w:val="20"/>
          <w:szCs w:val="20"/>
          <w:color w:val="auto"/>
        </w:rPr>
      </w:pPr>
      <w:r>
        <w:rPr>
          <w:rFonts w:ascii="Arial" w:cs="Arial" w:eastAsia="Arial" w:hAnsi="Arial"/>
          <w:sz w:val="16"/>
          <w:szCs w:val="16"/>
          <w:color w:val="auto"/>
        </w:rPr>
        <w:t>As of March 31, 2018, there was undrawn available capacity of $100.0 million under the revolving credit facility of the credit agreement of up to $1.1 billion entered into on July 19, 2016 (the “Legacy Facility Refinancing”).</w:t>
      </w:r>
    </w:p>
    <w:p>
      <w:pPr>
        <w:spacing w:after="0" w:line="172" w:lineRule="exact"/>
        <w:rPr>
          <w:sz w:val="20"/>
          <w:szCs w:val="20"/>
          <w:color w:val="auto"/>
        </w:rPr>
      </w:pPr>
    </w:p>
    <w:p>
      <w:pPr>
        <w:ind w:right="240" w:firstLine="356"/>
        <w:spacing w:after="0" w:line="278" w:lineRule="auto"/>
        <w:rPr>
          <w:sz w:val="20"/>
          <w:szCs w:val="20"/>
          <w:color w:val="auto"/>
        </w:rPr>
      </w:pPr>
      <w:r>
        <w:rPr>
          <w:rFonts w:ascii="Arial" w:cs="Arial" w:eastAsia="Arial" w:hAnsi="Arial"/>
          <w:sz w:val="16"/>
          <w:szCs w:val="16"/>
          <w:color w:val="auto"/>
        </w:rPr>
        <w:t>As of March 31, 2018, the total remaining balance of the contract prices of the four LNG carriers on order was $719.8 million which GasLog expects to be funded with the $165.8 million undrawn capacity under the financing agreement entered into on October 16, 2015, as well as cash balances, cash from operations and borrowings under new and existing debt agreements.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GasLog has hedged 45.8% of its expected floating interest rate exposure on its outstanding debt (excluding the finance lease liability) as of March 31, 2018.</w:t>
      </w:r>
    </w:p>
    <w:p>
      <w:pPr>
        <w:spacing w:after="0" w:line="235" w:lineRule="exact"/>
        <w:rPr>
          <w:sz w:val="20"/>
          <w:szCs w:val="20"/>
          <w:color w:val="auto"/>
        </w:rPr>
      </w:pPr>
    </w:p>
    <w:p>
      <w:pPr>
        <w:ind w:right="180" w:firstLine="356"/>
        <w:spacing w:after="0" w:line="293" w:lineRule="auto"/>
        <w:rPr>
          <w:sz w:val="20"/>
          <w:szCs w:val="20"/>
          <w:color w:val="auto"/>
        </w:rPr>
      </w:pPr>
      <w:r>
        <w:rPr>
          <w:rFonts w:ascii="Arial" w:cs="Arial" w:eastAsia="Arial" w:hAnsi="Arial"/>
          <w:sz w:val="16"/>
          <w:szCs w:val="16"/>
          <w:color w:val="auto"/>
        </w:rPr>
        <w:t>Our credit facilities are described in Note 13 of our annual audited consolidated financial statements included in our Annual Report on Form 20-F filed with the SEC on February 28, 2018 and Note 7 of our unaudited condensed consolidated financial statements included elsewhere in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 Position</w:t>
      </w:r>
    </w:p>
    <w:p>
      <w:pPr>
        <w:spacing w:after="0" w:line="239" w:lineRule="exact"/>
        <w:rPr>
          <w:sz w:val="20"/>
          <w:szCs w:val="20"/>
          <w:color w:val="auto"/>
        </w:rPr>
      </w:pPr>
    </w:p>
    <w:p>
      <w:pPr>
        <w:ind w:right="260" w:firstLine="383"/>
        <w:spacing w:after="0" w:line="293" w:lineRule="auto"/>
        <w:rPr>
          <w:sz w:val="20"/>
          <w:szCs w:val="20"/>
          <w:color w:val="auto"/>
        </w:rPr>
      </w:pPr>
      <w:r>
        <w:rPr>
          <w:rFonts w:ascii="Arial" w:cs="Arial" w:eastAsia="Arial" w:hAnsi="Arial"/>
          <w:sz w:val="16"/>
          <w:szCs w:val="16"/>
          <w:color w:val="auto"/>
        </w:rPr>
        <w:t>As of March 31, 2018, GasLog’s current assets totaled $406.6 million while current liabilities totaled $282.4 million, resulting in a positive working capital position of $124.2 million.</w:t>
      </w:r>
    </w:p>
    <w:p>
      <w:pPr>
        <w:spacing w:after="0" w:line="172" w:lineRule="exact"/>
        <w:rPr>
          <w:sz w:val="20"/>
          <w:szCs w:val="20"/>
          <w:color w:val="auto"/>
        </w:rPr>
      </w:pPr>
    </w:p>
    <w:p>
      <w:pPr>
        <w:ind w:right="560" w:firstLine="383"/>
        <w:spacing w:after="0" w:line="369" w:lineRule="auto"/>
        <w:rPr>
          <w:sz w:val="20"/>
          <w:szCs w:val="20"/>
          <w:color w:val="auto"/>
        </w:rPr>
      </w:pPr>
      <w:r>
        <w:rPr>
          <w:rFonts w:ascii="Arial" w:cs="Arial" w:eastAsia="Arial" w:hAnsi="Arial"/>
          <w:sz w:val="14"/>
          <w:szCs w:val="14"/>
          <w:color w:val="auto"/>
        </w:rPr>
        <w:t>Taking into account generally expected market conditions, we anticipate that available cash and cash flow generated from operations will be sufficient to fund our operations, including our working capital requirements, and to make all other required principal and interest payments on our indebtedness during the next 12 months.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Three-month period ended March 31, 2017 compared to the three-month period ended March 31, 2018</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our net cash flows from operating, investing and financing activities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10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For the three months ended</w:t>
            </w:r>
          </w:p>
        </w:tc>
        <w:tc>
          <w:tcPr>
            <w:tcW w:w="184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31, 2017</w:t>
            </w:r>
          </w:p>
        </w:tc>
        <w:tc>
          <w:tcPr>
            <w:tcW w:w="14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March 31, 2018</w:t>
            </w:r>
          </w:p>
        </w:tc>
        <w:tc>
          <w:tcPr>
            <w:tcW w:w="1840" w:type="dxa"/>
            <w:vAlign w:val="bottom"/>
          </w:tcPr>
          <w:p>
            <w:pPr>
              <w:spacing w:after="0"/>
              <w:rPr>
                <w:sz w:val="18"/>
                <w:szCs w:val="18"/>
                <w:color w:val="auto"/>
              </w:rPr>
            </w:pPr>
          </w:p>
        </w:tc>
      </w:tr>
      <w:tr>
        <w:trPr>
          <w:trHeight w:val="240"/>
        </w:trPr>
        <w:tc>
          <w:tcPr>
            <w:tcW w:w="13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17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0"/>
        </w:trPr>
        <w:tc>
          <w:tcPr>
            <w:tcW w:w="1300" w:type="dxa"/>
            <w:vAlign w:val="bottom"/>
          </w:tcPr>
          <w:p>
            <w:pPr>
              <w:spacing w:after="0"/>
              <w:rPr>
                <w:sz w:val="22"/>
                <w:szCs w:val="22"/>
                <w:color w:val="auto"/>
              </w:rPr>
            </w:pPr>
          </w:p>
        </w:tc>
        <w:tc>
          <w:tcPr>
            <w:tcW w:w="352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operating activities</w:t>
            </w:r>
          </w:p>
        </w:tc>
        <w:tc>
          <w:tcPr>
            <w:tcW w:w="334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49,508</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43,278</w:t>
            </w:r>
          </w:p>
        </w:tc>
        <w:tc>
          <w:tcPr>
            <w:tcW w:w="1840" w:type="dxa"/>
            <w:vAlign w:val="bottom"/>
          </w:tcPr>
          <w:p>
            <w:pPr>
              <w:spacing w:after="0"/>
              <w:rPr>
                <w:sz w:val="22"/>
                <w:szCs w:val="22"/>
                <w:color w:val="auto"/>
              </w:rPr>
            </w:pPr>
          </w:p>
        </w:tc>
      </w:tr>
      <w:tr>
        <w:trPr>
          <w:trHeight w:val="254"/>
        </w:trPr>
        <w:tc>
          <w:tcPr>
            <w:tcW w:w="1300" w:type="dxa"/>
            <w:vAlign w:val="bottom"/>
          </w:tcPr>
          <w:p>
            <w:pPr>
              <w:spacing w:after="0"/>
              <w:rPr>
                <w:sz w:val="22"/>
                <w:szCs w:val="22"/>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3340" w:type="dxa"/>
            <w:vAlign w:val="bottom"/>
            <w:gridSpan w:val="3"/>
          </w:tcPr>
          <w:p>
            <w:pPr>
              <w:jc w:val="right"/>
              <w:ind w:right="220"/>
              <w:spacing w:after="0"/>
              <w:rPr>
                <w:sz w:val="20"/>
                <w:szCs w:val="20"/>
                <w:color w:val="auto"/>
              </w:rPr>
            </w:pPr>
            <w:r>
              <w:rPr>
                <w:rFonts w:ascii="Arial" w:cs="Arial" w:eastAsia="Arial" w:hAnsi="Arial"/>
                <w:sz w:val="16"/>
                <w:szCs w:val="16"/>
                <w:color w:val="auto"/>
              </w:rPr>
              <w:t>(18,064)</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(560,937)</w:t>
            </w:r>
          </w:p>
        </w:tc>
        <w:tc>
          <w:tcPr>
            <w:tcW w:w="1840" w:type="dxa"/>
            <w:vAlign w:val="bottom"/>
          </w:tcPr>
          <w:p>
            <w:pPr>
              <w:spacing w:after="0"/>
              <w:rPr>
                <w:sz w:val="22"/>
                <w:szCs w:val="22"/>
                <w:color w:val="auto"/>
              </w:rPr>
            </w:pPr>
          </w:p>
        </w:tc>
      </w:tr>
      <w:tr>
        <w:trPr>
          <w:trHeight w:val="260"/>
        </w:trPr>
        <w:tc>
          <w:tcPr>
            <w:tcW w:w="1300" w:type="dxa"/>
            <w:vAlign w:val="bottom"/>
          </w:tcPr>
          <w:p>
            <w:pPr>
              <w:spacing w:after="0"/>
              <w:rPr>
                <w:sz w:val="22"/>
                <w:szCs w:val="22"/>
                <w:color w:val="auto"/>
              </w:rPr>
            </w:pPr>
          </w:p>
        </w:tc>
        <w:tc>
          <w:tcPr>
            <w:tcW w:w="3520" w:type="dxa"/>
            <w:vAlign w:val="bottom"/>
            <w:shd w:val="clear" w:color="auto" w:fill="E5FFFF"/>
          </w:tcPr>
          <w:p>
            <w:pPr>
              <w:spacing w:after="0"/>
              <w:rPr>
                <w:sz w:val="20"/>
                <w:szCs w:val="20"/>
                <w:color w:val="auto"/>
              </w:rPr>
            </w:pPr>
            <w:r>
              <w:rPr>
                <w:rFonts w:ascii="Arial" w:cs="Arial" w:eastAsia="Arial" w:hAnsi="Arial"/>
                <w:sz w:val="16"/>
                <w:szCs w:val="16"/>
                <w:color w:val="auto"/>
              </w:rPr>
              <w:t>Net cash provided by financing activities</w:t>
            </w:r>
          </w:p>
        </w:tc>
        <w:tc>
          <w:tcPr>
            <w:tcW w:w="334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color w:val="auto"/>
              </w:rPr>
              <w:t>274,235</w:t>
            </w: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482,255</w:t>
            </w:r>
          </w:p>
        </w:tc>
        <w:tc>
          <w:tcPr>
            <w:tcW w:w="1840" w:type="dxa"/>
            <w:vAlign w:val="bottom"/>
          </w:tcPr>
          <w:p>
            <w:pPr>
              <w:spacing w:after="0"/>
              <w:rPr>
                <w:sz w:val="22"/>
                <w:szCs w:val="22"/>
                <w:color w:val="auto"/>
              </w:rPr>
            </w:pPr>
          </w:p>
        </w:tc>
      </w:tr>
      <w:tr>
        <w:trPr>
          <w:trHeight w:val="380"/>
        </w:trPr>
        <w:tc>
          <w:tcPr>
            <w:tcW w:w="1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00" w:type="dxa"/>
            <w:vAlign w:val="bottom"/>
          </w:tcPr>
          <w:p>
            <w:pPr>
              <w:jc w:val="right"/>
              <w:ind w:right="701"/>
              <w:spacing w:after="0"/>
              <w:rPr>
                <w:sz w:val="20"/>
                <w:szCs w:val="20"/>
                <w:color w:val="auto"/>
              </w:rPr>
            </w:pPr>
            <w:r>
              <w:rPr>
                <w:rFonts w:ascii="Arial" w:cs="Arial" w:eastAsia="Arial" w:hAnsi="Arial"/>
                <w:sz w:val="14"/>
                <w:szCs w:val="14"/>
                <w:color w:val="auto"/>
              </w:rPr>
              <w:t>7</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7"/>
        </w:trPr>
        <w:tc>
          <w:tcPr>
            <w:tcW w:w="130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235" w:lineRule="exact"/>
        <w:rPr>
          <w:sz w:val="20"/>
          <w:szCs w:val="20"/>
          <w:color w:val="auto"/>
        </w:rPr>
      </w:pPr>
    </w:p>
    <w:p>
      <w:pPr>
        <w:ind w:left="160" w:right="140" w:firstLine="198"/>
        <w:spacing w:after="0" w:line="369" w:lineRule="auto"/>
        <w:rPr>
          <w:sz w:val="20"/>
          <w:szCs w:val="20"/>
          <w:color w:val="auto"/>
        </w:rPr>
      </w:pPr>
      <w:r>
        <w:rPr>
          <w:rFonts w:ascii="Arial" w:cs="Arial" w:eastAsia="Arial" w:hAnsi="Arial"/>
          <w:sz w:val="14"/>
          <w:szCs w:val="14"/>
          <w:color w:val="auto"/>
        </w:rPr>
        <w:t>Net cash provided by operating activities decreased by $6.2 million, from $49.5 million during the three-month period ended March 31, 2017 to $43.3 million during the three-month period ended March 31, 2018. The decrease was mainly attributable to an increased cash outflow of $11.2 million caused by movements in working capital</w:t>
      </w:r>
    </w:p>
    <w:p>
      <w:pPr>
        <w:sectPr>
          <w:pgSz w:w="11900" w:h="16883" w:orient="portrait"/>
          <w:cols w:equalWidth="0" w:num="1">
            <w:col w:w="11460"/>
          </w:cols>
          <w:pgMar w:left="240" w:top="332" w:right="199" w:bottom="0" w:gutter="0" w:footer="0" w:header="0"/>
        </w:sectPr>
      </w:pPr>
    </w:p>
    <w:bookmarkStart w:id="17" w:name="page18"/>
    <w:bookmarkEnd w:id="17"/>
    <w:p>
      <w:pPr>
        <w:ind w:left="160" w:right="220"/>
        <w:spacing w:after="0" w:line="273" w:lineRule="auto"/>
        <w:rPr>
          <w:sz w:val="20"/>
          <w:szCs w:val="20"/>
          <w:color w:val="auto"/>
        </w:rPr>
      </w:pPr>
      <w:r>
        <w:rPr>
          <w:rFonts w:ascii="Arial" w:cs="Arial" w:eastAsia="Arial" w:hAnsi="Arial"/>
          <w:sz w:val="16"/>
          <w:szCs w:val="16"/>
          <w:color w:val="auto"/>
        </w:rPr>
        <w:t>accounts, an increase of $6.8 million in vessel operating and supervision costs, an increase of $4.7 million in cash paid for interest including the interest paid for finance leases, an increase of $2.4 million in voyage expenses and commissions and an increase of $1.9 million in general and administrative expenses, partially offset by an increase of $10.2 million in revenues, an increase of $7.8 million in net pool allocation, a decrease of $1.5 million in realized losses on interest rate swaps held for trading and an increase of $1.5 million in realized gain on forward foreign exchange contracts held for trading.</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235" w:lineRule="exact"/>
        <w:rPr>
          <w:sz w:val="20"/>
          <w:szCs w:val="20"/>
          <w:color w:val="auto"/>
        </w:rPr>
      </w:pPr>
    </w:p>
    <w:p>
      <w:pPr>
        <w:ind w:firstLine="356"/>
        <w:spacing w:after="0" w:line="273" w:lineRule="auto"/>
        <w:rPr>
          <w:sz w:val="20"/>
          <w:szCs w:val="20"/>
          <w:color w:val="auto"/>
        </w:rPr>
      </w:pPr>
      <w:r>
        <w:rPr>
          <w:rFonts w:ascii="Arial" w:cs="Arial" w:eastAsia="Arial" w:hAnsi="Arial"/>
          <w:sz w:val="16"/>
          <w:szCs w:val="16"/>
          <w:color w:val="auto"/>
        </w:rPr>
        <w:t>Net cash used in investing activities increased by $542.8 million, from $18.1 million in the three-month period ended March 31, 2017 to $560.9 million in the three-month period ended March 31, 2018. The increase is mainly attributable to an increase of $533.7 million in payments for the construction costs of newbuildings and other fixed assets, a net increase of $18.0 million in short-term investments and an increase of $4.9 million in restricted cash. The above movements were partially offset by a decrease of $13.8 million in payments made for the investment in Gastrade.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Net Cash Provided by Financing Activities</w:t>
      </w:r>
    </w:p>
    <w:p>
      <w:pPr>
        <w:spacing w:after="0" w:line="235" w:lineRule="exact"/>
        <w:rPr>
          <w:sz w:val="20"/>
          <w:szCs w:val="20"/>
          <w:color w:val="auto"/>
        </w:rPr>
      </w:pPr>
    </w:p>
    <w:p>
      <w:pPr>
        <w:ind w:firstLine="356"/>
        <w:spacing w:after="0" w:line="324" w:lineRule="auto"/>
        <w:rPr>
          <w:sz w:val="20"/>
          <w:szCs w:val="20"/>
          <w:color w:val="auto"/>
        </w:rPr>
      </w:pPr>
      <w:r>
        <w:rPr>
          <w:rFonts w:ascii="Arial" w:cs="Arial" w:eastAsia="Arial" w:hAnsi="Arial"/>
          <w:sz w:val="14"/>
          <w:szCs w:val="14"/>
          <w:color w:val="auto"/>
        </w:rPr>
        <w:t>Net cash provided by financing activities increased by $208.1 million, from $274.2 million in the three-month period ended March 31, 2017 to $482.3 million in the three-month period ended March 31, 2018. The increase is mainly attributable to an increase of $218.2 million in proceeds from our borrowings and an increase of $33.0 million in proceeds from the GasLog Partners’ public offering. The above movements were partially offset by an increase in bank loan repayments of $31.5 million, an increase of $7.1 million in dividend payments, an increase of $2.5 million in payments of loan issuance costs and an increase of $1.8 million in payments for finance lease liabilities.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Contracted Charter Revenues and Days from Time Charters</w:t>
      </w:r>
    </w:p>
    <w:p>
      <w:pPr>
        <w:spacing w:after="0" w:line="239" w:lineRule="exact"/>
        <w:rPr>
          <w:sz w:val="20"/>
          <w:szCs w:val="20"/>
          <w:color w:val="auto"/>
        </w:rPr>
      </w:pPr>
    </w:p>
    <w:p>
      <w:pPr>
        <w:ind w:right="660" w:firstLine="356"/>
        <w:spacing w:after="0" w:line="293" w:lineRule="auto"/>
        <w:rPr>
          <w:sz w:val="20"/>
          <w:szCs w:val="20"/>
          <w:color w:val="auto"/>
        </w:rPr>
      </w:pPr>
      <w:r>
        <w:rPr>
          <w:rFonts w:ascii="Arial" w:cs="Arial" w:eastAsia="Arial" w:hAnsi="Arial"/>
          <w:sz w:val="16"/>
          <w:szCs w:val="16"/>
          <w:color w:val="auto"/>
        </w:rPr>
        <w:t>The following table summarizes GasLog’s (including the vessels contributed or sold to GasLog Partners) contracted charter revenues and vessel utilization as of March 31,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4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Contracted Charter Revenues and Days from Time Charters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11"/>
        </w:trPr>
        <w:tc>
          <w:tcPr>
            <w:tcW w:w="1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On and</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1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after April</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0"/>
        </w:trPr>
        <w:tc>
          <w:tcPr>
            <w:tcW w:w="1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For the years ending December 31,</w:t>
            </w: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1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2023-2029</w:t>
            </w: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gridSpan w:val="5"/>
          </w:tcPr>
          <w:p>
            <w:pPr>
              <w:jc w:val="right"/>
              <w:ind w:right="859"/>
              <w:spacing w:after="0"/>
              <w:rPr>
                <w:sz w:val="20"/>
                <w:szCs w:val="20"/>
                <w:color w:val="auto"/>
              </w:rPr>
            </w:pPr>
            <w:r>
              <w:rPr>
                <w:rFonts w:ascii="Arial" w:cs="Arial" w:eastAsia="Arial" w:hAnsi="Arial"/>
                <w:sz w:val="16"/>
                <w:szCs w:val="16"/>
                <w:b w:val="1"/>
                <w:bCs w:val="1"/>
                <w:color w:val="auto"/>
              </w:rPr>
              <w:t>(in millions of U.S. dollars, except days and percentages)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90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1"/>
                <w:szCs w:val="21"/>
                <w:color w:val="auto"/>
                <w:vertAlign w:val="superscript"/>
              </w:rPr>
              <w:t>(1)</w:t>
            </w:r>
          </w:p>
        </w:tc>
        <w:tc>
          <w:tcPr>
            <w:tcW w:w="11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369.8</w:t>
            </w:r>
          </w:p>
        </w:tc>
        <w:tc>
          <w:tcPr>
            <w:tcW w:w="11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523.7</w:t>
            </w:r>
          </w:p>
        </w:tc>
        <w:tc>
          <w:tcPr>
            <w:tcW w:w="102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453.1</w:t>
            </w:r>
          </w:p>
        </w:tc>
        <w:tc>
          <w:tcPr>
            <w:tcW w:w="10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348.8</w:t>
            </w:r>
          </w:p>
        </w:tc>
        <w:tc>
          <w:tcPr>
            <w:tcW w:w="98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326.2</w:t>
            </w:r>
          </w:p>
        </w:tc>
        <w:tc>
          <w:tcPr>
            <w:tcW w:w="130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1,039.1</w:t>
            </w:r>
          </w:p>
        </w:tc>
        <w:tc>
          <w:tcPr>
            <w:tcW w:w="9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3,060.7</w:t>
            </w:r>
          </w:p>
        </w:tc>
      </w:tr>
      <w:tr>
        <w:trPr>
          <w:trHeight w:val="203"/>
        </w:trPr>
        <w:tc>
          <w:tcPr>
            <w:tcW w:w="3900" w:type="dxa"/>
            <w:vAlign w:val="bottom"/>
            <w:gridSpan w:val="2"/>
          </w:tcPr>
          <w:p>
            <w:pPr>
              <w:spacing w:after="0" w:line="203" w:lineRule="exact"/>
              <w:rPr>
                <w:sz w:val="20"/>
                <w:szCs w:val="20"/>
                <w:color w:val="auto"/>
              </w:rPr>
            </w:pPr>
            <w:r>
              <w:rPr>
                <w:rFonts w:ascii="Arial" w:cs="Arial" w:eastAsia="Arial" w:hAnsi="Arial"/>
                <w:sz w:val="16"/>
                <w:szCs w:val="16"/>
                <w:color w:val="auto"/>
              </w:rPr>
              <w:t>Total contracted days</w:t>
            </w:r>
            <w:r>
              <w:rPr>
                <w:rFonts w:ascii="Arial" w:cs="Arial" w:eastAsia="Arial" w:hAnsi="Arial"/>
                <w:sz w:val="21"/>
                <w:szCs w:val="21"/>
                <w:color w:val="auto"/>
                <w:vertAlign w:val="superscript"/>
              </w:rPr>
              <w:t>(1)</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5,050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7,109</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6,170</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4,441</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4,015</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12,781</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39,566</w:t>
            </w:r>
          </w:p>
        </w:tc>
      </w:tr>
      <w:tr>
        <w:trPr>
          <w:trHeight w:val="203"/>
        </w:trPr>
        <w:tc>
          <w:tcPr>
            <w:tcW w:w="3900" w:type="dxa"/>
            <w:vAlign w:val="bottom"/>
            <w:gridSpan w:val="2"/>
            <w:shd w:val="clear" w:color="auto" w:fill="E5FFFF"/>
          </w:tcPr>
          <w:p>
            <w:pPr>
              <w:spacing w:after="0" w:line="20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1"/>
                <w:szCs w:val="21"/>
                <w:color w:val="auto"/>
                <w:vertAlign w:val="superscript"/>
              </w:rPr>
              <w:t>(2)</w:t>
            </w:r>
          </w:p>
        </w:tc>
        <w:tc>
          <w:tcPr>
            <w:tcW w:w="11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7,002</w:t>
            </w:r>
          </w:p>
        </w:tc>
        <w:tc>
          <w:tcPr>
            <w:tcW w:w="11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9,858</w:t>
            </w:r>
          </w:p>
        </w:tc>
        <w:tc>
          <w:tcPr>
            <w:tcW w:w="102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10,467</w:t>
            </w:r>
          </w:p>
        </w:tc>
        <w:tc>
          <w:tcPr>
            <w:tcW w:w="1020" w:type="dxa"/>
            <w:vAlign w:val="bottom"/>
            <w:shd w:val="clear" w:color="auto" w:fill="E5FFFF"/>
          </w:tcPr>
          <w:p>
            <w:pPr>
              <w:jc w:val="right"/>
              <w:ind w:right="219"/>
              <w:spacing w:after="0"/>
              <w:rPr>
                <w:sz w:val="20"/>
                <w:szCs w:val="20"/>
                <w:color w:val="auto"/>
              </w:rPr>
            </w:pPr>
            <w:r>
              <w:rPr>
                <w:rFonts w:ascii="Arial" w:cs="Arial" w:eastAsia="Arial" w:hAnsi="Arial"/>
                <w:sz w:val="16"/>
                <w:szCs w:val="16"/>
                <w:color w:val="auto"/>
              </w:rPr>
              <w:t>10,770</w:t>
            </w:r>
          </w:p>
        </w:tc>
        <w:tc>
          <w:tcPr>
            <w:tcW w:w="980" w:type="dxa"/>
            <w:vAlign w:val="bottom"/>
            <w:shd w:val="clear" w:color="auto" w:fill="E5FFFF"/>
          </w:tcPr>
          <w:p>
            <w:pPr>
              <w:jc w:val="right"/>
              <w:ind w:right="179"/>
              <w:spacing w:after="0"/>
              <w:rPr>
                <w:sz w:val="20"/>
                <w:szCs w:val="20"/>
                <w:color w:val="auto"/>
              </w:rPr>
            </w:pPr>
            <w:r>
              <w:rPr>
                <w:rFonts w:ascii="Arial" w:cs="Arial" w:eastAsia="Arial" w:hAnsi="Arial"/>
                <w:sz w:val="16"/>
                <w:szCs w:val="16"/>
                <w:color w:val="auto"/>
              </w:rPr>
              <w:t>10,950</w:t>
            </w:r>
          </w:p>
        </w:tc>
        <w:tc>
          <w:tcPr>
            <w:tcW w:w="1300" w:type="dxa"/>
            <w:vAlign w:val="bottom"/>
            <w:shd w:val="clear" w:color="auto" w:fill="E5FFFF"/>
          </w:tcPr>
          <w:p>
            <w:pPr>
              <w:jc w:val="right"/>
              <w:ind w:right="239"/>
              <w:spacing w:after="0"/>
              <w:rPr>
                <w:sz w:val="20"/>
                <w:szCs w:val="20"/>
                <w:color w:val="auto"/>
              </w:rPr>
            </w:pPr>
            <w:r>
              <w:rPr>
                <w:rFonts w:ascii="Arial" w:cs="Arial" w:eastAsia="Arial" w:hAnsi="Arial"/>
                <w:sz w:val="16"/>
                <w:szCs w:val="16"/>
                <w:color w:val="auto"/>
              </w:rPr>
              <w:t>75,450</w:t>
            </w:r>
          </w:p>
        </w:tc>
        <w:tc>
          <w:tcPr>
            <w:tcW w:w="940" w:type="dxa"/>
            <w:vAlign w:val="bottom"/>
            <w:gridSpan w:val="2"/>
            <w:shd w:val="clear" w:color="auto" w:fill="E5FFFF"/>
          </w:tcPr>
          <w:p>
            <w:pPr>
              <w:jc w:val="right"/>
              <w:ind w:right="140"/>
              <w:spacing w:after="0"/>
              <w:rPr>
                <w:sz w:val="20"/>
                <w:szCs w:val="20"/>
                <w:color w:val="auto"/>
              </w:rPr>
            </w:pPr>
            <w:r>
              <w:rPr>
                <w:rFonts w:ascii="Arial" w:cs="Arial" w:eastAsia="Arial" w:hAnsi="Arial"/>
                <w:sz w:val="16"/>
                <w:szCs w:val="16"/>
                <w:color w:val="auto"/>
              </w:rPr>
              <w:t>124,497</w:t>
            </w:r>
          </w:p>
        </w:tc>
      </w:tr>
      <w:tr>
        <w:trPr>
          <w:trHeight w:val="203"/>
        </w:trPr>
        <w:tc>
          <w:tcPr>
            <w:tcW w:w="3900" w:type="dxa"/>
            <w:vAlign w:val="bottom"/>
            <w:gridSpan w:val="2"/>
          </w:tcPr>
          <w:p>
            <w:pPr>
              <w:spacing w:after="0" w:line="20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1"/>
                <w:szCs w:val="21"/>
                <w:color w:val="auto"/>
                <w:vertAlign w:val="superscript"/>
              </w:rPr>
              <w:t>(3)</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1,952</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2,749</w:t>
            </w: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4,297</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6,329</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6,935</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62,669</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84,931</w:t>
            </w:r>
          </w:p>
        </w:tc>
      </w:tr>
      <w:tr>
        <w:trPr>
          <w:trHeight w:val="203"/>
        </w:trPr>
        <w:tc>
          <w:tcPr>
            <w:tcW w:w="3900" w:type="dxa"/>
            <w:vAlign w:val="bottom"/>
            <w:gridSpan w:val="2"/>
            <w:shd w:val="clear" w:color="auto" w:fill="E5FFFF"/>
          </w:tcPr>
          <w:p>
            <w:pPr>
              <w:spacing w:after="0"/>
              <w:rPr>
                <w:sz w:val="20"/>
                <w:szCs w:val="20"/>
                <w:color w:val="auto"/>
              </w:rPr>
            </w:pPr>
            <w:r>
              <w:rPr>
                <w:rFonts w:ascii="Arial" w:cs="Arial" w:eastAsia="Arial" w:hAnsi="Arial"/>
                <w:sz w:val="16"/>
                <w:szCs w:val="16"/>
                <w:color w:val="auto"/>
                <w:w w:val="98"/>
              </w:rPr>
              <w:t>Percentage of total contracted days/total available days</w:t>
            </w:r>
          </w:p>
        </w:tc>
        <w:tc>
          <w:tcPr>
            <w:tcW w:w="114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72.1%</w:t>
            </w:r>
          </w:p>
        </w:tc>
        <w:tc>
          <w:tcPr>
            <w:tcW w:w="11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72.1%</w:t>
            </w:r>
          </w:p>
        </w:tc>
        <w:tc>
          <w:tcPr>
            <w:tcW w:w="102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58.9%</w:t>
            </w:r>
          </w:p>
        </w:tc>
        <w:tc>
          <w:tcPr>
            <w:tcW w:w="1020" w:type="dxa"/>
            <w:vAlign w:val="bottom"/>
            <w:shd w:val="clear" w:color="auto" w:fill="E5FFFF"/>
          </w:tcPr>
          <w:p>
            <w:pPr>
              <w:jc w:val="right"/>
              <w:ind w:right="79"/>
              <w:spacing w:after="0"/>
              <w:rPr>
                <w:sz w:val="20"/>
                <w:szCs w:val="20"/>
                <w:color w:val="auto"/>
              </w:rPr>
            </w:pPr>
            <w:r>
              <w:rPr>
                <w:rFonts w:ascii="Arial" w:cs="Arial" w:eastAsia="Arial" w:hAnsi="Arial"/>
                <w:sz w:val="16"/>
                <w:szCs w:val="16"/>
                <w:color w:val="auto"/>
              </w:rPr>
              <w:t>41.2%</w:t>
            </w:r>
          </w:p>
        </w:tc>
        <w:tc>
          <w:tcPr>
            <w:tcW w:w="980" w:type="dxa"/>
            <w:vAlign w:val="bottom"/>
            <w:shd w:val="clear" w:color="auto" w:fill="E5FFFF"/>
          </w:tcPr>
          <w:p>
            <w:pPr>
              <w:jc w:val="right"/>
              <w:ind w:right="39"/>
              <w:spacing w:after="0"/>
              <w:rPr>
                <w:sz w:val="20"/>
                <w:szCs w:val="20"/>
                <w:color w:val="auto"/>
              </w:rPr>
            </w:pPr>
            <w:r>
              <w:rPr>
                <w:rFonts w:ascii="Arial" w:cs="Arial" w:eastAsia="Arial" w:hAnsi="Arial"/>
                <w:sz w:val="16"/>
                <w:szCs w:val="16"/>
                <w:color w:val="auto"/>
              </w:rPr>
              <w:t>36.7%</w:t>
            </w:r>
          </w:p>
        </w:tc>
        <w:tc>
          <w:tcPr>
            <w:tcW w:w="1300" w:type="dxa"/>
            <w:vAlign w:val="bottom"/>
            <w:shd w:val="clear" w:color="auto" w:fill="E5FFFF"/>
          </w:tcPr>
          <w:p>
            <w:pPr>
              <w:jc w:val="right"/>
              <w:ind w:right="99"/>
              <w:spacing w:after="0"/>
              <w:rPr>
                <w:sz w:val="20"/>
                <w:szCs w:val="20"/>
                <w:color w:val="auto"/>
              </w:rPr>
            </w:pPr>
            <w:r>
              <w:rPr>
                <w:rFonts w:ascii="Arial" w:cs="Arial" w:eastAsia="Arial" w:hAnsi="Arial"/>
                <w:sz w:val="16"/>
                <w:szCs w:val="16"/>
                <w:color w:val="auto"/>
              </w:rPr>
              <w:t>16.9%</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31.8%</w:t>
            </w:r>
          </w:p>
        </w:tc>
      </w:tr>
      <w:tr>
        <w:trPr>
          <w:trHeight w:val="324"/>
        </w:trPr>
        <w:tc>
          <w:tcPr>
            <w:tcW w:w="1400" w:type="dxa"/>
            <w:vAlign w:val="bottom"/>
            <w:tcBorders>
              <w:bottom w:val="single" w:sz="8" w:color="808080"/>
            </w:tcBorders>
          </w:tcPr>
          <w:p>
            <w:pPr>
              <w:spacing w:after="0"/>
              <w:rPr>
                <w:sz w:val="24"/>
                <w:szCs w:val="24"/>
                <w:color w:val="auto"/>
              </w:rPr>
            </w:pPr>
          </w:p>
        </w:tc>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305" w:lineRule="exact"/>
        <w:rPr>
          <w:sz w:val="20"/>
          <w:szCs w:val="20"/>
          <w:color w:val="auto"/>
        </w:rPr>
      </w:pPr>
    </w:p>
    <w:p>
      <w:pPr>
        <w:ind w:left="200" w:right="100" w:hanging="192"/>
        <w:spacing w:after="0" w:line="230" w:lineRule="auto"/>
        <w:tabs>
          <w:tab w:leader="none" w:pos="191"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 xml:space="preserve">Reflects time charter revenues and contracted days for seven of our currently wholly owned ships, the 13 ships currently owned by the Partnership, the bareboat vessel and two of our four newbuildings on order for which we have secured time charters. Does not include charter revenues for the vessels operating in the spot/short-term market under the Cool Pool agreement and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 minority interest. Contracted revenue calculations assume: (a) 365 revenue days per annum, with 30 off-hire days when the ship undergoes</w:t>
      </w:r>
      <w:r>
        <w:rPr>
          <w:rFonts w:ascii="Arial" w:cs="Arial" w:eastAsia="Arial" w:hAnsi="Arial"/>
          <w:sz w:val="13"/>
          <w:szCs w:val="13"/>
          <w:i w:val="1"/>
          <w:iCs w:val="1"/>
          <w:color w:val="auto"/>
        </w:rPr>
        <w:t xml:space="preserve"> </w:t>
      </w:r>
      <w:r>
        <w:rPr>
          <w:rFonts w:ascii="Arial" w:cs="Arial" w:eastAsia="Arial" w:hAnsi="Arial"/>
          <w:sz w:val="13"/>
          <w:szCs w:val="13"/>
          <w:color w:val="auto"/>
        </w:rPr>
        <w:t>scheduled dry-docking (every five years). We have also assumed ten additional off-hire days for the enhancements of three vessels; (b) all LNG carriers on order are delivered on schedule; and</w:t>
      </w:r>
    </w:p>
    <w:p>
      <w:pPr>
        <w:ind w:left="200" w:right="100"/>
        <w:spacing w:after="0" w:line="229" w:lineRule="auto"/>
        <w:rPr>
          <w:rFonts w:ascii="Arial" w:cs="Arial" w:eastAsia="Arial" w:hAnsi="Arial"/>
          <w:sz w:val="16"/>
          <w:szCs w:val="16"/>
          <w:color w:val="auto"/>
          <w:vertAlign w:val="superscript"/>
        </w:rPr>
      </w:pPr>
      <w:r>
        <w:rPr>
          <w:rFonts w:ascii="Arial" w:cs="Arial" w:eastAsia="Arial" w:hAnsi="Arial"/>
          <w:sz w:val="14"/>
          <w:szCs w:val="14"/>
          <w:color w:val="auto"/>
        </w:rPr>
        <w:t>(c)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183" w:lineRule="exact"/>
        <w:rPr>
          <w:rFonts w:ascii="Arial" w:cs="Arial" w:eastAsia="Arial" w:hAnsi="Arial"/>
          <w:sz w:val="16"/>
          <w:szCs w:val="16"/>
          <w:color w:val="auto"/>
          <w:vertAlign w:val="superscript"/>
        </w:rPr>
      </w:pPr>
    </w:p>
    <w:p>
      <w:pPr>
        <w:ind w:left="200" w:right="660" w:hanging="192"/>
        <w:spacing w:after="0" w:line="215"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Available days represent total calendar days after deducting 30 off-hire days when the ship undergoes scheduled dry-docking. We have also assumed ten additional off-hire days for the enhancements of three vessels. The available days for the vessels operating in the spot/short-term market are included.</w:t>
      </w:r>
    </w:p>
    <w:p>
      <w:pPr>
        <w:spacing w:after="0" w:line="183" w:lineRule="exact"/>
        <w:rPr>
          <w:rFonts w:ascii="Arial" w:cs="Arial" w:eastAsia="Arial" w:hAnsi="Arial"/>
          <w:sz w:val="18"/>
          <w:szCs w:val="18"/>
          <w:color w:val="auto"/>
          <w:vertAlign w:val="superscript"/>
        </w:rPr>
      </w:pPr>
    </w:p>
    <w:p>
      <w:pPr>
        <w:ind w:left="200" w:right="140" w:hanging="192"/>
        <w:spacing w:after="0" w:line="215" w:lineRule="auto"/>
        <w:tabs>
          <w:tab w:leader="none" w:pos="191"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192" w:lineRule="exact"/>
        <w:rPr>
          <w:sz w:val="20"/>
          <w:szCs w:val="20"/>
          <w:color w:val="auto"/>
        </w:rPr>
      </w:pPr>
    </w:p>
    <w:p>
      <w:pPr>
        <w:ind w:right="40" w:firstLine="356"/>
        <w:spacing w:after="0" w:line="288" w:lineRule="auto"/>
        <w:rPr>
          <w:sz w:val="20"/>
          <w:szCs w:val="20"/>
          <w:color w:val="auto"/>
        </w:rPr>
      </w:pPr>
      <w:r>
        <w:rPr>
          <w:rFonts w:ascii="Arial" w:cs="Arial" w:eastAsia="Arial" w:hAnsi="Arial"/>
          <w:sz w:val="15"/>
          <w:szCs w:val="15"/>
          <w:color w:val="auto"/>
        </w:rPr>
        <w:t>Other than the assumptions reflected in the footnotes to the table, including our assumption that our newbuildings are delivered on schedule, the table does not reflect events occurring after March 31, 2018.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five vessels that are operating in the Cool Pool, any additional ships we may acquire in the future, nor does it reflect the options under our time charters that permit our charterers to extend the time charter terms for successive multi-year periods. The entry into time charter contracts for the five vessels that are operating in the Cool Pool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February 28, 2018.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239" w:lineRule="exact"/>
        <w:rPr>
          <w:sz w:val="20"/>
          <w:szCs w:val="20"/>
          <w:color w:val="auto"/>
        </w:rPr>
      </w:pPr>
    </w:p>
    <w:p>
      <w:pPr>
        <w:ind w:right="520" w:firstLine="356"/>
        <w:spacing w:after="0" w:line="329" w:lineRule="auto"/>
        <w:rPr>
          <w:sz w:val="20"/>
          <w:szCs w:val="20"/>
          <w:color w:val="auto"/>
        </w:rPr>
      </w:pPr>
      <w:r>
        <w:rPr>
          <w:rFonts w:ascii="Arial" w:cs="Arial" w:eastAsia="Arial" w:hAnsi="Arial"/>
          <w:sz w:val="15"/>
          <w:szCs w:val="15"/>
          <w:color w:val="auto"/>
        </w:rPr>
        <w:t>For a description of all of our significant accounting policies, see Note 2 of our annual audited consolidated financial statements included in our Annual Report on Form 20-F filed on February 28, 2018 and Note 2 of our unaudited condensed consolidated financial statements included elsewhere in this report.</w:t>
      </w:r>
    </w:p>
    <w:p>
      <w:pPr>
        <w:sectPr>
          <w:pgSz w:w="11900" w:h="16838" w:orient="portrait"/>
          <w:cols w:equalWidth="0" w:num="1">
            <w:col w:w="11420"/>
          </w:cols>
          <w:pgMar w:left="240" w:top="130" w:right="239" w:bottom="0" w:gutter="0" w:footer="0" w:header="0"/>
        </w:sectPr>
      </w:pPr>
    </w:p>
    <w:bookmarkStart w:id="18" w:name="page19"/>
    <w:bookmarkEnd w:id="18"/>
    <w:p>
      <w:pPr>
        <w:jc w:val="center"/>
        <w:ind w:right="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40" w:type="dxa"/>
            <w:vAlign w:val="bottom"/>
            <w:gridSpan w:val="6"/>
          </w:tcPr>
          <w:p>
            <w:pPr>
              <w:jc w:val="center"/>
              <w:ind w:right="1080"/>
              <w:spacing w:after="0"/>
              <w:rPr>
                <w:sz w:val="20"/>
                <w:szCs w:val="20"/>
                <w:color w:val="auto"/>
              </w:rPr>
            </w:pPr>
            <w:r>
              <w:rPr>
                <w:rFonts w:ascii="Arial" w:cs="Arial" w:eastAsia="Arial" w:hAnsi="Arial"/>
                <w:sz w:val="16"/>
                <w:szCs w:val="16"/>
                <w:b w:val="1"/>
                <w:bCs w:val="1"/>
                <w:color w:val="auto"/>
              </w:rPr>
              <w:t>GASLOG LTD.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9880" w:type="dxa"/>
            <w:vAlign w:val="bottom"/>
            <w:gridSpan w:val="14"/>
          </w:tcPr>
          <w:p>
            <w:pPr>
              <w:ind w:left="3400"/>
              <w:spacing w:after="0"/>
              <w:rPr>
                <w:sz w:val="20"/>
                <w:szCs w:val="20"/>
                <w:color w:val="auto"/>
              </w:rPr>
            </w:pPr>
            <w:r>
              <w:rPr>
                <w:rFonts w:ascii="Arial" w:cs="Arial" w:eastAsia="Arial" w:hAnsi="Arial"/>
                <w:sz w:val="16"/>
                <w:szCs w:val="16"/>
                <w:b w:val="1"/>
                <w:bCs w:val="1"/>
                <w:color w:val="auto"/>
              </w:rPr>
              <w:t>INDEX TO UNAUDITED CONDENSED CONSOLIDATED FINANCIAL STATEMENTS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6"/>
                <w:szCs w:val="16"/>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600" w:type="dxa"/>
            <w:vAlign w:val="bottom"/>
            <w:gridSpan w:val="8"/>
            <w:shd w:val="clear" w:color="auto" w:fill="E5FFFF"/>
          </w:tcPr>
          <w:p>
            <w:pPr>
              <w:spacing w:after="0" w:line="162" w:lineRule="exact"/>
              <w:rPr>
                <w:sz w:val="20"/>
                <w:szCs w:val="20"/>
                <w:color w:val="auto"/>
              </w:rPr>
            </w:pPr>
            <w:r>
              <w:rPr>
                <w:rFonts w:ascii="Arial" w:cs="Arial" w:eastAsia="Arial" w:hAnsi="Arial"/>
                <w:sz w:val="16"/>
                <w:szCs w:val="16"/>
                <w:color w:val="0000FF"/>
                <w:w w:val="94"/>
              </w:rPr>
              <w:t>Unaudited condensed consolidated statements of financial position as of December 31, 2017 and March 31, 2018</w:t>
            </w:r>
          </w:p>
        </w:tc>
        <w:tc>
          <w:tcPr>
            <w:tcW w:w="20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64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320" w:type="dxa"/>
            <w:vAlign w:val="bottom"/>
            <w:gridSpan w:val="3"/>
            <w:shd w:val="clear" w:color="auto" w:fill="E5FFFF"/>
          </w:tcPr>
          <w:p>
            <w:pPr>
              <w:jc w:val="right"/>
              <w:ind w:right="540"/>
              <w:spacing w:after="0" w:line="162" w:lineRule="exact"/>
              <w:rPr>
                <w:sz w:val="20"/>
                <w:szCs w:val="20"/>
                <w:color w:val="auto"/>
              </w:rPr>
            </w:pPr>
            <w:r>
              <w:rPr>
                <w:rFonts w:ascii="Arial" w:cs="Arial" w:eastAsia="Arial" w:hAnsi="Arial"/>
                <w:sz w:val="16"/>
                <w:szCs w:val="16"/>
                <w:color w:val="auto"/>
              </w:rPr>
              <w:t>F-2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60" w:type="dxa"/>
            <w:vAlign w:val="bottom"/>
            <w:tcBorders>
              <w:top w:val="single" w:sz="8" w:color="0000FF"/>
            </w:tcBorders>
            <w:shd w:val="clear" w:color="auto" w:fill="E5FFFF"/>
          </w:tcPr>
          <w:p>
            <w:pPr>
              <w:spacing w:after="0" w:line="20" w:lineRule="exact"/>
              <w:rPr>
                <w:sz w:val="1"/>
                <w:szCs w:val="1"/>
                <w:color w:val="auto"/>
              </w:rPr>
            </w:pPr>
          </w:p>
        </w:tc>
        <w:tc>
          <w:tcPr>
            <w:tcW w:w="500" w:type="dxa"/>
            <w:vAlign w:val="bottom"/>
            <w:tcBorders>
              <w:top w:val="single" w:sz="8" w:color="0000FF"/>
            </w:tcBorders>
            <w:shd w:val="clear" w:color="auto" w:fill="E5FFFF"/>
          </w:tcPr>
          <w:p>
            <w:pPr>
              <w:spacing w:after="0" w:line="20" w:lineRule="exact"/>
              <w:rPr>
                <w:sz w:val="1"/>
                <w:szCs w:val="1"/>
                <w:color w:val="auto"/>
              </w:rPr>
            </w:pPr>
          </w:p>
        </w:tc>
        <w:tc>
          <w:tcPr>
            <w:tcW w:w="1760" w:type="dxa"/>
            <w:vAlign w:val="bottom"/>
            <w:tcBorders>
              <w:top w:val="single" w:sz="8" w:color="0000FF"/>
            </w:tcBorders>
            <w:shd w:val="clear" w:color="auto" w:fill="E5FFFF"/>
          </w:tcPr>
          <w:p>
            <w:pPr>
              <w:spacing w:after="0" w:line="20" w:lineRule="exact"/>
              <w:rPr>
                <w:sz w:val="1"/>
                <w:szCs w:val="1"/>
                <w:color w:val="auto"/>
              </w:rPr>
            </w:pPr>
          </w:p>
        </w:tc>
        <w:tc>
          <w:tcPr>
            <w:tcW w:w="680" w:type="dxa"/>
            <w:vAlign w:val="bottom"/>
            <w:tcBorders>
              <w:top w:val="single" w:sz="8" w:color="0000FF"/>
            </w:tcBorders>
            <w:shd w:val="clear" w:color="auto" w:fill="E5FFFF"/>
          </w:tcPr>
          <w:p>
            <w:pPr>
              <w:spacing w:after="0" w:line="20" w:lineRule="exact"/>
              <w:rPr>
                <w:sz w:val="1"/>
                <w:szCs w:val="1"/>
                <w:color w:val="auto"/>
              </w:rPr>
            </w:pPr>
          </w:p>
        </w:tc>
        <w:tc>
          <w:tcPr>
            <w:tcW w:w="20" w:type="dxa"/>
            <w:vAlign w:val="bottom"/>
            <w:tcBorders>
              <w:top w:val="single" w:sz="8" w:color="0000FF"/>
            </w:tcBorders>
            <w:shd w:val="clear" w:color="auto" w:fill="E5FFFF"/>
          </w:tcPr>
          <w:p>
            <w:pPr>
              <w:spacing w:after="0" w:line="20" w:lineRule="exact"/>
              <w:rPr>
                <w:sz w:val="1"/>
                <w:szCs w:val="1"/>
                <w:color w:val="auto"/>
              </w:rPr>
            </w:pPr>
          </w:p>
        </w:tc>
        <w:tc>
          <w:tcPr>
            <w:tcW w:w="40" w:type="dxa"/>
            <w:vAlign w:val="bottom"/>
            <w:tcBorders>
              <w:top w:val="single" w:sz="8" w:color="E5FFFF"/>
            </w:tcBorders>
            <w:shd w:val="clear" w:color="auto" w:fill="E5FFFF"/>
          </w:tcPr>
          <w:p>
            <w:pPr>
              <w:spacing w:after="0" w:line="20" w:lineRule="exact"/>
              <w:rPr>
                <w:sz w:val="1"/>
                <w:szCs w:val="1"/>
                <w:color w:val="auto"/>
              </w:rPr>
            </w:pPr>
          </w:p>
        </w:tc>
        <w:tc>
          <w:tcPr>
            <w:tcW w:w="14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640" w:type="dxa"/>
            <w:vAlign w:val="bottom"/>
            <w:tcBorders>
              <w:top w:val="single" w:sz="8" w:color="E5FFFF"/>
            </w:tcBorders>
            <w:shd w:val="clear" w:color="auto" w:fill="E5FFFF"/>
          </w:tcPr>
          <w:p>
            <w:pPr>
              <w:spacing w:after="0" w:line="20" w:lineRule="exact"/>
              <w:rPr>
                <w:sz w:val="1"/>
                <w:szCs w:val="1"/>
                <w:color w:val="auto"/>
              </w:rPr>
            </w:pPr>
          </w:p>
        </w:tc>
        <w:tc>
          <w:tcPr>
            <w:tcW w:w="66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1220" w:type="dxa"/>
            <w:vAlign w:val="bottom"/>
            <w:tcBorders>
              <w:top w:val="single" w:sz="8" w:color="E5FFFF"/>
            </w:tcBorders>
            <w:shd w:val="clear" w:color="auto" w:fill="E5FFFF"/>
          </w:tcPr>
          <w:p>
            <w:pPr>
              <w:spacing w:after="0" w:line="20" w:lineRule="exact"/>
              <w:rPr>
                <w:sz w:val="1"/>
                <w:szCs w:val="1"/>
                <w:color w:val="auto"/>
              </w:rPr>
            </w:pPr>
          </w:p>
        </w:tc>
        <w:tc>
          <w:tcPr>
            <w:tcW w:w="2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7600" w:type="dxa"/>
            <w:vAlign w:val="bottom"/>
            <w:gridSpan w:val="8"/>
          </w:tcPr>
          <w:p>
            <w:pPr>
              <w:spacing w:after="0" w:line="162" w:lineRule="exact"/>
              <w:rPr>
                <w:sz w:val="20"/>
                <w:szCs w:val="20"/>
                <w:color w:val="auto"/>
              </w:rPr>
            </w:pPr>
            <w:r>
              <w:rPr>
                <w:rFonts w:ascii="Arial" w:cs="Arial" w:eastAsia="Arial" w:hAnsi="Arial"/>
                <w:sz w:val="16"/>
                <w:szCs w:val="16"/>
                <w:color w:val="0000FF"/>
                <w:w w:val="91"/>
              </w:rPr>
              <w:t>Unaudited condensed consolidated statements of profit or loss for the three months ended March 31, 2017 and 2018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ind w:right="540"/>
              <w:spacing w:after="0" w:line="162" w:lineRule="exact"/>
              <w:rPr>
                <w:sz w:val="20"/>
                <w:szCs w:val="20"/>
                <w:color w:val="auto"/>
              </w:rPr>
            </w:pPr>
            <w:r>
              <w:rPr>
                <w:rFonts w:ascii="Arial" w:cs="Arial" w:eastAsia="Arial" w:hAnsi="Arial"/>
                <w:sz w:val="16"/>
                <w:szCs w:val="16"/>
                <w:color w:val="auto"/>
              </w:rPr>
              <w:t>F-3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880" w:type="dxa"/>
            <w:vAlign w:val="bottom"/>
            <w:gridSpan w:val="14"/>
            <w:shd w:val="clear" w:color="auto" w:fill="E5FFFF"/>
          </w:tcPr>
          <w:p>
            <w:pPr>
              <w:spacing w:after="0" w:line="162" w:lineRule="exact"/>
              <w:rPr>
                <w:sz w:val="20"/>
                <w:szCs w:val="20"/>
                <w:color w:val="auto"/>
              </w:rPr>
            </w:pPr>
            <w:r>
              <w:rPr>
                <w:rFonts w:ascii="Arial" w:cs="Arial" w:eastAsia="Arial" w:hAnsi="Arial"/>
                <w:sz w:val="16"/>
                <w:szCs w:val="16"/>
                <w:color w:val="0000FF"/>
              </w:rPr>
              <w:t>Unaudited condensed consolidated statements of comprehensive income or loss for the three months ended March 31, 2017 and 2018</w:t>
            </w:r>
          </w:p>
        </w:tc>
        <w:tc>
          <w:tcPr>
            <w:tcW w:w="200" w:type="dxa"/>
            <w:vAlign w:val="bottom"/>
            <w:shd w:val="clear" w:color="auto" w:fill="E5FFFF"/>
          </w:tcPr>
          <w:p>
            <w:pPr>
              <w:spacing w:after="0"/>
              <w:rPr>
                <w:sz w:val="15"/>
                <w:szCs w:val="15"/>
                <w:color w:val="auto"/>
              </w:rPr>
            </w:pPr>
          </w:p>
        </w:tc>
        <w:tc>
          <w:tcPr>
            <w:tcW w:w="1320" w:type="dxa"/>
            <w:vAlign w:val="bottom"/>
            <w:gridSpan w:val="3"/>
            <w:shd w:val="clear" w:color="auto" w:fill="E5FFFF"/>
          </w:tcPr>
          <w:p>
            <w:pPr>
              <w:jc w:val="right"/>
              <w:ind w:right="540"/>
              <w:spacing w:after="0" w:line="162" w:lineRule="exact"/>
              <w:rPr>
                <w:sz w:val="20"/>
                <w:szCs w:val="20"/>
                <w:color w:val="auto"/>
              </w:rPr>
            </w:pPr>
            <w:r>
              <w:rPr>
                <w:rFonts w:ascii="Arial" w:cs="Arial" w:eastAsia="Arial" w:hAnsi="Arial"/>
                <w:sz w:val="16"/>
                <w:szCs w:val="16"/>
                <w:color w:val="auto"/>
              </w:rPr>
              <w:t>F-4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40" w:type="dxa"/>
            <w:vAlign w:val="bottom"/>
            <w:tcBorders>
              <w:top w:val="single" w:sz="8" w:color="0000FF"/>
            </w:tcBorders>
            <w:gridSpan w:val="11"/>
          </w:tcPr>
          <w:p>
            <w:pPr>
              <w:spacing w:after="0" w:line="162" w:lineRule="exact"/>
              <w:rPr>
                <w:sz w:val="20"/>
                <w:szCs w:val="20"/>
                <w:color w:val="auto"/>
              </w:rPr>
            </w:pPr>
            <w:r>
              <w:rPr>
                <w:rFonts w:ascii="Arial" w:cs="Arial" w:eastAsia="Arial" w:hAnsi="Arial"/>
                <w:sz w:val="16"/>
                <w:szCs w:val="16"/>
                <w:color w:val="0000FF"/>
                <w:w w:val="99"/>
              </w:rPr>
              <w:t>Unaudited condensed consolidated statements of changes in equity for the three months ended March 31, 2017 and 2018</w:t>
            </w:r>
          </w:p>
        </w:tc>
        <w:tc>
          <w:tcPr>
            <w:tcW w:w="1240" w:type="dxa"/>
            <w:vAlign w:val="bottom"/>
            <w:tcBorders>
              <w:top w:val="single" w:sz="8" w:color="E5FFFF"/>
            </w:tcBorders>
            <w:gridSpan w:val="3"/>
          </w:tcPr>
          <w:p>
            <w:pPr>
              <w:spacing w:after="0"/>
              <w:rPr>
                <w:sz w:val="14"/>
                <w:szCs w:val="14"/>
                <w:color w:val="auto"/>
              </w:rPr>
            </w:pPr>
          </w:p>
        </w:tc>
        <w:tc>
          <w:tcPr>
            <w:tcW w:w="200" w:type="dxa"/>
            <w:vAlign w:val="bottom"/>
            <w:tcBorders>
              <w:top w:val="single" w:sz="8" w:color="E5FFFF"/>
            </w:tcBorders>
          </w:tcPr>
          <w:p>
            <w:pPr>
              <w:spacing w:after="0"/>
              <w:rPr>
                <w:sz w:val="14"/>
                <w:szCs w:val="14"/>
                <w:color w:val="auto"/>
              </w:rPr>
            </w:pPr>
          </w:p>
        </w:tc>
        <w:tc>
          <w:tcPr>
            <w:tcW w:w="1320" w:type="dxa"/>
            <w:vAlign w:val="bottom"/>
            <w:tcBorders>
              <w:top w:val="single" w:sz="8" w:color="E5FFFF"/>
            </w:tcBorders>
            <w:gridSpan w:val="3"/>
          </w:tcPr>
          <w:p>
            <w:pPr>
              <w:jc w:val="right"/>
              <w:ind w:right="540"/>
              <w:spacing w:after="0" w:line="162" w:lineRule="exact"/>
              <w:rPr>
                <w:sz w:val="20"/>
                <w:szCs w:val="20"/>
                <w:color w:val="auto"/>
              </w:rPr>
            </w:pPr>
            <w:r>
              <w:rPr>
                <w:rFonts w:ascii="Arial" w:cs="Arial" w:eastAsia="Arial" w:hAnsi="Arial"/>
                <w:sz w:val="16"/>
                <w:szCs w:val="16"/>
                <w:color w:val="auto"/>
              </w:rPr>
              <w:t>F-5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3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600" w:type="dxa"/>
            <w:vAlign w:val="bottom"/>
            <w:gridSpan w:val="8"/>
            <w:shd w:val="clear" w:color="auto" w:fill="E5FFFF"/>
          </w:tcPr>
          <w:p>
            <w:pPr>
              <w:spacing w:after="0" w:line="162" w:lineRule="exact"/>
              <w:rPr>
                <w:sz w:val="20"/>
                <w:szCs w:val="20"/>
                <w:color w:val="auto"/>
              </w:rPr>
            </w:pPr>
            <w:r>
              <w:rPr>
                <w:rFonts w:ascii="Arial" w:cs="Arial" w:eastAsia="Arial" w:hAnsi="Arial"/>
                <w:sz w:val="16"/>
                <w:szCs w:val="16"/>
                <w:color w:val="0000FF"/>
                <w:w w:val="93"/>
              </w:rPr>
              <w:t>Unaudited condensed consolidated statements of cash flows for the three months ended March 31, 2017 and 2018</w:t>
            </w:r>
          </w:p>
        </w:tc>
        <w:tc>
          <w:tcPr>
            <w:tcW w:w="20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66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320" w:type="dxa"/>
            <w:vAlign w:val="bottom"/>
            <w:gridSpan w:val="3"/>
            <w:shd w:val="clear" w:color="auto" w:fill="E5FFFF"/>
          </w:tcPr>
          <w:p>
            <w:pPr>
              <w:jc w:val="right"/>
              <w:ind w:right="540"/>
              <w:spacing w:after="0" w:line="162" w:lineRule="exact"/>
              <w:rPr>
                <w:sz w:val="20"/>
                <w:szCs w:val="20"/>
                <w:color w:val="auto"/>
              </w:rPr>
            </w:pPr>
            <w:r>
              <w:rPr>
                <w:rFonts w:ascii="Arial" w:cs="Arial" w:eastAsia="Arial" w:hAnsi="Arial"/>
                <w:sz w:val="16"/>
                <w:szCs w:val="16"/>
                <w:color w:val="auto"/>
              </w:rPr>
              <w:t>F-6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60" w:type="dxa"/>
            <w:vAlign w:val="bottom"/>
            <w:tcBorders>
              <w:top w:val="single" w:sz="8" w:color="0000FF"/>
            </w:tcBorders>
            <w:gridSpan w:val="2"/>
          </w:tcPr>
          <w:p>
            <w:pPr>
              <w:spacing w:after="0" w:line="162" w:lineRule="exact"/>
              <w:rPr>
                <w:sz w:val="20"/>
                <w:szCs w:val="20"/>
                <w:color w:val="auto"/>
              </w:rPr>
            </w:pPr>
            <w:r>
              <w:rPr>
                <w:rFonts w:ascii="Arial" w:cs="Arial" w:eastAsia="Arial" w:hAnsi="Arial"/>
                <w:sz w:val="16"/>
                <w:szCs w:val="16"/>
                <w:color w:val="0000FF"/>
              </w:rPr>
              <w:t>Notes to the unaudited condensed consolidated financial statements</w:t>
            </w:r>
          </w:p>
        </w:tc>
        <w:tc>
          <w:tcPr>
            <w:tcW w:w="176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E5FFFF"/>
            </w:tcBorders>
          </w:tcPr>
          <w:p>
            <w:pPr>
              <w:spacing w:after="0"/>
              <w:rPr>
                <w:sz w:val="14"/>
                <w:szCs w:val="14"/>
                <w:color w:val="auto"/>
              </w:rPr>
            </w:pPr>
          </w:p>
        </w:tc>
        <w:tc>
          <w:tcPr>
            <w:tcW w:w="100" w:type="dxa"/>
            <w:vAlign w:val="bottom"/>
            <w:tcBorders>
              <w:top w:val="single" w:sz="8" w:color="E5FFFF"/>
            </w:tcBorders>
          </w:tcPr>
          <w:p>
            <w:pPr>
              <w:spacing w:after="0"/>
              <w:rPr>
                <w:sz w:val="14"/>
                <w:szCs w:val="14"/>
                <w:color w:val="auto"/>
              </w:rPr>
            </w:pPr>
          </w:p>
        </w:tc>
        <w:tc>
          <w:tcPr>
            <w:tcW w:w="200" w:type="dxa"/>
            <w:vAlign w:val="bottom"/>
            <w:tcBorders>
              <w:top w:val="single" w:sz="8" w:color="E5FFFF"/>
            </w:tcBorders>
          </w:tcPr>
          <w:p>
            <w:pPr>
              <w:spacing w:after="0"/>
              <w:rPr>
                <w:sz w:val="14"/>
                <w:szCs w:val="14"/>
                <w:color w:val="auto"/>
              </w:rPr>
            </w:pPr>
          </w:p>
        </w:tc>
        <w:tc>
          <w:tcPr>
            <w:tcW w:w="200" w:type="dxa"/>
            <w:vAlign w:val="bottom"/>
            <w:tcBorders>
              <w:top w:val="single" w:sz="8" w:color="E5FFFF"/>
            </w:tcBorders>
          </w:tcPr>
          <w:p>
            <w:pPr>
              <w:spacing w:after="0"/>
              <w:rPr>
                <w:sz w:val="14"/>
                <w:szCs w:val="14"/>
                <w:color w:val="auto"/>
              </w:rPr>
            </w:pPr>
          </w:p>
        </w:tc>
        <w:tc>
          <w:tcPr>
            <w:tcW w:w="640" w:type="dxa"/>
            <w:vAlign w:val="bottom"/>
            <w:tcBorders>
              <w:top w:val="single" w:sz="8" w:color="E5FFFF"/>
            </w:tcBorders>
          </w:tcPr>
          <w:p>
            <w:pPr>
              <w:spacing w:after="0"/>
              <w:rPr>
                <w:sz w:val="14"/>
                <w:szCs w:val="14"/>
                <w:color w:val="auto"/>
              </w:rPr>
            </w:pPr>
          </w:p>
        </w:tc>
        <w:tc>
          <w:tcPr>
            <w:tcW w:w="660" w:type="dxa"/>
            <w:vAlign w:val="bottom"/>
            <w:tcBorders>
              <w:top w:val="single" w:sz="8" w:color="E5FFFF"/>
            </w:tcBorders>
          </w:tcPr>
          <w:p>
            <w:pPr>
              <w:spacing w:after="0"/>
              <w:rPr>
                <w:sz w:val="14"/>
                <w:szCs w:val="14"/>
                <w:color w:val="auto"/>
              </w:rPr>
            </w:pPr>
          </w:p>
        </w:tc>
        <w:tc>
          <w:tcPr>
            <w:tcW w:w="300" w:type="dxa"/>
            <w:vAlign w:val="bottom"/>
            <w:tcBorders>
              <w:top w:val="single" w:sz="8" w:color="E5FFFF"/>
            </w:tcBorders>
          </w:tcPr>
          <w:p>
            <w:pPr>
              <w:spacing w:after="0"/>
              <w:rPr>
                <w:sz w:val="14"/>
                <w:szCs w:val="14"/>
                <w:color w:val="auto"/>
              </w:rPr>
            </w:pPr>
          </w:p>
        </w:tc>
        <w:tc>
          <w:tcPr>
            <w:tcW w:w="280" w:type="dxa"/>
            <w:vAlign w:val="bottom"/>
            <w:tcBorders>
              <w:top w:val="single" w:sz="8" w:color="E5FFFF"/>
            </w:tcBorders>
          </w:tcPr>
          <w:p>
            <w:pPr>
              <w:spacing w:after="0"/>
              <w:rPr>
                <w:sz w:val="14"/>
                <w:szCs w:val="14"/>
                <w:color w:val="auto"/>
              </w:rPr>
            </w:pPr>
          </w:p>
        </w:tc>
        <w:tc>
          <w:tcPr>
            <w:tcW w:w="200" w:type="dxa"/>
            <w:vAlign w:val="bottom"/>
            <w:tcBorders>
              <w:top w:val="single" w:sz="8" w:color="E5FFFF"/>
            </w:tcBorders>
          </w:tcPr>
          <w:p>
            <w:pPr>
              <w:spacing w:after="0"/>
              <w:rPr>
                <w:sz w:val="14"/>
                <w:szCs w:val="14"/>
                <w:color w:val="auto"/>
              </w:rPr>
            </w:pPr>
          </w:p>
        </w:tc>
        <w:tc>
          <w:tcPr>
            <w:tcW w:w="1320" w:type="dxa"/>
            <w:vAlign w:val="bottom"/>
            <w:tcBorders>
              <w:top w:val="single" w:sz="8" w:color="E5FFFF"/>
            </w:tcBorders>
            <w:gridSpan w:val="3"/>
          </w:tcPr>
          <w:p>
            <w:pPr>
              <w:jc w:val="right"/>
              <w:ind w:right="540"/>
              <w:spacing w:after="0" w:line="162" w:lineRule="exact"/>
              <w:rPr>
                <w:sz w:val="20"/>
                <w:szCs w:val="20"/>
                <w:color w:val="auto"/>
              </w:rPr>
            </w:pPr>
            <w:r>
              <w:rPr>
                <w:rFonts w:ascii="Arial" w:cs="Arial" w:eastAsia="Arial" w:hAnsi="Arial"/>
                <w:sz w:val="16"/>
                <w:szCs w:val="16"/>
                <w:color w:val="auto"/>
              </w:rPr>
              <w:t>F-7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43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gridSpan w:val="6"/>
          </w:tcPr>
          <w:p>
            <w:pPr>
              <w:jc w:val="center"/>
              <w:ind w:right="1080"/>
              <w:spacing w:after="0"/>
              <w:rPr>
                <w:sz w:val="20"/>
                <w:szCs w:val="20"/>
                <w:color w:val="auto"/>
              </w:rPr>
            </w:pPr>
            <w:r>
              <w:rPr>
                <w:rFonts w:ascii="Arial" w:cs="Arial" w:eastAsia="Arial" w:hAnsi="Arial"/>
                <w:sz w:val="16"/>
                <w:szCs w:val="16"/>
                <w:color w:val="auto"/>
                <w:w w:val="91"/>
              </w:rPr>
              <w:t>F-1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380" w:type="dxa"/>
            <w:vAlign w:val="bottom"/>
            <w:tcBorders>
              <w:bottom w:val="single" w:sz="8" w:color="808080"/>
            </w:tcBorders>
            <w:gridSpan w:val="2"/>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1"/>
        </w:trPr>
        <w:tc>
          <w:tcPr>
            <w:tcW w:w="4880" w:type="dxa"/>
            <w:vAlign w:val="bottom"/>
            <w:gridSpan w:val="3"/>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880" w:type="dxa"/>
            <w:vAlign w:val="bottom"/>
            <w:gridSpan w:val="3"/>
          </w:tcPr>
          <w:p>
            <w:pPr>
              <w:spacing w:after="0"/>
              <w:rPr>
                <w:sz w:val="20"/>
                <w:szCs w:val="20"/>
                <w:color w:val="auto"/>
              </w:rPr>
            </w:pPr>
            <w:r>
              <w:rPr>
                <w:rFonts w:ascii="Arial" w:cs="Arial" w:eastAsia="Arial" w:hAnsi="Arial"/>
                <w:sz w:val="16"/>
                <w:szCs w:val="16"/>
                <w:b w:val="1"/>
                <w:bCs w:val="1"/>
                <w:color w:val="auto"/>
                <w:w w:val="94"/>
              </w:rPr>
              <w:t>Unaudited condensed consolidated statements of financial position</w:t>
            </w: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8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 2017 and March 31, 2018</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3"/>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gridSpan w:val="5"/>
          </w:tcPr>
          <w:p>
            <w:pPr>
              <w:ind w:left="180"/>
              <w:spacing w:after="0"/>
              <w:rPr>
                <w:sz w:val="20"/>
                <w:szCs w:val="20"/>
                <w:color w:val="auto"/>
              </w:rPr>
            </w:pPr>
            <w:r>
              <w:rPr>
                <w:rFonts w:ascii="Arial" w:cs="Arial" w:eastAsia="Arial" w:hAnsi="Arial"/>
                <w:sz w:val="16"/>
                <w:szCs w:val="16"/>
                <w:b w:val="1"/>
                <w:bCs w:val="1"/>
                <w:color w:val="auto"/>
              </w:rPr>
              <w:t>Note</w:t>
            </w:r>
          </w:p>
        </w:tc>
        <w:tc>
          <w:tcPr>
            <w:tcW w:w="2280" w:type="dxa"/>
            <w:vAlign w:val="bottom"/>
            <w:gridSpan w:val="6"/>
          </w:tcPr>
          <w:p>
            <w:pPr>
              <w:ind w:left="200"/>
              <w:spacing w:after="0"/>
              <w:rPr>
                <w:sz w:val="20"/>
                <w:szCs w:val="20"/>
                <w:color w:val="auto"/>
              </w:rPr>
            </w:pPr>
            <w:r>
              <w:rPr>
                <w:rFonts w:ascii="Arial" w:cs="Arial" w:eastAsia="Arial" w:hAnsi="Arial"/>
                <w:sz w:val="16"/>
                <w:szCs w:val="16"/>
                <w:b w:val="1"/>
                <w:bCs w:val="1"/>
                <w:color w:val="auto"/>
              </w:rPr>
              <w:t>December 31, 2017</w:t>
            </w:r>
          </w:p>
        </w:tc>
        <w:tc>
          <w:tcPr>
            <w:tcW w:w="152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w w:val="94"/>
              </w:rPr>
              <w:t>March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1760" w:type="dxa"/>
            <w:vAlign w:val="bottom"/>
            <w:tcBorders>
              <w:top w:val="single" w:sz="8" w:color="E5FFFF"/>
            </w:tcBorders>
            <w:shd w:val="clear" w:color="auto" w:fill="E5FFFF"/>
          </w:tcPr>
          <w:p>
            <w:pPr>
              <w:spacing w:after="0"/>
              <w:rPr>
                <w:sz w:val="16"/>
                <w:szCs w:val="16"/>
                <w:color w:val="auto"/>
              </w:rPr>
            </w:pPr>
          </w:p>
        </w:tc>
        <w:tc>
          <w:tcPr>
            <w:tcW w:w="68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40" w:type="dxa"/>
            <w:vAlign w:val="bottom"/>
            <w:tcBorders>
              <w:top w:val="single" w:sz="8" w:color="E5FFFF"/>
            </w:tcBorders>
            <w:shd w:val="clear" w:color="auto" w:fill="E5FFFF"/>
          </w:tcPr>
          <w:p>
            <w:pPr>
              <w:spacing w:after="0"/>
              <w:rPr>
                <w:sz w:val="16"/>
                <w:szCs w:val="16"/>
                <w:color w:val="auto"/>
              </w:rPr>
            </w:pPr>
          </w:p>
        </w:tc>
        <w:tc>
          <w:tcPr>
            <w:tcW w:w="140" w:type="dxa"/>
            <w:vAlign w:val="bottom"/>
            <w:tcBorders>
              <w:top w:val="single" w:sz="8" w:color="E5FFFF"/>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c>
          <w:tcPr>
            <w:tcW w:w="20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auto"/>
            </w:tcBorders>
            <w:shd w:val="clear" w:color="auto" w:fill="E5FFFF"/>
          </w:tcPr>
          <w:p>
            <w:pPr>
              <w:spacing w:after="0"/>
              <w:rPr>
                <w:sz w:val="16"/>
                <w:szCs w:val="16"/>
                <w:color w:val="auto"/>
              </w:rPr>
            </w:pPr>
          </w:p>
        </w:tc>
        <w:tc>
          <w:tcPr>
            <w:tcW w:w="640" w:type="dxa"/>
            <w:vAlign w:val="bottom"/>
            <w:tcBorders>
              <w:top w:val="single" w:sz="8" w:color="auto"/>
            </w:tcBorders>
            <w:shd w:val="clear" w:color="auto" w:fill="E5FFFF"/>
          </w:tcPr>
          <w:p>
            <w:pPr>
              <w:spacing w:after="0"/>
              <w:rPr>
                <w:sz w:val="16"/>
                <w:szCs w:val="16"/>
                <w:color w:val="auto"/>
              </w:rPr>
            </w:pPr>
          </w:p>
        </w:tc>
        <w:tc>
          <w:tcPr>
            <w:tcW w:w="66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28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auto"/>
            </w:tcBorders>
            <w:shd w:val="clear" w:color="auto" w:fill="E5FFFF"/>
          </w:tcPr>
          <w:p>
            <w:pPr>
              <w:spacing w:after="0"/>
              <w:rPr>
                <w:sz w:val="16"/>
                <w:szCs w:val="16"/>
                <w:color w:val="auto"/>
              </w:rPr>
            </w:pPr>
          </w:p>
        </w:tc>
        <w:tc>
          <w:tcPr>
            <w:tcW w:w="122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Non-current assets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Goodwill</w:t>
            </w:r>
          </w:p>
        </w:tc>
        <w:tc>
          <w:tcPr>
            <w:tcW w:w="176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00" w:type="dxa"/>
            <w:vAlign w:val="bottom"/>
            <w:gridSpan w:val="5"/>
            <w:shd w:val="clear" w:color="auto" w:fill="E5FFFF"/>
          </w:tcPr>
          <w:p>
            <w:pPr>
              <w:jc w:val="right"/>
              <w:ind w:right="300"/>
              <w:spacing w:after="0"/>
              <w:rPr>
                <w:sz w:val="20"/>
                <w:szCs w:val="20"/>
                <w:color w:val="auto"/>
              </w:rPr>
            </w:pPr>
            <w:r>
              <w:rPr>
                <w:rFonts w:ascii="Arial" w:cs="Arial" w:eastAsia="Arial" w:hAnsi="Arial"/>
                <w:sz w:val="16"/>
                <w:szCs w:val="16"/>
                <w:color w:val="auto"/>
              </w:rPr>
              <w:t>9,511</w:t>
            </w: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9,511</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Investment in associates</w:t>
            </w:r>
          </w:p>
        </w:tc>
        <w:tc>
          <w:tcPr>
            <w:tcW w:w="2440" w:type="dxa"/>
            <w:vAlign w:val="bottom"/>
            <w:gridSpan w:val="2"/>
          </w:tcPr>
          <w:p>
            <w:pPr>
              <w:jc w:val="center"/>
              <w:ind w:left="1679"/>
              <w:spacing w:after="0"/>
              <w:rPr>
                <w:sz w:val="20"/>
                <w:szCs w:val="20"/>
                <w:color w:val="auto"/>
              </w:rPr>
            </w:pPr>
            <w:r>
              <w:rPr>
                <w:rFonts w:ascii="Arial" w:cs="Arial" w:eastAsia="Arial" w:hAnsi="Arial"/>
                <w:sz w:val="16"/>
                <w:szCs w:val="16"/>
                <w:color w:val="auto"/>
                <w:w w:val="89"/>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20,800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20,393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176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17,519</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3,946</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Other non-current assets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428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2,089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2440" w:type="dxa"/>
            <w:vAlign w:val="bottom"/>
            <w:gridSpan w:val="2"/>
            <w:shd w:val="clear" w:color="auto" w:fill="E5FFFF"/>
          </w:tcPr>
          <w:p>
            <w:pPr>
              <w:jc w:val="center"/>
              <w:ind w:left="1679"/>
              <w:spacing w:after="0"/>
              <w:rPr>
                <w:sz w:val="20"/>
                <w:szCs w:val="20"/>
                <w:color w:val="auto"/>
              </w:rPr>
            </w:pPr>
            <w:r>
              <w:rPr>
                <w:rFonts w:ascii="Arial" w:cs="Arial" w:eastAsia="Arial" w:hAnsi="Arial"/>
                <w:sz w:val="16"/>
                <w:szCs w:val="16"/>
                <w:color w:val="auto"/>
                <w:w w:val="89"/>
              </w:rPr>
              <w:t>14</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16,012</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32,358</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Tangible fixed assets</w:t>
            </w:r>
          </w:p>
        </w:tc>
        <w:tc>
          <w:tcPr>
            <w:tcW w:w="2440" w:type="dxa"/>
            <w:vAlign w:val="bottom"/>
            <w:gridSpan w:val="2"/>
          </w:tcPr>
          <w:p>
            <w:pPr>
              <w:jc w:val="center"/>
              <w:ind w:left="1679"/>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3,772,566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4,393,288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2440" w:type="dxa"/>
            <w:vAlign w:val="bottom"/>
            <w:gridSpan w:val="2"/>
            <w:shd w:val="clear" w:color="auto" w:fill="E5FFFF"/>
          </w:tcPr>
          <w:p>
            <w:pPr>
              <w:jc w:val="center"/>
              <w:ind w:left="1679"/>
              <w:spacing w:after="0"/>
              <w:rPr>
                <w:sz w:val="20"/>
                <w:szCs w:val="20"/>
                <w:color w:val="auto"/>
              </w:rPr>
            </w:pPr>
            <w:r>
              <w:rPr>
                <w:rFonts w:ascii="Arial" w:cs="Arial" w:eastAsia="Arial" w:hAnsi="Arial"/>
                <w:sz w:val="16"/>
                <w:szCs w:val="16"/>
                <w:color w:val="auto"/>
                <w:w w:val="89"/>
              </w:rPr>
              <w:t>5</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166,655</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60,746</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Vessel held under finance lease</w:t>
            </w:r>
          </w:p>
        </w:tc>
        <w:tc>
          <w:tcPr>
            <w:tcW w:w="2440" w:type="dxa"/>
            <w:vAlign w:val="bottom"/>
            <w:gridSpan w:val="2"/>
          </w:tcPr>
          <w:p>
            <w:pPr>
              <w:jc w:val="center"/>
              <w:ind w:left="1679"/>
              <w:spacing w:after="0"/>
              <w:rPr>
                <w:sz w:val="20"/>
                <w:szCs w:val="20"/>
                <w:color w:val="auto"/>
              </w:rPr>
            </w:pPr>
            <w:r>
              <w:rPr>
                <w:rFonts w:ascii="Arial" w:cs="Arial" w:eastAsia="Arial" w:hAnsi="Arial"/>
                <w:sz w:val="16"/>
                <w:szCs w:val="16"/>
                <w:color w:val="auto"/>
                <w:w w:val="89"/>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214,329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212,427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176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4,217,820</w:t>
            </w:r>
          </w:p>
        </w:tc>
        <w:tc>
          <w:tcPr>
            <w:tcW w:w="3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4,734,758</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176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10,706</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13,094</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2440" w:type="dxa"/>
            <w:vAlign w:val="bottom"/>
            <w:gridSpan w:val="2"/>
          </w:tcPr>
          <w:p>
            <w:pPr>
              <w:jc w:val="center"/>
              <w:ind w:left="1679"/>
              <w:spacing w:after="0"/>
              <w:rPr>
                <w:sz w:val="20"/>
                <w:szCs w:val="20"/>
                <w:color w:val="auto"/>
              </w:rPr>
            </w:pPr>
            <w:r>
              <w:rPr>
                <w:rFonts w:ascii="Arial" w:cs="Arial" w:eastAsia="Arial" w:hAnsi="Arial"/>
                <w:sz w:val="16"/>
                <w:szCs w:val="16"/>
                <w:color w:val="auto"/>
                <w:w w:val="89"/>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8,666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5,735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Derivative financial instruments</w:t>
            </w:r>
          </w:p>
        </w:tc>
        <w:tc>
          <w:tcPr>
            <w:tcW w:w="2440" w:type="dxa"/>
            <w:vAlign w:val="bottom"/>
            <w:gridSpan w:val="2"/>
            <w:shd w:val="clear" w:color="auto" w:fill="E5FFFF"/>
          </w:tcPr>
          <w:p>
            <w:pPr>
              <w:jc w:val="center"/>
              <w:ind w:left="1679"/>
              <w:spacing w:after="0"/>
              <w:rPr>
                <w:sz w:val="20"/>
                <w:szCs w:val="20"/>
                <w:color w:val="auto"/>
              </w:rPr>
            </w:pPr>
            <w:r>
              <w:rPr>
                <w:rFonts w:ascii="Arial" w:cs="Arial" w:eastAsia="Arial" w:hAnsi="Arial"/>
                <w:sz w:val="16"/>
                <w:szCs w:val="16"/>
                <w:color w:val="auto"/>
                <w:w w:val="89"/>
              </w:rPr>
              <w:t>14</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2,199</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7,195</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6,839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10,992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176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4,569</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5,480</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Short-term investments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6"/>
                <w:szCs w:val="16"/>
                <w:color w:val="auto"/>
              </w:rPr>
              <w:t>—</w:t>
            </w: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Restricted cash</w:t>
            </w:r>
          </w:p>
        </w:tc>
        <w:tc>
          <w:tcPr>
            <w:tcW w:w="176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1240" w:type="dxa"/>
            <w:vAlign w:val="bottom"/>
            <w:gridSpan w:val="3"/>
            <w:shd w:val="clear" w:color="auto" w:fill="E5FFFF"/>
          </w:tcPr>
          <w:p>
            <w:pPr>
              <w:jc w:val="right"/>
              <w:ind w:right="58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4,915</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384,092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349,147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current assets</w:t>
            </w:r>
          </w:p>
        </w:tc>
        <w:tc>
          <w:tcPr>
            <w:tcW w:w="176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417,071</w:t>
            </w:r>
          </w:p>
        </w:tc>
        <w:tc>
          <w:tcPr>
            <w:tcW w:w="3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406,558</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80" w:type="dxa"/>
            <w:vAlign w:val="bottom"/>
            <w:gridSpan w:val="3"/>
          </w:tcPr>
          <w:p>
            <w:pPr>
              <w:spacing w:after="0"/>
              <w:rPr>
                <w:sz w:val="20"/>
                <w:szCs w:val="20"/>
                <w:color w:val="auto"/>
              </w:rPr>
            </w:pPr>
            <w:r>
              <w:rPr>
                <w:rFonts w:ascii="Arial" w:cs="Arial" w:eastAsia="Arial" w:hAnsi="Arial"/>
                <w:sz w:val="16"/>
                <w:szCs w:val="16"/>
                <w:b w:val="1"/>
                <w:bCs w:val="1"/>
                <w:color w:val="auto"/>
              </w:rPr>
              <w:t>Total assets</w:t>
            </w:r>
          </w:p>
        </w:tc>
        <w:tc>
          <w:tcPr>
            <w:tcW w:w="1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4,634,891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5,141,316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Borders>
              <w:top w:val="single" w:sz="8" w:color="E5FFFF"/>
            </w:tcBorders>
            <w:gridSpan w:val="2"/>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Equity and liabilities</w:t>
            </w:r>
          </w:p>
        </w:tc>
        <w:tc>
          <w:tcPr>
            <w:tcW w:w="1760" w:type="dxa"/>
            <w:vAlign w:val="bottom"/>
            <w:tcBorders>
              <w:top w:val="single" w:sz="8" w:color="E5FFFF"/>
            </w:tcBorders>
            <w:shd w:val="clear" w:color="auto" w:fill="E5FFFF"/>
          </w:tcPr>
          <w:p>
            <w:pPr>
              <w:spacing w:after="0"/>
              <w:rPr>
                <w:sz w:val="13"/>
                <w:szCs w:val="13"/>
                <w:color w:val="auto"/>
              </w:rPr>
            </w:pPr>
          </w:p>
        </w:tc>
        <w:tc>
          <w:tcPr>
            <w:tcW w:w="680" w:type="dxa"/>
            <w:vAlign w:val="bottom"/>
            <w:tcBorders>
              <w:top w:val="single" w:sz="8" w:color="E5FFFF"/>
            </w:tcBorders>
            <w:shd w:val="clear" w:color="auto" w:fill="E5FFFF"/>
          </w:tcPr>
          <w:p>
            <w:pPr>
              <w:spacing w:after="0"/>
              <w:rPr>
                <w:sz w:val="13"/>
                <w:szCs w:val="13"/>
                <w:color w:val="auto"/>
              </w:rPr>
            </w:pPr>
          </w:p>
        </w:tc>
        <w:tc>
          <w:tcPr>
            <w:tcW w:w="20" w:type="dxa"/>
            <w:vAlign w:val="bottom"/>
            <w:tcBorders>
              <w:top w:val="single" w:sz="8" w:color="E5FFFF"/>
            </w:tcBorders>
            <w:shd w:val="clear" w:color="auto" w:fill="E5FFFF"/>
          </w:tcPr>
          <w:p>
            <w:pPr>
              <w:spacing w:after="0"/>
              <w:rPr>
                <w:sz w:val="13"/>
                <w:szCs w:val="13"/>
                <w:color w:val="auto"/>
              </w:rPr>
            </w:pPr>
          </w:p>
        </w:tc>
        <w:tc>
          <w:tcPr>
            <w:tcW w:w="40" w:type="dxa"/>
            <w:vAlign w:val="bottom"/>
            <w:tcBorders>
              <w:top w:val="single" w:sz="8" w:color="E5FFFF"/>
            </w:tcBorders>
            <w:shd w:val="clear" w:color="auto" w:fill="E5FFFF"/>
          </w:tcPr>
          <w:p>
            <w:pPr>
              <w:spacing w:after="0"/>
              <w:rPr>
                <w:sz w:val="13"/>
                <w:szCs w:val="13"/>
                <w:color w:val="auto"/>
              </w:rPr>
            </w:pPr>
          </w:p>
        </w:tc>
        <w:tc>
          <w:tcPr>
            <w:tcW w:w="140" w:type="dxa"/>
            <w:vAlign w:val="bottom"/>
            <w:tcBorders>
              <w:top w:val="single" w:sz="8" w:color="E5FFFF"/>
            </w:tcBorders>
            <w:shd w:val="clear" w:color="auto" w:fill="E5FFFF"/>
          </w:tcPr>
          <w:p>
            <w:pPr>
              <w:spacing w:after="0"/>
              <w:rPr>
                <w:sz w:val="13"/>
                <w:szCs w:val="13"/>
                <w:color w:val="auto"/>
              </w:rPr>
            </w:pPr>
          </w:p>
        </w:tc>
        <w:tc>
          <w:tcPr>
            <w:tcW w:w="100" w:type="dxa"/>
            <w:vAlign w:val="bottom"/>
            <w:tcBorders>
              <w:top w:val="single" w:sz="8" w:color="E5FFFF"/>
            </w:tcBorders>
            <w:shd w:val="clear" w:color="auto" w:fill="E5FFFF"/>
          </w:tcPr>
          <w:p>
            <w:pPr>
              <w:spacing w:after="0"/>
              <w:rPr>
                <w:sz w:val="13"/>
                <w:szCs w:val="13"/>
                <w:color w:val="auto"/>
              </w:rPr>
            </w:pPr>
          </w:p>
        </w:tc>
        <w:tc>
          <w:tcPr>
            <w:tcW w:w="200" w:type="dxa"/>
            <w:vAlign w:val="bottom"/>
            <w:tcBorders>
              <w:top w:val="single" w:sz="8" w:color="E5FFFF"/>
            </w:tcBorders>
            <w:shd w:val="clear" w:color="auto" w:fill="E5FFFF"/>
          </w:tcPr>
          <w:p>
            <w:pPr>
              <w:spacing w:after="0"/>
              <w:rPr>
                <w:sz w:val="13"/>
                <w:szCs w:val="13"/>
                <w:color w:val="auto"/>
              </w:rPr>
            </w:pPr>
          </w:p>
        </w:tc>
        <w:tc>
          <w:tcPr>
            <w:tcW w:w="200" w:type="dxa"/>
            <w:vAlign w:val="bottom"/>
            <w:tcBorders>
              <w:top w:val="single" w:sz="8" w:color="E5FFFF"/>
            </w:tcBorders>
            <w:shd w:val="clear" w:color="auto" w:fill="E5FFFF"/>
          </w:tcPr>
          <w:p>
            <w:pPr>
              <w:spacing w:after="0"/>
              <w:rPr>
                <w:sz w:val="13"/>
                <w:szCs w:val="13"/>
                <w:color w:val="auto"/>
              </w:rPr>
            </w:pPr>
          </w:p>
        </w:tc>
        <w:tc>
          <w:tcPr>
            <w:tcW w:w="640" w:type="dxa"/>
            <w:vAlign w:val="bottom"/>
            <w:tcBorders>
              <w:top w:val="single" w:sz="8" w:color="auto"/>
            </w:tcBorders>
            <w:shd w:val="clear" w:color="auto" w:fill="E5FFFF"/>
          </w:tcPr>
          <w:p>
            <w:pPr>
              <w:spacing w:after="0"/>
              <w:rPr>
                <w:sz w:val="13"/>
                <w:szCs w:val="13"/>
                <w:color w:val="auto"/>
              </w:rPr>
            </w:pPr>
          </w:p>
        </w:tc>
        <w:tc>
          <w:tcPr>
            <w:tcW w:w="660" w:type="dxa"/>
            <w:vAlign w:val="bottom"/>
            <w:tcBorders>
              <w:top w:val="single" w:sz="8" w:color="auto"/>
            </w:tcBorders>
            <w:shd w:val="clear" w:color="auto" w:fill="E5FFFF"/>
          </w:tcPr>
          <w:p>
            <w:pPr>
              <w:spacing w:after="0"/>
              <w:rPr>
                <w:sz w:val="13"/>
                <w:szCs w:val="13"/>
                <w:color w:val="auto"/>
              </w:rPr>
            </w:pPr>
          </w:p>
        </w:tc>
        <w:tc>
          <w:tcPr>
            <w:tcW w:w="300" w:type="dxa"/>
            <w:vAlign w:val="bottom"/>
            <w:tcBorders>
              <w:top w:val="single" w:sz="8" w:color="E5FFFF"/>
            </w:tcBorders>
            <w:shd w:val="clear" w:color="auto" w:fill="E5FFFF"/>
          </w:tcPr>
          <w:p>
            <w:pPr>
              <w:spacing w:after="0"/>
              <w:rPr>
                <w:sz w:val="13"/>
                <w:szCs w:val="13"/>
                <w:color w:val="auto"/>
              </w:rPr>
            </w:pPr>
          </w:p>
        </w:tc>
        <w:tc>
          <w:tcPr>
            <w:tcW w:w="280" w:type="dxa"/>
            <w:vAlign w:val="bottom"/>
            <w:tcBorders>
              <w:top w:val="single" w:sz="8" w:color="E5FFFF"/>
            </w:tcBorders>
            <w:shd w:val="clear" w:color="auto" w:fill="E5FFFF"/>
          </w:tcPr>
          <w:p>
            <w:pPr>
              <w:spacing w:after="0"/>
              <w:rPr>
                <w:sz w:val="13"/>
                <w:szCs w:val="13"/>
                <w:color w:val="auto"/>
              </w:rPr>
            </w:pPr>
          </w:p>
        </w:tc>
        <w:tc>
          <w:tcPr>
            <w:tcW w:w="200" w:type="dxa"/>
            <w:vAlign w:val="bottom"/>
            <w:tcBorders>
              <w:top w:val="single" w:sz="8" w:color="auto"/>
            </w:tcBorders>
            <w:shd w:val="clear" w:color="auto" w:fill="E5FFFF"/>
          </w:tcPr>
          <w:p>
            <w:pPr>
              <w:spacing w:after="0"/>
              <w:rPr>
                <w:sz w:val="13"/>
                <w:szCs w:val="13"/>
                <w:color w:val="auto"/>
              </w:rPr>
            </w:pPr>
          </w:p>
        </w:tc>
        <w:tc>
          <w:tcPr>
            <w:tcW w:w="1220" w:type="dxa"/>
            <w:vAlign w:val="bottom"/>
            <w:tcBorders>
              <w:top w:val="single" w:sz="8" w:color="auto"/>
            </w:tcBorders>
            <w:shd w:val="clear" w:color="auto" w:fill="E5FFFF"/>
          </w:tcPr>
          <w:p>
            <w:pPr>
              <w:spacing w:after="0"/>
              <w:rPr>
                <w:sz w:val="13"/>
                <w:szCs w:val="13"/>
                <w:color w:val="auto"/>
              </w:rPr>
            </w:pPr>
          </w:p>
        </w:tc>
        <w:tc>
          <w:tcPr>
            <w:tcW w:w="20" w:type="dxa"/>
            <w:vAlign w:val="bottom"/>
            <w:tcBorders>
              <w:top w:val="single" w:sz="8" w:color="E5FFFF"/>
            </w:tcBorders>
            <w:shd w:val="clear" w:color="auto" w:fill="E5FFFF"/>
          </w:tcPr>
          <w:p>
            <w:pPr>
              <w:spacing w:after="0"/>
              <w:rPr>
                <w:sz w:val="13"/>
                <w:szCs w:val="13"/>
                <w:color w:val="auto"/>
              </w:rPr>
            </w:pPr>
          </w:p>
        </w:tc>
        <w:tc>
          <w:tcPr>
            <w:tcW w:w="80" w:type="dxa"/>
            <w:vAlign w:val="bottom"/>
            <w:tcBorders>
              <w:top w:val="single" w:sz="8" w:color="E5FFFF"/>
            </w:tcBorders>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Preference Shares</w:t>
            </w:r>
          </w:p>
        </w:tc>
        <w:tc>
          <w:tcPr>
            <w:tcW w:w="2440" w:type="dxa"/>
            <w:vAlign w:val="bottom"/>
            <w:gridSpan w:val="2"/>
            <w:shd w:val="clear" w:color="auto" w:fill="E5FFFF"/>
          </w:tcPr>
          <w:p>
            <w:pPr>
              <w:jc w:val="center"/>
              <w:ind w:left="1679"/>
              <w:spacing w:after="0"/>
              <w:rPr>
                <w:sz w:val="20"/>
                <w:szCs w:val="20"/>
                <w:color w:val="auto"/>
              </w:rPr>
            </w:pPr>
            <w:r>
              <w:rPr>
                <w:rFonts w:ascii="Arial" w:cs="Arial" w:eastAsia="Arial" w:hAnsi="Arial"/>
                <w:sz w:val="16"/>
                <w:szCs w:val="16"/>
                <w:color w:val="auto"/>
                <w:w w:val="89"/>
              </w:rPr>
              <w:t>12</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46</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46</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Share capital</w:t>
            </w:r>
          </w:p>
        </w:tc>
        <w:tc>
          <w:tcPr>
            <w:tcW w:w="2440" w:type="dxa"/>
            <w:vAlign w:val="bottom"/>
            <w:gridSpan w:val="2"/>
          </w:tcPr>
          <w:p>
            <w:pPr>
              <w:jc w:val="center"/>
              <w:ind w:left="1679"/>
              <w:spacing w:after="0"/>
              <w:rPr>
                <w:sz w:val="20"/>
                <w:szCs w:val="20"/>
                <w:color w:val="auto"/>
              </w:rPr>
            </w:pPr>
            <w:r>
              <w:rPr>
                <w:rFonts w:ascii="Arial" w:cs="Arial" w:eastAsia="Arial" w:hAnsi="Arial"/>
                <w:sz w:val="16"/>
                <w:szCs w:val="16"/>
                <w:color w:val="auto"/>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810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810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Contributed surplus</w:t>
            </w:r>
          </w:p>
        </w:tc>
        <w:tc>
          <w:tcPr>
            <w:tcW w:w="2440" w:type="dxa"/>
            <w:vAlign w:val="bottom"/>
            <w:gridSpan w:val="2"/>
            <w:shd w:val="clear" w:color="auto" w:fill="E5FFFF"/>
          </w:tcPr>
          <w:p>
            <w:pPr>
              <w:jc w:val="center"/>
              <w:ind w:left="1679"/>
              <w:spacing w:after="0"/>
              <w:rPr>
                <w:sz w:val="20"/>
                <w:szCs w:val="20"/>
                <w:color w:val="auto"/>
              </w:rPr>
            </w:pPr>
            <w:r>
              <w:rPr>
                <w:rFonts w:ascii="Arial" w:cs="Arial" w:eastAsia="Arial" w:hAnsi="Arial"/>
                <w:sz w:val="16"/>
                <w:szCs w:val="16"/>
                <w:color w:val="auto"/>
                <w:w w:val="89"/>
              </w:rPr>
              <w:t>12</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00" w:type="dxa"/>
            <w:vAlign w:val="bottom"/>
            <w:gridSpan w:val="5"/>
            <w:shd w:val="clear" w:color="auto" w:fill="E5FFFF"/>
          </w:tcPr>
          <w:p>
            <w:pPr>
              <w:jc w:val="right"/>
              <w:ind w:right="300"/>
              <w:spacing w:after="0"/>
              <w:rPr>
                <w:sz w:val="20"/>
                <w:szCs w:val="20"/>
                <w:color w:val="auto"/>
              </w:rPr>
            </w:pPr>
            <w:r>
              <w:rPr>
                <w:rFonts w:ascii="Arial" w:cs="Arial" w:eastAsia="Arial" w:hAnsi="Arial"/>
                <w:sz w:val="16"/>
                <w:szCs w:val="16"/>
                <w:color w:val="auto"/>
              </w:rPr>
              <w:t>911,766</w:t>
            </w: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897,950</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Reserves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18,347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20,414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Treasury shares</w:t>
            </w:r>
          </w:p>
        </w:tc>
        <w:tc>
          <w:tcPr>
            <w:tcW w:w="2440" w:type="dxa"/>
            <w:vAlign w:val="bottom"/>
            <w:gridSpan w:val="2"/>
            <w:shd w:val="clear" w:color="auto" w:fill="E5FFFF"/>
          </w:tcPr>
          <w:p>
            <w:pPr>
              <w:jc w:val="center"/>
              <w:ind w:left="1679"/>
              <w:spacing w:after="0"/>
              <w:rPr>
                <w:sz w:val="20"/>
                <w:szCs w:val="20"/>
                <w:color w:val="auto"/>
              </w:rPr>
            </w:pPr>
            <w:r>
              <w:rPr>
                <w:rFonts w:ascii="Arial" w:cs="Arial" w:eastAsia="Arial" w:hAnsi="Arial"/>
                <w:sz w:val="16"/>
                <w:szCs w:val="16"/>
                <w:color w:val="auto"/>
                <w:w w:val="89"/>
              </w:rPr>
              <w:t>12</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00" w:type="dxa"/>
            <w:vAlign w:val="bottom"/>
            <w:gridSpan w:val="5"/>
            <w:shd w:val="clear" w:color="auto" w:fill="E5FFFF"/>
          </w:tcPr>
          <w:p>
            <w:pPr>
              <w:jc w:val="right"/>
              <w:ind w:right="240"/>
              <w:spacing w:after="0"/>
              <w:rPr>
                <w:sz w:val="20"/>
                <w:szCs w:val="20"/>
                <w:color w:val="auto"/>
              </w:rPr>
            </w:pPr>
            <w:r>
              <w:rPr>
                <w:rFonts w:ascii="Arial" w:cs="Arial" w:eastAsia="Arial" w:hAnsi="Arial"/>
                <w:sz w:val="16"/>
                <w:szCs w:val="16"/>
                <w:color w:val="auto"/>
              </w:rPr>
              <w:t>(6,960)</w:t>
            </w:r>
          </w:p>
        </w:tc>
        <w:tc>
          <w:tcPr>
            <w:tcW w:w="280" w:type="dxa"/>
            <w:vAlign w:val="bottom"/>
            <w:shd w:val="clear" w:color="auto" w:fill="E5FFFF"/>
          </w:tcPr>
          <w:p>
            <w:pPr>
              <w:spacing w:after="0"/>
              <w:rPr>
                <w:sz w:val="17"/>
                <w:szCs w:val="17"/>
                <w:color w:val="auto"/>
              </w:rPr>
            </w:pPr>
          </w:p>
        </w:tc>
        <w:tc>
          <w:tcPr>
            <w:tcW w:w="1520" w:type="dxa"/>
            <w:vAlign w:val="bottom"/>
            <w:gridSpan w:val="4"/>
            <w:shd w:val="clear" w:color="auto" w:fill="E5FFFF"/>
          </w:tcPr>
          <w:p>
            <w:pPr>
              <w:jc w:val="right"/>
              <w:ind w:right="60"/>
              <w:spacing w:after="0"/>
              <w:rPr>
                <w:sz w:val="20"/>
                <w:szCs w:val="20"/>
                <w:color w:val="auto"/>
              </w:rPr>
            </w:pPr>
            <w:r>
              <w:rPr>
                <w:rFonts w:ascii="Arial" w:cs="Arial" w:eastAsia="Arial" w:hAnsi="Arial"/>
                <w:sz w:val="16"/>
                <w:szCs w:val="16"/>
                <w:color w:val="auto"/>
              </w:rPr>
              <w:t>(7,022)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(Accumulated deficit)/retained earnings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5"/>
          </w:tcPr>
          <w:p>
            <w:pPr>
              <w:jc w:val="right"/>
              <w:ind w:right="240"/>
              <w:spacing w:after="0"/>
              <w:rPr>
                <w:sz w:val="20"/>
                <w:szCs w:val="20"/>
                <w:color w:val="auto"/>
              </w:rPr>
            </w:pPr>
            <w:r>
              <w:rPr>
                <w:rFonts w:ascii="Arial" w:cs="Arial" w:eastAsia="Arial" w:hAnsi="Arial"/>
                <w:sz w:val="16"/>
                <w:szCs w:val="16"/>
                <w:color w:val="auto"/>
              </w:rPr>
              <w:t>(5,980)</w:t>
            </w: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13,514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176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918,029</w:t>
            </w:r>
          </w:p>
        </w:tc>
        <w:tc>
          <w:tcPr>
            <w:tcW w:w="3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925,712</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Non-controlling interests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845,105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958,682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equity</w:t>
            </w:r>
          </w:p>
        </w:tc>
        <w:tc>
          <w:tcPr>
            <w:tcW w:w="176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1,763,134</w:t>
            </w:r>
          </w:p>
        </w:tc>
        <w:tc>
          <w:tcPr>
            <w:tcW w:w="3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1,884,394</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176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00" w:type="dxa"/>
            <w:vAlign w:val="bottom"/>
            <w:gridSpan w:val="5"/>
            <w:shd w:val="clear" w:color="auto" w:fill="E5FFFF"/>
          </w:tcPr>
          <w:p>
            <w:pPr>
              <w:jc w:val="right"/>
              <w:ind w:right="300"/>
              <w:spacing w:after="0"/>
              <w:rPr>
                <w:sz w:val="20"/>
                <w:szCs w:val="20"/>
                <w:color w:val="auto"/>
              </w:rPr>
            </w:pPr>
            <w:r>
              <w:rPr>
                <w:rFonts w:ascii="Arial" w:cs="Arial" w:eastAsia="Arial" w:hAnsi="Arial"/>
                <w:sz w:val="16"/>
                <w:szCs w:val="16"/>
                <w:color w:val="auto"/>
              </w:rPr>
              <w:t>11,526</w:t>
            </w: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13,523</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Ship management creditors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2,394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1,877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Amounts due to related parties</w:t>
            </w:r>
          </w:p>
        </w:tc>
        <w:tc>
          <w:tcPr>
            <w:tcW w:w="2440" w:type="dxa"/>
            <w:vAlign w:val="bottom"/>
            <w:gridSpan w:val="2"/>
            <w:shd w:val="clear" w:color="auto" w:fill="E5FFFF"/>
          </w:tcPr>
          <w:p>
            <w:pPr>
              <w:jc w:val="center"/>
              <w:ind w:left="1679"/>
              <w:spacing w:after="0"/>
              <w:rPr>
                <w:sz w:val="20"/>
                <w:szCs w:val="20"/>
                <w:color w:val="auto"/>
              </w:rPr>
            </w:pPr>
            <w:r>
              <w:rPr>
                <w:rFonts w:ascii="Arial" w:cs="Arial" w:eastAsia="Arial" w:hAnsi="Arial"/>
                <w:sz w:val="16"/>
                <w:szCs w:val="16"/>
                <w:color w:val="auto"/>
                <w:w w:val="89"/>
              </w:rPr>
              <w:t>8</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35</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2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Derivative financial instruments</w:t>
            </w:r>
          </w:p>
        </w:tc>
        <w:tc>
          <w:tcPr>
            <w:tcW w:w="2440" w:type="dxa"/>
            <w:vAlign w:val="bottom"/>
            <w:gridSpan w:val="2"/>
          </w:tcPr>
          <w:p>
            <w:pPr>
              <w:jc w:val="center"/>
              <w:ind w:left="1679"/>
              <w:spacing w:after="0"/>
              <w:rPr>
                <w:sz w:val="20"/>
                <w:szCs w:val="20"/>
                <w:color w:val="auto"/>
              </w:rPr>
            </w:pPr>
            <w:r>
              <w:rPr>
                <w:rFonts w:ascii="Arial" w:cs="Arial" w:eastAsia="Arial" w:hAnsi="Arial"/>
                <w:sz w:val="16"/>
                <w:szCs w:val="16"/>
                <w:color w:val="auto"/>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1,815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2440" w:type="dxa"/>
            <w:vAlign w:val="bottom"/>
            <w:gridSpan w:val="2"/>
            <w:shd w:val="clear" w:color="auto" w:fill="E5FFFF"/>
          </w:tcPr>
          <w:p>
            <w:pPr>
              <w:jc w:val="center"/>
              <w:ind w:left="1679"/>
              <w:spacing w:after="0"/>
              <w:rPr>
                <w:sz w:val="20"/>
                <w:szCs w:val="20"/>
                <w:color w:val="auto"/>
              </w:rPr>
            </w:pPr>
            <w:r>
              <w:rPr>
                <w:rFonts w:ascii="Arial" w:cs="Arial" w:eastAsia="Arial" w:hAnsi="Arial"/>
                <w:sz w:val="16"/>
                <w:szCs w:val="16"/>
                <w:color w:val="auto"/>
                <w:w w:val="89"/>
              </w:rPr>
              <w:t>11</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93,418</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78,137</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Borrowings, current portion</w:t>
            </w:r>
          </w:p>
        </w:tc>
        <w:tc>
          <w:tcPr>
            <w:tcW w:w="2440" w:type="dxa"/>
            <w:vAlign w:val="bottom"/>
            <w:gridSpan w:val="2"/>
          </w:tcPr>
          <w:p>
            <w:pPr>
              <w:jc w:val="center"/>
              <w:ind w:left="1679"/>
              <w:spacing w:after="0"/>
              <w:rPr>
                <w:sz w:val="20"/>
                <w:szCs w:val="20"/>
                <w:color w:val="auto"/>
              </w:rPr>
            </w:pPr>
            <w:r>
              <w:rPr>
                <w:rFonts w:ascii="Arial" w:cs="Arial" w:eastAsia="Arial" w:hAnsi="Arial"/>
                <w:sz w:val="16"/>
                <w:szCs w:val="16"/>
                <w:color w:val="auto"/>
                <w:w w:val="89"/>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179,367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182,444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Finance lease liability, current portion</w:t>
            </w:r>
          </w:p>
        </w:tc>
        <w:tc>
          <w:tcPr>
            <w:tcW w:w="2440" w:type="dxa"/>
            <w:vAlign w:val="bottom"/>
            <w:gridSpan w:val="2"/>
            <w:shd w:val="clear" w:color="auto" w:fill="E5FFFF"/>
          </w:tcPr>
          <w:p>
            <w:pPr>
              <w:jc w:val="center"/>
              <w:ind w:left="1679"/>
              <w:spacing w:after="0"/>
              <w:rPr>
                <w:sz w:val="20"/>
                <w:szCs w:val="20"/>
                <w:color w:val="auto"/>
              </w:rPr>
            </w:pPr>
            <w:r>
              <w:rPr>
                <w:rFonts w:ascii="Arial" w:cs="Arial" w:eastAsia="Arial" w:hAnsi="Arial"/>
                <w:sz w:val="16"/>
                <w:szCs w:val="16"/>
                <w:color w:val="auto"/>
                <w:w w:val="89"/>
              </w:rPr>
              <w:t>6</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6,302</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6,392</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b w:val="1"/>
                <w:bCs w:val="1"/>
                <w:color w:val="auto"/>
              </w:rPr>
              <w:t>Total current liabilities</w:t>
            </w:r>
          </w:p>
        </w:tc>
        <w:tc>
          <w:tcPr>
            <w:tcW w:w="1760" w:type="dxa"/>
            <w:vAlign w:val="bottom"/>
            <w:tcBorders>
              <w:bottom w:val="single" w:sz="8" w:color="E5FFFF"/>
            </w:tcBorders>
          </w:tcPr>
          <w:p>
            <w:pPr>
              <w:spacing w:after="0"/>
              <w:rPr>
                <w:sz w:val="17"/>
                <w:szCs w:val="17"/>
                <w:color w:val="auto"/>
              </w:rPr>
            </w:pPr>
          </w:p>
        </w:tc>
        <w:tc>
          <w:tcPr>
            <w:tcW w:w="68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4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294,857</w:t>
            </w:r>
          </w:p>
        </w:tc>
        <w:tc>
          <w:tcPr>
            <w:tcW w:w="30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282,373</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gridSpan w:val="2"/>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Non-current liabilities</w:t>
            </w:r>
          </w:p>
        </w:tc>
        <w:tc>
          <w:tcPr>
            <w:tcW w:w="1760" w:type="dxa"/>
            <w:vAlign w:val="bottom"/>
            <w:shd w:val="clear" w:color="auto" w:fill="E5FFFF"/>
          </w:tcPr>
          <w:p>
            <w:pPr>
              <w:spacing w:after="0"/>
              <w:rPr>
                <w:sz w:val="15"/>
                <w:szCs w:val="15"/>
                <w:color w:val="auto"/>
              </w:rPr>
            </w:pPr>
          </w:p>
        </w:tc>
        <w:tc>
          <w:tcPr>
            <w:tcW w:w="68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66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22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Borrowings, non-current portion</w:t>
            </w:r>
          </w:p>
        </w:tc>
        <w:tc>
          <w:tcPr>
            <w:tcW w:w="2440" w:type="dxa"/>
            <w:vAlign w:val="bottom"/>
            <w:gridSpan w:val="2"/>
          </w:tcPr>
          <w:p>
            <w:pPr>
              <w:jc w:val="center"/>
              <w:ind w:left="1679"/>
              <w:spacing w:after="0"/>
              <w:rPr>
                <w:sz w:val="20"/>
                <w:szCs w:val="20"/>
                <w:color w:val="auto"/>
              </w:rPr>
            </w:pPr>
            <w:r>
              <w:rPr>
                <w:rFonts w:ascii="Arial" w:cs="Arial" w:eastAsia="Arial" w:hAnsi="Arial"/>
                <w:sz w:val="16"/>
                <w:szCs w:val="16"/>
                <w:color w:val="auto"/>
                <w:w w:val="89"/>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2,368,189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2,767,970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Finance lease liability, non-current portion</w:t>
            </w:r>
          </w:p>
        </w:tc>
        <w:tc>
          <w:tcPr>
            <w:tcW w:w="2440" w:type="dxa"/>
            <w:vAlign w:val="bottom"/>
            <w:gridSpan w:val="2"/>
            <w:shd w:val="clear" w:color="auto" w:fill="E5FFFF"/>
          </w:tcPr>
          <w:p>
            <w:pPr>
              <w:jc w:val="center"/>
              <w:ind w:left="1679"/>
              <w:spacing w:after="0"/>
              <w:rPr>
                <w:sz w:val="20"/>
                <w:szCs w:val="20"/>
                <w:color w:val="auto"/>
              </w:rPr>
            </w:pPr>
            <w:r>
              <w:rPr>
                <w:rFonts w:ascii="Arial" w:cs="Arial" w:eastAsia="Arial" w:hAnsi="Arial"/>
                <w:sz w:val="16"/>
                <w:szCs w:val="16"/>
                <w:color w:val="auto"/>
                <w:w w:val="89"/>
              </w:rPr>
              <w:t>6</w:t>
            </w: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7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207,126</w:t>
            </w: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205,263</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color w:val="auto"/>
              </w:rPr>
              <w:t>1,585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6"/>
                <w:szCs w:val="16"/>
                <w:color w:val="auto"/>
              </w:rPr>
              <w:t>1,316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1760" w:type="dxa"/>
            <w:vAlign w:val="bottom"/>
            <w:tcBorders>
              <w:top w:val="single" w:sz="8" w:color="E5FFFF"/>
            </w:tcBorders>
            <w:shd w:val="clear" w:color="auto" w:fill="E5FFFF"/>
          </w:tcPr>
          <w:p>
            <w:pPr>
              <w:spacing w:after="0"/>
              <w:rPr>
                <w:sz w:val="17"/>
                <w:szCs w:val="17"/>
                <w:color w:val="auto"/>
              </w:rPr>
            </w:pPr>
          </w:p>
        </w:tc>
        <w:tc>
          <w:tcPr>
            <w:tcW w:w="68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2,576,900</w:t>
            </w:r>
          </w:p>
        </w:tc>
        <w:tc>
          <w:tcPr>
            <w:tcW w:w="3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4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2,974,549</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gridSpan w:val="3"/>
          </w:tcPr>
          <w:p>
            <w:pPr>
              <w:spacing w:after="0"/>
              <w:rPr>
                <w:sz w:val="20"/>
                <w:szCs w:val="20"/>
                <w:color w:val="auto"/>
              </w:rPr>
            </w:pPr>
            <w:r>
              <w:rPr>
                <w:rFonts w:ascii="Arial" w:cs="Arial" w:eastAsia="Arial" w:hAnsi="Arial"/>
                <w:sz w:val="16"/>
                <w:szCs w:val="16"/>
                <w:b w:val="1"/>
                <w:bCs w:val="1"/>
                <w:color w:val="auto"/>
              </w:rPr>
              <w:t>Total equity and liabilities</w:t>
            </w:r>
          </w:p>
        </w:tc>
        <w:tc>
          <w:tcPr>
            <w:tcW w:w="1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4,634,891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5,141,316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-7582535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-7582535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1460"/>
          </w:cols>
          <w:pgMar w:left="240" w:top="122" w:right="199" w:bottom="0" w:gutter="0" w:footer="0" w:header="0"/>
        </w:sectPr>
      </w:pPr>
    </w:p>
    <w:bookmarkStart w:id="19" w:name="page20"/>
    <w:bookmarkEnd w:id="19"/>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GasLog Ltd. and its Subsidiaries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For the three months ended March 31, 2017 and 2018</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 Dollars, except per share data)</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March 31, 2017</w:t>
            </w: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March 31, 2018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6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4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128,285</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138,478</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Net pool allocation</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828</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8,653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and supervision costs</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(27,489)</w:t>
            </w:r>
          </w:p>
        </w:tc>
        <w:tc>
          <w:tcPr>
            <w:tcW w:w="148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(34,313)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(2,872)</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(5,281)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w:t>
            </w:r>
          </w:p>
        </w:tc>
        <w:tc>
          <w:tcPr>
            <w:tcW w:w="240" w:type="dxa"/>
            <w:vAlign w:val="bottom"/>
            <w:shd w:val="clear" w:color="auto" w:fill="E5FFFF"/>
          </w:tcPr>
          <w:p>
            <w:pPr>
              <w:spacing w:after="0"/>
              <w:rPr>
                <w:sz w:val="17"/>
                <w:szCs w:val="17"/>
                <w:color w:val="auto"/>
              </w:rPr>
            </w:pP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(33,708)</w:t>
            </w:r>
          </w:p>
        </w:tc>
        <w:tc>
          <w:tcPr>
            <w:tcW w:w="148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(35,529)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2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(10,145)</w:t>
            </w: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(12,013)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from operations</w:t>
            </w:r>
          </w:p>
        </w:tc>
        <w:tc>
          <w:tcPr>
            <w:tcW w:w="6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54,899</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59,995</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Financial costs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(32,524)</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(36,597)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391</w:t>
            </w:r>
          </w:p>
        </w:tc>
        <w:tc>
          <w:tcPr>
            <w:tcW w:w="20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1,016</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Gain on swaps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17,771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4</w:t>
            </w:r>
          </w:p>
        </w:tc>
        <w:tc>
          <w:tcPr>
            <w:tcW w:w="24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462</w:t>
            </w:r>
          </w:p>
        </w:tc>
        <w:tc>
          <w:tcPr>
            <w:tcW w:w="20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356</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68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(31,507)</w:t>
            </w:r>
          </w:p>
        </w:tc>
        <w:tc>
          <w:tcPr>
            <w:tcW w:w="20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(17,454)</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68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23,392</w:t>
            </w:r>
          </w:p>
        </w:tc>
        <w:tc>
          <w:tcPr>
            <w:tcW w:w="20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tcPr>
          <w:p>
            <w:pPr>
              <w:spacing w:after="0"/>
              <w:rPr>
                <w:sz w:val="20"/>
                <w:szCs w:val="20"/>
                <w:color w:val="auto"/>
              </w:rPr>
            </w:pPr>
            <w:r>
              <w:rPr>
                <w:rFonts w:ascii="Arial" w:cs="Arial" w:eastAsia="Arial" w:hAnsi="Arial"/>
                <w:sz w:val="16"/>
                <w:szCs w:val="16"/>
                <w:color w:val="auto"/>
              </w:rPr>
              <w:t>Attributable to:</w:t>
            </w: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Owners of the Group</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8,752</w:t>
            </w:r>
          </w:p>
        </w:tc>
        <w:tc>
          <w:tcPr>
            <w:tcW w:w="20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19,304</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14,640</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23,237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top w:val="single" w:sz="8" w:color="E5FFFF"/>
              <w:bottom w:val="single" w:sz="8" w:color="E5FFFF"/>
            </w:tcBorders>
            <w:shd w:val="clear" w:color="auto" w:fill="E5FFFF"/>
          </w:tcPr>
          <w:p>
            <w:pPr>
              <w:spacing w:after="0"/>
              <w:rPr>
                <w:sz w:val="17"/>
                <w:szCs w:val="17"/>
                <w:color w:val="auto"/>
              </w:rPr>
            </w:pPr>
          </w:p>
        </w:tc>
        <w:tc>
          <w:tcPr>
            <w:tcW w:w="68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23,392</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 per share – basic and diluted</w:t>
            </w:r>
          </w:p>
        </w:tc>
        <w:tc>
          <w:tcPr>
            <w:tcW w:w="6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w:t>
            </w:r>
          </w:p>
        </w:tc>
        <w:tc>
          <w:tcPr>
            <w:tcW w:w="24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0.08</w:t>
            </w:r>
          </w:p>
        </w:tc>
        <w:tc>
          <w:tcPr>
            <w:tcW w:w="20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0.21</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9920" w:type="dxa"/>
            <w:vAlign w:val="bottom"/>
            <w:gridSpan w:val="5"/>
          </w:tcPr>
          <w:p>
            <w:pPr>
              <w:jc w:val="center"/>
              <w:ind w:left="1379"/>
              <w:spacing w:after="0"/>
              <w:rPr>
                <w:sz w:val="20"/>
                <w:szCs w:val="20"/>
                <w:color w:val="auto"/>
              </w:rPr>
            </w:pPr>
            <w:r>
              <w:rPr>
                <w:rFonts w:ascii="Arial" w:cs="Arial" w:eastAsia="Arial" w:hAnsi="Arial"/>
                <w:sz w:val="16"/>
                <w:szCs w:val="16"/>
                <w:color w:val="auto"/>
                <w:w w:val="90"/>
              </w:rPr>
              <w:t>The accompanying notes are an integral part of these unaudited condensed consolidated financial statements.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Pr>
          <w:p>
            <w:pPr>
              <w:jc w:val="center"/>
              <w:ind w:left="3879"/>
              <w:spacing w:after="0"/>
              <w:rPr>
                <w:sz w:val="20"/>
                <w:szCs w:val="20"/>
                <w:color w:val="auto"/>
              </w:rPr>
            </w:pPr>
            <w:r>
              <w:rPr>
                <w:rFonts w:ascii="Arial" w:cs="Arial" w:eastAsia="Arial" w:hAnsi="Arial"/>
                <w:sz w:val="16"/>
                <w:szCs w:val="16"/>
                <w:color w:val="auto"/>
                <w:w w:val="91"/>
              </w:rPr>
              <w:t>F-3</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440" w:type="dxa"/>
            <w:vAlign w:val="bottom"/>
            <w:tcBorders>
              <w:bottom w:val="single" w:sz="8" w:color="808080"/>
            </w:tcBorders>
            <w:gridSpan w:val="2"/>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1"/>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GasLog Ltd. and its Subsidiaries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Unaudited condensed consolidated statements of comprehensive income or loss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For the three months ended March 31, 2017 and 2018</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March 31, 2017</w:t>
            </w: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March 31, 2018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 for the period</w:t>
            </w:r>
          </w:p>
        </w:tc>
        <w:tc>
          <w:tcPr>
            <w:tcW w:w="6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23,392</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42,541</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b w:val="1"/>
                <w:bCs w:val="1"/>
                <w:color w:val="auto"/>
              </w:rPr>
              <w:t>Other comprehensive (loss)/income:</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Items that may be reclassified subsequently to profit or loss:</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Effective portion of changes in fair value of cash flow hedges, net of amounts recycled to profit or loss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2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1,506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Other comprehensive (loss)/income for the period</w:t>
            </w:r>
          </w:p>
        </w:tc>
        <w:tc>
          <w:tcPr>
            <w:tcW w:w="6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1,506</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comprehensive income for the period</w:t>
            </w:r>
          </w:p>
        </w:tc>
        <w:tc>
          <w:tcPr>
            <w:tcW w:w="680" w:type="dxa"/>
            <w:vAlign w:val="bottom"/>
            <w:tcBorders>
              <w:bottom w:val="single" w:sz="8" w:color="E5FFFF"/>
            </w:tcBorders>
          </w:tcPr>
          <w:p>
            <w:pPr>
              <w:spacing w:after="0"/>
              <w:rPr>
                <w:sz w:val="20"/>
                <w:szCs w:val="20"/>
                <w:color w:val="auto"/>
              </w:rPr>
            </w:pPr>
          </w:p>
        </w:tc>
        <w:tc>
          <w:tcPr>
            <w:tcW w:w="24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23,348</w:t>
            </w:r>
          </w:p>
        </w:tc>
        <w:tc>
          <w:tcPr>
            <w:tcW w:w="200" w:type="dxa"/>
            <w:vAlign w:val="bottom"/>
            <w:tcBorders>
              <w:bottom w:val="single" w:sz="8" w:color="E5FF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44,047</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20" w:type="dxa"/>
            <w:vAlign w:val="bottom"/>
            <w:shd w:val="clear" w:color="auto" w:fill="E5FFFF"/>
          </w:tcPr>
          <w:p>
            <w:pPr>
              <w:spacing w:after="0" w:line="156" w:lineRule="exact"/>
              <w:rPr>
                <w:sz w:val="20"/>
                <w:szCs w:val="20"/>
                <w:color w:val="auto"/>
              </w:rPr>
            </w:pPr>
            <w:r>
              <w:rPr>
                <w:rFonts w:ascii="Arial" w:cs="Arial" w:eastAsia="Arial" w:hAnsi="Arial"/>
                <w:sz w:val="16"/>
                <w:szCs w:val="16"/>
                <w:color w:val="auto"/>
              </w:rPr>
              <w:t>Attributable to:</w:t>
            </w:r>
          </w:p>
        </w:tc>
        <w:tc>
          <w:tcPr>
            <w:tcW w:w="68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138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138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Owners of the Group</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8,708</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20,810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14,640</w:t>
            </w:r>
          </w:p>
        </w:tc>
        <w:tc>
          <w:tcPr>
            <w:tcW w:w="20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23,237</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23,348</w:t>
            </w:r>
          </w:p>
        </w:tc>
        <w:tc>
          <w:tcPr>
            <w:tcW w:w="2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44,047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-2814320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-2814320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changes in equity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2017 and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Capital</w:t>
            </w: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Preference</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Contributed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Treasury</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(Accumulated</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Attributable</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Non -</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(Note</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Surplus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shares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deficit)/retained</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to owners of</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controlling</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8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6"/>
              </w:rPr>
              <w:t>12)</w:t>
            </w: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(Note 12)</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(Note 12)</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5"/>
              </w:rPr>
              <w:t>Reserves</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(Note 12)</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earnings</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the Group</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r>
      <w:tr>
        <w:trPr>
          <w:trHeight w:val="202"/>
        </w:trPr>
        <w:tc>
          <w:tcPr>
            <w:tcW w:w="28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Balance as of January 1, 2017</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46</w:t>
            </w:r>
          </w:p>
        </w:tc>
        <w:tc>
          <w:tcPr>
            <w:tcW w:w="12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966,974</w:t>
            </w:r>
          </w:p>
        </w:tc>
        <w:tc>
          <w:tcPr>
            <w:tcW w:w="12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10,160</w:t>
            </w:r>
          </w:p>
        </w:tc>
        <w:tc>
          <w:tcPr>
            <w:tcW w:w="12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(10,861)</w:t>
            </w: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(21,486)</w:t>
            </w:r>
          </w:p>
        </w:tc>
        <w:tc>
          <w:tcPr>
            <w:tcW w:w="12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945,643</w:t>
            </w:r>
          </w:p>
        </w:tc>
        <w:tc>
          <w:tcPr>
            <w:tcW w:w="12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564,039</w:t>
            </w:r>
          </w:p>
        </w:tc>
        <w:tc>
          <w:tcPr>
            <w:tcW w:w="120" w:type="dxa"/>
            <w:vAlign w:val="bottom"/>
            <w:tcBorders>
              <w:top w:val="single" w:sz="8" w:color="E5FFFF"/>
            </w:tcBorders>
            <w:shd w:val="clear" w:color="auto" w:fill="E5FFFF"/>
          </w:tcPr>
          <w:p>
            <w:pPr>
              <w:spacing w:after="0"/>
              <w:rPr>
                <w:sz w:val="17"/>
                <w:szCs w:val="17"/>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1,509,682</w:t>
            </w:r>
          </w:p>
        </w:tc>
        <w:tc>
          <w:tcPr>
            <w:tcW w:w="100" w:type="dxa"/>
            <w:vAlign w:val="bottom"/>
            <w:tcBorders>
              <w:top w:val="single" w:sz="8" w:color="E5FFFF"/>
            </w:tcBorders>
            <w:shd w:val="clear" w:color="auto" w:fill="E5FFFF"/>
          </w:tcPr>
          <w:p>
            <w:pPr>
              <w:spacing w:after="0"/>
              <w:rPr>
                <w:sz w:val="17"/>
                <w:szCs w:val="17"/>
                <w:color w:val="auto"/>
              </w:rPr>
            </w:pPr>
          </w:p>
        </w:tc>
      </w:tr>
      <w:tr>
        <w:trPr>
          <w:trHeight w:val="173"/>
        </w:trPr>
        <w:tc>
          <w:tcPr>
            <w:tcW w:w="2880" w:type="dxa"/>
            <w:vAlign w:val="bottom"/>
          </w:tcPr>
          <w:p>
            <w:pPr>
              <w:spacing w:after="0" w:line="173" w:lineRule="exact"/>
              <w:rPr>
                <w:sz w:val="20"/>
                <w:szCs w:val="20"/>
                <w:color w:val="auto"/>
              </w:rPr>
            </w:pPr>
            <w:r>
              <w:rPr>
                <w:rFonts w:ascii="Arial" w:cs="Arial" w:eastAsia="Arial" w:hAnsi="Arial"/>
                <w:sz w:val="16"/>
                <w:szCs w:val="16"/>
                <w:color w:val="auto"/>
              </w:rPr>
              <w:t>Net proceeds from GasLog Partners’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public offering (Note 3)</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78,025</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78,025</w:t>
            </w:r>
          </w:p>
        </w:tc>
      </w:tr>
      <w:tr>
        <w:trPr>
          <w:trHeight w:val="212"/>
        </w:trPr>
        <w:tc>
          <w:tcPr>
            <w:tcW w:w="2880" w:type="dxa"/>
            <w:vAlign w:val="bottom"/>
            <w:shd w:val="clear" w:color="auto" w:fill="E5FFFF"/>
          </w:tcPr>
          <w:p>
            <w:pPr>
              <w:spacing w:after="0"/>
              <w:rPr>
                <w:sz w:val="20"/>
                <w:szCs w:val="20"/>
                <w:color w:val="auto"/>
              </w:rPr>
            </w:pPr>
            <w:r>
              <w:rPr>
                <w:rFonts w:ascii="Arial" w:cs="Arial" w:eastAsia="Arial" w:hAnsi="Arial"/>
                <w:sz w:val="16"/>
                <w:szCs w:val="16"/>
                <w:color w:val="auto"/>
              </w:rPr>
              <w:t>Dividend paid (common and preference</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(13,794)</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(13,794)</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(13,798)</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(27,592)</w:t>
            </w:r>
          </w:p>
        </w:tc>
      </w:tr>
      <w:tr>
        <w:trPr>
          <w:trHeight w:val="161"/>
        </w:trPr>
        <w:tc>
          <w:tcPr>
            <w:tcW w:w="2880" w:type="dxa"/>
            <w:vAlign w:val="bottom"/>
            <w:shd w:val="clear" w:color="auto" w:fill="E5FFFF"/>
          </w:tcPr>
          <w:p>
            <w:pPr>
              <w:spacing w:after="0"/>
              <w:rPr>
                <w:sz w:val="13"/>
                <w:szCs w:val="13"/>
                <w:color w:val="auto"/>
              </w:rPr>
            </w:pPr>
          </w:p>
        </w:tc>
        <w:tc>
          <w:tcPr>
            <w:tcW w:w="58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80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92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80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78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112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90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78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80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r>
    </w:tbl>
    <w:p>
      <w:pPr>
        <w:sectPr>
          <w:pgSz w:w="11900" w:h="16900" w:orient="portrait"/>
          <w:cols w:equalWidth="0" w:num="1">
            <w:col w:w="11460"/>
          </w:cols>
          <w:pgMar w:left="240" w:top="130" w:right="199" w:bottom="0" w:gutter="0" w:footer="0" w:header="0"/>
        </w:sectPr>
      </w:pPr>
    </w:p>
    <w:bookmarkStart w:id="20" w:name="page21"/>
    <w:bookmarkEnd w:id="2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shares) (Note 12)</w:t>
            </w:r>
          </w:p>
        </w:tc>
        <w:tc>
          <w:tcPr>
            <w:tcW w:w="5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193"/>
        </w:trPr>
        <w:tc>
          <w:tcPr>
            <w:tcW w:w="2880" w:type="dxa"/>
            <w:vAlign w:val="bottom"/>
          </w:tcPr>
          <w:p>
            <w:pPr>
              <w:spacing w:after="0"/>
              <w:rPr>
                <w:sz w:val="20"/>
                <w:szCs w:val="20"/>
                <w:color w:val="auto"/>
              </w:rPr>
            </w:pPr>
            <w:r>
              <w:rPr>
                <w:rFonts w:ascii="Arial" w:cs="Arial" w:eastAsia="Arial" w:hAnsi="Arial"/>
                <w:sz w:val="16"/>
                <w:szCs w:val="16"/>
                <w:color w:val="auto"/>
                <w:w w:val="93"/>
              </w:rPr>
              <w:t>Share-based compensation, net of accrued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dividend (Note 17)</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929</w:t>
            </w:r>
          </w:p>
        </w:tc>
        <w:tc>
          <w:tcPr>
            <w:tcW w:w="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929</w:t>
            </w:r>
          </w:p>
        </w:tc>
      </w:tr>
      <w:tr>
        <w:trPr>
          <w:trHeight w:val="209"/>
        </w:trPr>
        <w:tc>
          <w:tcPr>
            <w:tcW w:w="288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ind w:left="6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8,752</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8,752</w:t>
            </w:r>
          </w:p>
        </w:tc>
        <w:tc>
          <w:tcPr>
            <w:tcW w:w="120" w:type="dxa"/>
            <w:vAlign w:val="bottom"/>
            <w:shd w:val="clear" w:color="auto" w:fill="E5FFFF"/>
          </w:tcPr>
          <w:p>
            <w:pPr>
              <w:spacing w:after="0"/>
              <w:rPr>
                <w:sz w:val="18"/>
                <w:szCs w:val="18"/>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14,640</w:t>
            </w:r>
          </w:p>
        </w:tc>
        <w:tc>
          <w:tcPr>
            <w:tcW w:w="12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23,392</w:t>
            </w:r>
          </w:p>
        </w:tc>
      </w:tr>
      <w:tr>
        <w:trPr>
          <w:trHeight w:val="203"/>
        </w:trPr>
        <w:tc>
          <w:tcPr>
            <w:tcW w:w="2880" w:type="dxa"/>
            <w:vAlign w:val="bottom"/>
          </w:tcPr>
          <w:p>
            <w:pPr>
              <w:spacing w:after="0"/>
              <w:rPr>
                <w:sz w:val="20"/>
                <w:szCs w:val="20"/>
                <w:color w:val="auto"/>
              </w:rPr>
            </w:pPr>
            <w:r>
              <w:rPr>
                <w:rFonts w:ascii="Arial" w:cs="Arial" w:eastAsia="Arial" w:hAnsi="Arial"/>
                <w:sz w:val="16"/>
                <w:szCs w:val="16"/>
                <w:color w:val="auto"/>
              </w:rPr>
              <w:t>Other comprehensive loss for the period</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(44)</w:t>
            </w:r>
          </w:p>
        </w:tc>
      </w:tr>
      <w:tr>
        <w:trPr>
          <w:trHeight w:val="169"/>
        </w:trPr>
        <w:tc>
          <w:tcPr>
            <w:tcW w:w="2880" w:type="dxa"/>
            <w:vAlign w:val="bottom"/>
            <w:tcBorders>
              <w:top w:val="single" w:sz="8" w:color="E5FFFF"/>
            </w:tcBorders>
            <w:shd w:val="clear" w:color="auto" w:fill="E5FFFF"/>
          </w:tcPr>
          <w:p>
            <w:pPr>
              <w:spacing w:after="0" w:line="169" w:lineRule="exact"/>
              <w:rPr>
                <w:sz w:val="20"/>
                <w:szCs w:val="20"/>
                <w:color w:val="auto"/>
              </w:rPr>
            </w:pPr>
            <w:r>
              <w:rPr>
                <w:rFonts w:ascii="Arial" w:cs="Arial" w:eastAsia="Arial" w:hAnsi="Arial"/>
                <w:sz w:val="16"/>
                <w:szCs w:val="16"/>
                <w:b w:val="1"/>
                <w:bCs w:val="1"/>
                <w:color w:val="auto"/>
                <w:w w:val="96"/>
              </w:rPr>
              <w:t>Total comprehensive (loss)/ income for</w:t>
            </w:r>
          </w:p>
        </w:tc>
        <w:tc>
          <w:tcPr>
            <w:tcW w:w="58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92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78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112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90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78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r>
      <w:tr>
        <w:trPr>
          <w:trHeight w:val="216"/>
        </w:trPr>
        <w:tc>
          <w:tcPr>
            <w:tcW w:w="288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the period</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E5FFFF"/>
          </w:tcPr>
          <w:p>
            <w:pPr>
              <w:ind w:left="64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(44)</w:t>
            </w:r>
          </w:p>
        </w:tc>
        <w:tc>
          <w:tcPr>
            <w:tcW w:w="90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8,752</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8,708</w:t>
            </w:r>
          </w:p>
        </w:tc>
        <w:tc>
          <w:tcPr>
            <w:tcW w:w="120" w:type="dxa"/>
            <w:vAlign w:val="bottom"/>
            <w:shd w:val="clear" w:color="auto" w:fill="E5FFFF"/>
          </w:tcPr>
          <w:p>
            <w:pPr>
              <w:spacing w:after="0"/>
              <w:rPr>
                <w:sz w:val="18"/>
                <w:szCs w:val="18"/>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14,640</w:t>
            </w:r>
          </w:p>
        </w:tc>
        <w:tc>
          <w:tcPr>
            <w:tcW w:w="12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23,348</w:t>
            </w:r>
          </w:p>
        </w:tc>
      </w:tr>
      <w:tr>
        <w:trPr>
          <w:trHeight w:val="196"/>
        </w:trPr>
        <w:tc>
          <w:tcPr>
            <w:tcW w:w="28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Balance as of March 31, 2017</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Borders>
              <w:bottom w:val="single" w:sz="8" w:color="E5FFFF"/>
            </w:tcBorders>
          </w:tcPr>
          <w:p>
            <w:pPr>
              <w:spacing w:after="0"/>
              <w:rPr>
                <w:sz w:val="17"/>
                <w:szCs w:val="17"/>
                <w:color w:val="auto"/>
              </w:rPr>
            </w:pPr>
          </w:p>
        </w:tc>
        <w:tc>
          <w:tcPr>
            <w:tcW w:w="8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b w:val="1"/>
                <w:bCs w:val="1"/>
                <w:color w:val="auto"/>
                <w:w w:val="78"/>
              </w:rPr>
              <w:t>46</w:t>
            </w:r>
          </w:p>
        </w:tc>
        <w:tc>
          <w:tcPr>
            <w:tcW w:w="120" w:type="dxa"/>
            <w:vAlign w:val="bottom"/>
            <w:tcBorders>
              <w:bottom w:val="single" w:sz="8" w:color="E5FF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953,180</w:t>
            </w:r>
          </w:p>
        </w:tc>
        <w:tc>
          <w:tcPr>
            <w:tcW w:w="120" w:type="dxa"/>
            <w:vAlign w:val="bottom"/>
            <w:tcBorders>
              <w:bottom w:val="single" w:sz="8" w:color="E5FF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11,045</w:t>
            </w:r>
          </w:p>
        </w:tc>
        <w:tc>
          <w:tcPr>
            <w:tcW w:w="120" w:type="dxa"/>
            <w:vAlign w:val="bottom"/>
            <w:tcBorders>
              <w:bottom w:val="single" w:sz="8" w:color="E5FF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(10,861)</w:t>
            </w:r>
          </w:p>
        </w:tc>
        <w:tc>
          <w:tcPr>
            <w:tcW w:w="120" w:type="dxa"/>
            <w:vAlign w:val="bottom"/>
            <w:tcBorders>
              <w:bottom w:val="single" w:sz="8" w:color="E5FF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(12,734)</w:t>
            </w:r>
          </w:p>
        </w:tc>
        <w:tc>
          <w:tcPr>
            <w:tcW w:w="120" w:type="dxa"/>
            <w:vAlign w:val="bottom"/>
            <w:tcBorders>
              <w:bottom w:val="single" w:sz="8" w:color="E5FF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941,486</w:t>
            </w:r>
          </w:p>
        </w:tc>
        <w:tc>
          <w:tcPr>
            <w:tcW w:w="120" w:type="dxa"/>
            <w:vAlign w:val="bottom"/>
            <w:tcBorders>
              <w:bottom w:val="single" w:sz="8" w:color="E5FF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642,906</w:t>
            </w:r>
          </w:p>
        </w:tc>
        <w:tc>
          <w:tcPr>
            <w:tcW w:w="120" w:type="dxa"/>
            <w:vAlign w:val="bottom"/>
            <w:tcBorders>
              <w:bottom w:val="single" w:sz="8" w:color="E5FF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1,584,392</w:t>
            </w:r>
          </w:p>
        </w:tc>
        <w:tc>
          <w:tcPr>
            <w:tcW w:w="100" w:type="dxa"/>
            <w:vAlign w:val="bottom"/>
            <w:tcBorders>
              <w:bottom w:val="single" w:sz="8" w:color="E5FFFF"/>
            </w:tcBorders>
          </w:tcPr>
          <w:p>
            <w:pPr>
              <w:spacing w:after="0"/>
              <w:rPr>
                <w:sz w:val="17"/>
                <w:szCs w:val="17"/>
                <w:color w:val="auto"/>
              </w:rPr>
            </w:pPr>
          </w:p>
        </w:tc>
      </w:tr>
      <w:tr>
        <w:trPr>
          <w:trHeight w:val="210"/>
        </w:trPr>
        <w:tc>
          <w:tcPr>
            <w:tcW w:w="2880" w:type="dxa"/>
            <w:vAlign w:val="bottom"/>
            <w:shd w:val="clear" w:color="auto" w:fill="E5FFFF"/>
          </w:tcPr>
          <w:p>
            <w:pPr>
              <w:spacing w:after="0"/>
              <w:rPr>
                <w:sz w:val="18"/>
                <w:szCs w:val="18"/>
                <w:color w:val="auto"/>
              </w:rPr>
            </w:pPr>
          </w:p>
        </w:tc>
        <w:tc>
          <w:tcPr>
            <w:tcW w:w="580" w:type="dxa"/>
            <w:vAlign w:val="bottom"/>
            <w:tcBorders>
              <w:bottom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196"/>
        </w:trPr>
        <w:tc>
          <w:tcPr>
            <w:tcW w:w="28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Balance as of December 31,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w w:val="78"/>
              </w:rPr>
              <w:t>46</w:t>
            </w:r>
          </w:p>
        </w:tc>
        <w:tc>
          <w:tcPr>
            <w:tcW w:w="120" w:type="dxa"/>
            <w:vAlign w:val="bottom"/>
            <w:tcBorders>
              <w:bottom w:val="single" w:sz="8" w:color="E5FF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911,766</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18,347</w:t>
            </w:r>
          </w:p>
        </w:tc>
        <w:tc>
          <w:tcPr>
            <w:tcW w:w="120" w:type="dxa"/>
            <w:vAlign w:val="bottom"/>
            <w:tcBorders>
              <w:bottom w:val="single" w:sz="8" w:color="E5FF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(6,960)</w:t>
            </w:r>
          </w:p>
        </w:tc>
        <w:tc>
          <w:tcPr>
            <w:tcW w:w="120" w:type="dxa"/>
            <w:vAlign w:val="bottom"/>
            <w:tcBorders>
              <w:bottom w:val="single" w:sz="8" w:color="E5FF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(5,980)</w:t>
            </w:r>
          </w:p>
        </w:tc>
        <w:tc>
          <w:tcPr>
            <w:tcW w:w="120" w:type="dxa"/>
            <w:vAlign w:val="bottom"/>
            <w:tcBorders>
              <w:bottom w:val="single" w:sz="8" w:color="E5FF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918,029</w:t>
            </w:r>
          </w:p>
        </w:tc>
        <w:tc>
          <w:tcPr>
            <w:tcW w:w="120" w:type="dxa"/>
            <w:vAlign w:val="bottom"/>
            <w:tcBorders>
              <w:bottom w:val="single" w:sz="8" w:color="E5FF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845,105</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1,763,134</w:t>
            </w:r>
          </w:p>
        </w:tc>
        <w:tc>
          <w:tcPr>
            <w:tcW w:w="100" w:type="dxa"/>
            <w:vAlign w:val="bottom"/>
            <w:tcBorders>
              <w:bottom w:val="single" w:sz="8" w:color="E5FFFF"/>
            </w:tcBorders>
          </w:tcPr>
          <w:p>
            <w:pPr>
              <w:spacing w:after="0"/>
              <w:rPr>
                <w:sz w:val="17"/>
                <w:szCs w:val="17"/>
                <w:color w:val="auto"/>
              </w:rPr>
            </w:pPr>
          </w:p>
        </w:tc>
      </w:tr>
      <w:tr>
        <w:trPr>
          <w:trHeight w:val="196"/>
        </w:trPr>
        <w:tc>
          <w:tcPr>
            <w:tcW w:w="2880" w:type="dxa"/>
            <w:vAlign w:val="bottom"/>
            <w:shd w:val="clear" w:color="auto" w:fill="E5FFFF"/>
          </w:tcPr>
          <w:p>
            <w:pPr>
              <w:spacing w:after="0" w:line="196" w:lineRule="exact"/>
              <w:rPr>
                <w:sz w:val="20"/>
                <w:szCs w:val="20"/>
                <w:color w:val="auto"/>
              </w:rPr>
            </w:pPr>
            <w:r>
              <w:rPr>
                <w:rFonts w:ascii="Arial" w:cs="Arial" w:eastAsia="Arial" w:hAnsi="Arial"/>
                <w:sz w:val="16"/>
                <w:szCs w:val="16"/>
                <w:color w:val="auto"/>
              </w:rPr>
              <w:t>Opening adjustment</w:t>
            </w:r>
            <w:r>
              <w:rPr>
                <w:rFonts w:ascii="Arial" w:cs="Arial" w:eastAsia="Arial" w:hAnsi="Arial"/>
                <w:sz w:val="21"/>
                <w:szCs w:val="21"/>
                <w:color w:val="auto"/>
                <w:vertAlign w:val="superscript"/>
              </w:rPr>
              <w:t>(1)</w:t>
            </w: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ind w:left="6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E5FFFF"/>
          </w:tcPr>
          <w:p>
            <w:pPr>
              <w:spacing w:after="0"/>
              <w:rPr>
                <w:sz w:val="17"/>
                <w:szCs w:val="17"/>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E5FFFF"/>
          </w:tcPr>
          <w:p>
            <w:pPr>
              <w:spacing w:after="0"/>
              <w:rPr>
                <w:sz w:val="17"/>
                <w:szCs w:val="17"/>
                <w:color w:val="auto"/>
              </w:rPr>
            </w:pPr>
          </w:p>
        </w:tc>
      </w:tr>
      <w:tr>
        <w:trPr>
          <w:trHeight w:val="196"/>
        </w:trPr>
        <w:tc>
          <w:tcPr>
            <w:tcW w:w="28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Balance as of January 1, 2018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w w:val="78"/>
              </w:rPr>
              <w:t>46</w:t>
            </w:r>
          </w:p>
        </w:tc>
        <w:tc>
          <w:tcPr>
            <w:tcW w:w="120" w:type="dxa"/>
            <w:vAlign w:val="bottom"/>
            <w:tcBorders>
              <w:bottom w:val="single" w:sz="8" w:color="E5FF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911,766</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17,911</w:t>
            </w:r>
          </w:p>
        </w:tc>
        <w:tc>
          <w:tcPr>
            <w:tcW w:w="120" w:type="dxa"/>
            <w:vAlign w:val="bottom"/>
            <w:tcBorders>
              <w:bottom w:val="single" w:sz="8" w:color="E5FF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(6,960)</w:t>
            </w:r>
          </w:p>
        </w:tc>
        <w:tc>
          <w:tcPr>
            <w:tcW w:w="120" w:type="dxa"/>
            <w:vAlign w:val="bottom"/>
            <w:tcBorders>
              <w:bottom w:val="single" w:sz="8" w:color="E5FF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(5,790)</w:t>
            </w:r>
          </w:p>
        </w:tc>
        <w:tc>
          <w:tcPr>
            <w:tcW w:w="120" w:type="dxa"/>
            <w:vAlign w:val="bottom"/>
            <w:tcBorders>
              <w:bottom w:val="single" w:sz="8" w:color="E5FF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917,783</w:t>
            </w:r>
          </w:p>
        </w:tc>
        <w:tc>
          <w:tcPr>
            <w:tcW w:w="120" w:type="dxa"/>
            <w:vAlign w:val="bottom"/>
            <w:tcBorders>
              <w:bottom w:val="single" w:sz="8" w:color="E5FF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845,105</w:t>
            </w:r>
          </w:p>
        </w:tc>
        <w:tc>
          <w:tcPr>
            <w:tcW w:w="120" w:type="dxa"/>
            <w:vAlign w:val="bottom"/>
            <w:tcBorders>
              <w:bottom w:val="single" w:sz="8" w:color="E5FF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1,762,888</w:t>
            </w:r>
          </w:p>
        </w:tc>
        <w:tc>
          <w:tcPr>
            <w:tcW w:w="100" w:type="dxa"/>
            <w:vAlign w:val="bottom"/>
            <w:tcBorders>
              <w:bottom w:val="single" w:sz="8" w:color="E5FFFF"/>
            </w:tcBorders>
          </w:tcPr>
          <w:p>
            <w:pPr>
              <w:spacing w:after="0"/>
              <w:rPr>
                <w:sz w:val="17"/>
                <w:szCs w:val="17"/>
                <w:color w:val="auto"/>
              </w:rPr>
            </w:pPr>
          </w:p>
        </w:tc>
      </w:tr>
      <w:tr>
        <w:trPr>
          <w:trHeight w:val="173"/>
        </w:trPr>
        <w:tc>
          <w:tcPr>
            <w:tcW w:w="2880" w:type="dxa"/>
            <w:vAlign w:val="bottom"/>
            <w:shd w:val="clear" w:color="auto" w:fill="E5FFFF"/>
          </w:tcPr>
          <w:p>
            <w:pPr>
              <w:spacing w:after="0" w:line="173" w:lineRule="exact"/>
              <w:rPr>
                <w:sz w:val="20"/>
                <w:szCs w:val="20"/>
                <w:color w:val="auto"/>
              </w:rPr>
            </w:pPr>
            <w:r>
              <w:rPr>
                <w:rFonts w:ascii="Arial" w:cs="Arial" w:eastAsia="Arial" w:hAnsi="Arial"/>
                <w:sz w:val="16"/>
                <w:szCs w:val="16"/>
                <w:color w:val="auto"/>
              </w:rPr>
              <w:t>Net proceeds from GasLog Partners’</w:t>
            </w:r>
          </w:p>
        </w:tc>
        <w:tc>
          <w:tcPr>
            <w:tcW w:w="58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78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11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9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78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12"/>
        </w:trPr>
        <w:tc>
          <w:tcPr>
            <w:tcW w:w="2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public offering (Note 3)</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ind w:left="6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111,197</w:t>
            </w:r>
          </w:p>
        </w:tc>
        <w:tc>
          <w:tcPr>
            <w:tcW w:w="12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111,197</w:t>
            </w:r>
          </w:p>
        </w:tc>
      </w:tr>
      <w:tr>
        <w:trPr>
          <w:trHeight w:val="193"/>
        </w:trPr>
        <w:tc>
          <w:tcPr>
            <w:tcW w:w="2880" w:type="dxa"/>
            <w:vAlign w:val="bottom"/>
          </w:tcPr>
          <w:p>
            <w:pPr>
              <w:spacing w:after="0"/>
              <w:rPr>
                <w:sz w:val="20"/>
                <w:szCs w:val="20"/>
                <w:color w:val="auto"/>
              </w:rPr>
            </w:pPr>
            <w:r>
              <w:rPr>
                <w:rFonts w:ascii="Arial" w:cs="Arial" w:eastAsia="Arial" w:hAnsi="Arial"/>
                <w:sz w:val="16"/>
                <w:szCs w:val="16"/>
                <w:color w:val="auto"/>
              </w:rPr>
              <w:t>Dividend paid (common and preference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2880" w:type="dxa"/>
            <w:vAlign w:val="bottom"/>
          </w:tcPr>
          <w:p>
            <w:pPr>
              <w:ind w:left="180"/>
              <w:spacing w:after="0"/>
              <w:rPr>
                <w:sz w:val="20"/>
                <w:szCs w:val="20"/>
                <w:color w:val="auto"/>
              </w:rPr>
            </w:pPr>
            <w:r>
              <w:rPr>
                <w:rFonts w:ascii="Arial" w:cs="Arial" w:eastAsia="Arial" w:hAnsi="Arial"/>
                <w:sz w:val="16"/>
                <w:szCs w:val="16"/>
                <w:color w:val="auto"/>
              </w:rPr>
              <w:t>shares) (Note 12)</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(13,816)</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(13,816)</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(20,857)</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(34,673)</w:t>
            </w:r>
          </w:p>
        </w:tc>
      </w:tr>
      <w:tr>
        <w:trPr>
          <w:trHeight w:val="199"/>
        </w:trPr>
        <w:tc>
          <w:tcPr>
            <w:tcW w:w="2880" w:type="dxa"/>
            <w:vAlign w:val="bottom"/>
            <w:shd w:val="clear" w:color="auto" w:fill="E5FFFF"/>
          </w:tcPr>
          <w:p>
            <w:pPr>
              <w:spacing w:after="0"/>
              <w:rPr>
                <w:sz w:val="20"/>
                <w:szCs w:val="20"/>
                <w:color w:val="auto"/>
              </w:rPr>
            </w:pPr>
            <w:r>
              <w:rPr>
                <w:rFonts w:ascii="Arial" w:cs="Arial" w:eastAsia="Arial" w:hAnsi="Arial"/>
                <w:sz w:val="16"/>
                <w:szCs w:val="16"/>
                <w:color w:val="auto"/>
                <w:w w:val="93"/>
              </w:rPr>
              <w:t>Share-based compensation, net of accrued</w:t>
            </w:r>
          </w:p>
        </w:tc>
        <w:tc>
          <w:tcPr>
            <w:tcW w:w="5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2"/>
        </w:trPr>
        <w:tc>
          <w:tcPr>
            <w:tcW w:w="2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dividend (Note 17)</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ind w:left="6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1,057</w:t>
            </w:r>
          </w:p>
        </w:tc>
        <w:tc>
          <w:tcPr>
            <w:tcW w:w="90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1,057</w:t>
            </w:r>
          </w:p>
        </w:tc>
        <w:tc>
          <w:tcPr>
            <w:tcW w:w="12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1,057</w:t>
            </w:r>
          </w:p>
        </w:tc>
      </w:tr>
      <w:tr>
        <w:trPr>
          <w:trHeight w:val="203"/>
        </w:trPr>
        <w:tc>
          <w:tcPr>
            <w:tcW w:w="2880" w:type="dxa"/>
            <w:vAlign w:val="bottom"/>
          </w:tcPr>
          <w:p>
            <w:pPr>
              <w:spacing w:after="0"/>
              <w:rPr>
                <w:sz w:val="20"/>
                <w:szCs w:val="20"/>
                <w:color w:val="auto"/>
              </w:rPr>
            </w:pPr>
            <w:r>
              <w:rPr>
                <w:rFonts w:ascii="Arial" w:cs="Arial" w:eastAsia="Arial" w:hAnsi="Arial"/>
                <w:sz w:val="16"/>
                <w:szCs w:val="16"/>
                <w:color w:val="auto"/>
                <w:w w:val="98"/>
              </w:rPr>
              <w:t>Settlement of share-based compensation</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r>
      <w:tr>
        <w:trPr>
          <w:trHeight w:val="203"/>
        </w:trPr>
        <w:tc>
          <w:tcPr>
            <w:tcW w:w="2880" w:type="dxa"/>
            <w:vAlign w:val="bottom"/>
            <w:shd w:val="clear" w:color="auto" w:fill="E5FFFF"/>
          </w:tcPr>
          <w:p>
            <w:pPr>
              <w:spacing w:after="0"/>
              <w:rPr>
                <w:sz w:val="20"/>
                <w:szCs w:val="20"/>
                <w:color w:val="auto"/>
              </w:rPr>
            </w:pPr>
            <w:r>
              <w:rPr>
                <w:rFonts w:ascii="Arial" w:cs="Arial" w:eastAsia="Arial" w:hAnsi="Arial"/>
                <w:sz w:val="16"/>
                <w:szCs w:val="16"/>
                <w:color w:val="auto"/>
              </w:rPr>
              <w:t>Treasury shares, net</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ind w:left="6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(62)</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(62)</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(62)</w:t>
            </w:r>
          </w:p>
        </w:tc>
      </w:tr>
      <w:tr>
        <w:trPr>
          <w:trHeight w:val="203"/>
        </w:trPr>
        <w:tc>
          <w:tcPr>
            <w:tcW w:w="2880" w:type="dxa"/>
            <w:vAlign w:val="bottom"/>
          </w:tcPr>
          <w:p>
            <w:pPr>
              <w:spacing w:after="0"/>
              <w:rPr>
                <w:sz w:val="20"/>
                <w:szCs w:val="20"/>
                <w:color w:val="auto"/>
              </w:rPr>
            </w:pPr>
            <w:r>
              <w:rPr>
                <w:rFonts w:ascii="Arial" w:cs="Arial" w:eastAsia="Arial" w:hAnsi="Arial"/>
                <w:sz w:val="16"/>
                <w:szCs w:val="16"/>
                <w:color w:val="auto"/>
              </w:rPr>
              <w:t>Profit for the period</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19,304</w:t>
            </w:r>
          </w:p>
        </w:tc>
        <w:tc>
          <w:tcPr>
            <w:tcW w:w="900" w:type="dxa"/>
            <w:vAlign w:val="bottom"/>
          </w:tcPr>
          <w:p>
            <w:pPr>
              <w:jc w:val="right"/>
              <w:spacing w:after="0"/>
              <w:rPr>
                <w:sz w:val="20"/>
                <w:szCs w:val="20"/>
                <w:color w:val="auto"/>
              </w:rPr>
            </w:pPr>
            <w:r>
              <w:rPr>
                <w:rFonts w:ascii="Arial" w:cs="Arial" w:eastAsia="Arial" w:hAnsi="Arial"/>
                <w:sz w:val="16"/>
                <w:szCs w:val="16"/>
                <w:color w:val="auto"/>
              </w:rPr>
              <w:t>19,304</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23,237</w:t>
            </w:r>
          </w:p>
        </w:tc>
        <w:tc>
          <w:tcPr>
            <w:tcW w:w="1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42,541</w:t>
            </w:r>
          </w:p>
        </w:tc>
      </w:tr>
      <w:tr>
        <w:trPr>
          <w:trHeight w:val="193"/>
        </w:trPr>
        <w:tc>
          <w:tcPr>
            <w:tcW w:w="2880" w:type="dxa"/>
            <w:vAlign w:val="bottom"/>
            <w:shd w:val="clear" w:color="auto" w:fill="E5FFFF"/>
          </w:tcPr>
          <w:p>
            <w:pPr>
              <w:spacing w:after="0"/>
              <w:rPr>
                <w:sz w:val="20"/>
                <w:szCs w:val="20"/>
                <w:color w:val="auto"/>
              </w:rPr>
            </w:pPr>
            <w:r>
              <w:rPr>
                <w:rFonts w:ascii="Arial" w:cs="Arial" w:eastAsia="Arial" w:hAnsi="Arial"/>
                <w:sz w:val="16"/>
                <w:szCs w:val="16"/>
                <w:color w:val="auto"/>
              </w:rPr>
              <w:t>Other comprehensive income for the</w:t>
            </w:r>
          </w:p>
        </w:tc>
        <w:tc>
          <w:tcPr>
            <w:tcW w:w="5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9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28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period</w:t>
            </w:r>
          </w:p>
        </w:tc>
        <w:tc>
          <w:tcPr>
            <w:tcW w:w="7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ind w:left="6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1,506</w:t>
            </w:r>
          </w:p>
        </w:tc>
        <w:tc>
          <w:tcPr>
            <w:tcW w:w="900" w:type="dxa"/>
            <w:vAlign w:val="bottom"/>
            <w:gridSpan w:val="2"/>
            <w:shd w:val="clear" w:color="auto" w:fill="E5FF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1,506</w:t>
            </w:r>
          </w:p>
        </w:tc>
        <w:tc>
          <w:tcPr>
            <w:tcW w:w="12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1,506</w:t>
            </w:r>
          </w:p>
        </w:tc>
      </w:tr>
      <w:tr>
        <w:trPr>
          <w:trHeight w:val="169"/>
        </w:trPr>
        <w:tc>
          <w:tcPr>
            <w:tcW w:w="2880" w:type="dxa"/>
            <w:vAlign w:val="bottom"/>
          </w:tcPr>
          <w:p>
            <w:pPr>
              <w:spacing w:after="0" w:line="169" w:lineRule="exact"/>
              <w:rPr>
                <w:sz w:val="20"/>
                <w:szCs w:val="20"/>
                <w:color w:val="auto"/>
              </w:rPr>
            </w:pPr>
            <w:r>
              <w:rPr>
                <w:rFonts w:ascii="Arial" w:cs="Arial" w:eastAsia="Arial" w:hAnsi="Arial"/>
                <w:sz w:val="16"/>
                <w:szCs w:val="16"/>
                <w:b w:val="1"/>
                <w:bCs w:val="1"/>
                <w:color w:val="auto"/>
              </w:rPr>
              <w:t>Total comprehensive income for the</w:t>
            </w: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880" w:type="dxa"/>
            <w:vAlign w:val="bottom"/>
          </w:tcPr>
          <w:p>
            <w:pPr>
              <w:ind w:left="180"/>
              <w:spacing w:after="0"/>
              <w:rPr>
                <w:sz w:val="20"/>
                <w:szCs w:val="20"/>
                <w:color w:val="auto"/>
              </w:rPr>
            </w:pPr>
            <w:r>
              <w:rPr>
                <w:rFonts w:ascii="Arial" w:cs="Arial" w:eastAsia="Arial" w:hAnsi="Arial"/>
                <w:sz w:val="16"/>
                <w:szCs w:val="16"/>
                <w:b w:val="1"/>
                <w:bCs w:val="1"/>
                <w:color w:val="auto"/>
              </w:rPr>
              <w:t>period</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ind w:left="64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1,506</w:t>
            </w:r>
          </w:p>
        </w:tc>
        <w:tc>
          <w:tcPr>
            <w:tcW w:w="9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19,304</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20,810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23,237</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44,047</w:t>
            </w:r>
          </w:p>
        </w:tc>
      </w:tr>
      <w:tr>
        <w:trPr>
          <w:trHeight w:val="213"/>
        </w:trPr>
        <w:tc>
          <w:tcPr>
            <w:tcW w:w="28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Balance as of March 31, 2018</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ind w:left="640"/>
              <w:spacing w:after="0"/>
              <w:rPr>
                <w:sz w:val="20"/>
                <w:szCs w:val="20"/>
                <w:color w:val="auto"/>
              </w:rPr>
            </w:pPr>
            <w:r>
              <w:rPr>
                <w:rFonts w:ascii="Arial" w:cs="Arial" w:eastAsia="Arial" w:hAnsi="Arial"/>
                <w:sz w:val="16"/>
                <w:szCs w:val="16"/>
                <w:b w:val="1"/>
                <w:bCs w:val="1"/>
                <w:color w:val="auto"/>
                <w:w w:val="78"/>
              </w:rPr>
              <w:t>46</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897,950</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20,414</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(7,022</w:t>
            </w:r>
          </w:p>
        </w:tc>
        <w:tc>
          <w:tcPr>
            <w:tcW w:w="12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13,514</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925,712</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958,682</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1,884,394</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220" w:right="180" w:hanging="212"/>
        <w:spacing w:after="0" w:line="253" w:lineRule="auto"/>
        <w:tabs>
          <w:tab w:leader="none" w:pos="220" w:val="left"/>
        </w:tabs>
        <w:numPr>
          <w:ilvl w:val="0"/>
          <w:numId w:val="13"/>
        </w:numPr>
        <w:rPr>
          <w:rFonts w:ascii="Arial" w:cs="Arial" w:eastAsia="Arial" w:hAnsi="Arial"/>
          <w:sz w:val="11"/>
          <w:szCs w:val="11"/>
          <w:color w:val="auto"/>
        </w:rPr>
      </w:pPr>
      <w:r>
        <w:rPr>
          <w:rFonts w:ascii="Arial" w:cs="Arial" w:eastAsia="Arial" w:hAnsi="Arial"/>
          <w:sz w:val="14"/>
          <w:szCs w:val="14"/>
          <w:color w:val="auto"/>
        </w:rPr>
        <w:t xml:space="preserve">Adjusted so as to reflect certain amendments introduced due to the adoption of 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IFRS 9 </w:t>
      </w:r>
      <w:r>
        <w:rPr>
          <w:rFonts w:ascii="Arial" w:cs="Arial" w:eastAsia="Arial" w:hAnsi="Arial"/>
          <w:sz w:val="14"/>
          <w:szCs w:val="14"/>
          <w:i w:val="1"/>
          <w:iCs w:val="1"/>
          <w:color w:val="auto"/>
        </w:rPr>
        <w:t>Financial Instruments</w:t>
      </w:r>
      <w:r>
        <w:rPr>
          <w:rFonts w:ascii="Arial" w:cs="Arial" w:eastAsia="Arial" w:hAnsi="Arial"/>
          <w:sz w:val="14"/>
          <w:szCs w:val="14"/>
          <w:color w:val="auto"/>
        </w:rPr>
        <w:t>, which became effective on January 1, 2018 (Note 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gridSpan w:val="3"/>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360" w:type="dxa"/>
            <w:vAlign w:val="bottom"/>
            <w:gridSpan w:val="3"/>
          </w:tcPr>
          <w:p>
            <w:pPr>
              <w:spacing w:after="0"/>
              <w:rPr>
                <w:sz w:val="20"/>
                <w:szCs w:val="20"/>
                <w:color w:val="auto"/>
              </w:rPr>
            </w:pPr>
            <w:r>
              <w:rPr>
                <w:rFonts w:ascii="Arial" w:cs="Arial" w:eastAsia="Arial" w:hAnsi="Arial"/>
                <w:sz w:val="16"/>
                <w:szCs w:val="16"/>
                <w:b w:val="1"/>
                <w:bCs w:val="1"/>
                <w:color w:val="auto"/>
              </w:rPr>
              <w:t>Unaudited condensed consolidated statements of cash flows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b w:val="1"/>
                <w:bCs w:val="1"/>
                <w:color w:val="auto"/>
              </w:rPr>
              <w:t>For the three months ended March 31, 2017 and 2018</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8360" w:type="dxa"/>
            <w:vAlign w:val="bottom"/>
            <w:gridSpan w:val="3"/>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9"/>
        </w:trPr>
        <w:tc>
          <w:tcPr>
            <w:tcW w:w="7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4"/>
          </w:tcPr>
          <w:p>
            <w:pPr>
              <w:jc w:val="right"/>
              <w:ind w:right="620"/>
              <w:spacing w:after="0"/>
              <w:rPr>
                <w:sz w:val="20"/>
                <w:szCs w:val="20"/>
                <w:color w:val="auto"/>
              </w:rPr>
            </w:pPr>
            <w:r>
              <w:rPr>
                <w:rFonts w:ascii="Arial" w:cs="Arial" w:eastAsia="Arial" w:hAnsi="Arial"/>
                <w:sz w:val="16"/>
                <w:szCs w:val="16"/>
                <w:b w:val="1"/>
                <w:bCs w:val="1"/>
                <w:color w:val="auto"/>
              </w:rPr>
              <w:t>For the three months ended</w:t>
            </w:r>
          </w:p>
        </w:tc>
      </w:tr>
      <w:tr>
        <w:trPr>
          <w:trHeight w:val="243"/>
        </w:trPr>
        <w:tc>
          <w:tcPr>
            <w:tcW w:w="7540" w:type="dxa"/>
            <w:vAlign w:val="bottom"/>
          </w:tcPr>
          <w:p>
            <w:pPr>
              <w:spacing w:after="0"/>
              <w:rPr>
                <w:sz w:val="21"/>
                <w:szCs w:val="21"/>
                <w:color w:val="auto"/>
              </w:rPr>
            </w:pPr>
          </w:p>
        </w:tc>
        <w:tc>
          <w:tcPr>
            <w:tcW w:w="820" w:type="dxa"/>
            <w:vAlign w:val="bottom"/>
            <w:gridSpan w:val="2"/>
          </w:tcPr>
          <w:p>
            <w:pPr>
              <w:ind w:left="180"/>
              <w:spacing w:after="0"/>
              <w:rPr>
                <w:sz w:val="20"/>
                <w:szCs w:val="20"/>
                <w:color w:val="auto"/>
              </w:rPr>
            </w:pPr>
            <w:r>
              <w:rPr>
                <w:rFonts w:ascii="Arial" w:cs="Arial" w:eastAsia="Arial" w:hAnsi="Arial"/>
                <w:sz w:val="16"/>
                <w:szCs w:val="16"/>
                <w:b w:val="1"/>
                <w:bCs w:val="1"/>
                <w:color w:val="auto"/>
              </w:rPr>
              <w:t>Note</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March 31, 2017</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March 31, 2018</w:t>
            </w:r>
          </w:p>
        </w:tc>
      </w:tr>
      <w:tr>
        <w:trPr>
          <w:trHeight w:val="189"/>
        </w:trPr>
        <w:tc>
          <w:tcPr>
            <w:tcW w:w="7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0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E5FFFF"/>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Profit for the period</w:t>
            </w:r>
          </w:p>
        </w:tc>
        <w:tc>
          <w:tcPr>
            <w:tcW w:w="1380" w:type="dxa"/>
            <w:vAlign w:val="bottom"/>
          </w:tcPr>
          <w:p>
            <w:pPr>
              <w:jc w:val="right"/>
              <w:spacing w:after="0"/>
              <w:rPr>
                <w:sz w:val="20"/>
                <w:szCs w:val="20"/>
                <w:color w:val="auto"/>
              </w:rPr>
            </w:pPr>
            <w:r>
              <w:rPr>
                <w:rFonts w:ascii="Arial" w:cs="Arial" w:eastAsia="Arial" w:hAnsi="Arial"/>
                <w:sz w:val="16"/>
                <w:szCs w:val="16"/>
                <w:color w:val="auto"/>
              </w:rPr>
              <w:t>23,392</w:t>
            </w:r>
          </w:p>
        </w:tc>
        <w:tc>
          <w:tcPr>
            <w:tcW w:w="2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42,541</w:t>
            </w: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3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Depreciation</w:t>
            </w:r>
          </w:p>
        </w:tc>
        <w:tc>
          <w:tcPr>
            <w:tcW w:w="1380" w:type="dxa"/>
            <w:vAlign w:val="bottom"/>
          </w:tcPr>
          <w:p>
            <w:pPr>
              <w:jc w:val="right"/>
              <w:spacing w:after="0"/>
              <w:rPr>
                <w:sz w:val="20"/>
                <w:szCs w:val="20"/>
                <w:color w:val="auto"/>
              </w:rPr>
            </w:pPr>
            <w:r>
              <w:rPr>
                <w:rFonts w:ascii="Arial" w:cs="Arial" w:eastAsia="Arial" w:hAnsi="Arial"/>
                <w:sz w:val="16"/>
                <w:szCs w:val="16"/>
                <w:color w:val="auto"/>
              </w:rPr>
              <w:t>33,708</w:t>
            </w:r>
          </w:p>
        </w:tc>
        <w:tc>
          <w:tcPr>
            <w:tcW w:w="2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35,529</w:t>
            </w: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(462)</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(356)</w:t>
            </w: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Financial income</w:t>
            </w: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(391)</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(1,016)</w:t>
            </w: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32,524</w:t>
            </w:r>
          </w:p>
        </w:tc>
        <w:tc>
          <w:tcPr>
            <w:tcW w:w="2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36,597</w:t>
            </w: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Unrealized foreign exchange gains on cash and cash equivalents</w:t>
            </w: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(75)</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(459)</w:t>
            </w:r>
          </w:p>
        </w:tc>
      </w:tr>
      <w:tr>
        <w:trPr>
          <w:trHeight w:val="19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Unrealized gain on derivative financial instruments held for trading including ineffective portion of cash flow</w:t>
            </w:r>
          </w:p>
        </w:tc>
        <w:tc>
          <w:tcPr>
            <w:tcW w:w="138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3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r>
      <w:tr>
        <w:trPr>
          <w:trHeight w:val="212"/>
        </w:trPr>
        <w:tc>
          <w:tcPr>
            <w:tcW w:w="8360" w:type="dxa"/>
            <w:vAlign w:val="bottom"/>
            <w:gridSpan w:val="3"/>
            <w:shd w:val="clear" w:color="auto" w:fill="E5FFFF"/>
          </w:tcPr>
          <w:p>
            <w:pPr>
              <w:ind w:left="180"/>
              <w:spacing w:after="0"/>
              <w:rPr>
                <w:sz w:val="20"/>
                <w:szCs w:val="20"/>
                <w:color w:val="auto"/>
              </w:rPr>
            </w:pPr>
            <w:r>
              <w:rPr>
                <w:rFonts w:ascii="Arial" w:cs="Arial" w:eastAsia="Arial" w:hAnsi="Arial"/>
                <w:sz w:val="16"/>
                <w:szCs w:val="16"/>
                <w:color w:val="auto"/>
              </w:rPr>
              <w:t>hedges (Note 15)</w:t>
            </w: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(2,315)</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(16,898)</w:t>
            </w: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Share-based compensation (Note 17)</w:t>
            </w:r>
          </w:p>
        </w:tc>
        <w:tc>
          <w:tcPr>
            <w:tcW w:w="1380" w:type="dxa"/>
            <w:vAlign w:val="bottom"/>
          </w:tcPr>
          <w:p>
            <w:pPr>
              <w:jc w:val="right"/>
              <w:spacing w:after="0"/>
              <w:rPr>
                <w:sz w:val="20"/>
                <w:szCs w:val="20"/>
                <w:color w:val="auto"/>
              </w:rPr>
            </w:pPr>
            <w:r>
              <w:rPr>
                <w:rFonts w:ascii="Arial" w:cs="Arial" w:eastAsia="Arial" w:hAnsi="Arial"/>
                <w:sz w:val="16"/>
                <w:szCs w:val="16"/>
                <w:color w:val="auto"/>
              </w:rPr>
              <w:t>1,012</w:t>
            </w:r>
          </w:p>
        </w:tc>
        <w:tc>
          <w:tcPr>
            <w:tcW w:w="2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1,186</w:t>
            </w:r>
          </w:p>
        </w:tc>
      </w:tr>
      <w:tr>
        <w:trPr>
          <w:trHeight w:val="196"/>
        </w:trPr>
        <w:tc>
          <w:tcPr>
            <w:tcW w:w="7540" w:type="dxa"/>
            <w:vAlign w:val="bottom"/>
            <w:tcBorders>
              <w:top w:val="single" w:sz="8" w:color="E5FFFF"/>
            </w:tcBorders>
            <w:shd w:val="clear" w:color="auto" w:fill="E5FFFF"/>
          </w:tcPr>
          <w:p>
            <w:pPr>
              <w:spacing w:after="0"/>
              <w:rPr>
                <w:sz w:val="17"/>
                <w:szCs w:val="17"/>
                <w:color w:val="auto"/>
              </w:rPr>
            </w:pPr>
          </w:p>
        </w:tc>
        <w:tc>
          <w:tcPr>
            <w:tcW w:w="70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87,393</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97,124</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836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color w:val="auto"/>
              </w:rPr>
              <w:t>Movements in working capital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w:t>
            </w:r>
          </w:p>
        </w:tc>
        <w:tc>
          <w:tcPr>
            <w:tcW w:w="2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(13,692)</w:t>
            </w:r>
          </w:p>
        </w:tc>
        <w:tc>
          <w:tcPr>
            <w:tcW w:w="100" w:type="dxa"/>
            <w:vAlign w:val="bottom"/>
            <w:tcBorders>
              <w:bottom w:val="single" w:sz="8" w:color="E5FFFF"/>
            </w:tcBorders>
          </w:tcPr>
          <w:p>
            <w:pPr>
              <w:spacing w:after="0"/>
              <w:rPr>
                <w:sz w:val="17"/>
                <w:szCs w:val="17"/>
                <w:color w:val="auto"/>
              </w:rPr>
            </w:pPr>
          </w:p>
        </w:tc>
      </w:tr>
      <w:tr>
        <w:trPr>
          <w:trHeight w:val="196"/>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b w:val="1"/>
                <w:bCs w:val="1"/>
                <w:color w:val="auto"/>
              </w:rPr>
              <w:t>Cash provided by operations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84,921</w:t>
            </w:r>
          </w:p>
        </w:tc>
        <w:tc>
          <w:tcPr>
            <w:tcW w:w="20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83,432</w:t>
            </w:r>
          </w:p>
        </w:tc>
        <w:tc>
          <w:tcPr>
            <w:tcW w:w="100" w:type="dxa"/>
            <w:vAlign w:val="bottom"/>
            <w:shd w:val="clear" w:color="auto" w:fill="E5FFFF"/>
          </w:tcPr>
          <w:p>
            <w:pPr>
              <w:spacing w:after="0"/>
              <w:rPr>
                <w:sz w:val="17"/>
                <w:szCs w:val="17"/>
                <w:color w:val="auto"/>
              </w:rPr>
            </w:pPr>
          </w:p>
        </w:tc>
      </w:tr>
      <w:tr>
        <w:trPr>
          <w:trHeight w:val="196"/>
        </w:trPr>
        <w:tc>
          <w:tcPr>
            <w:tcW w:w="836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color w:val="auto"/>
              </w:rPr>
              <w:t>Interest paid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(35,413)</w:t>
            </w:r>
          </w:p>
        </w:tc>
        <w:tc>
          <w:tcPr>
            <w:tcW w:w="2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(40,154)</w:t>
            </w:r>
          </w:p>
        </w:tc>
        <w:tc>
          <w:tcPr>
            <w:tcW w:w="100" w:type="dxa"/>
            <w:vAlign w:val="bottom"/>
            <w:tcBorders>
              <w:bottom w:val="single" w:sz="8" w:color="E5FFFF"/>
            </w:tcBorders>
          </w:tcPr>
          <w:p>
            <w:pPr>
              <w:spacing w:after="0"/>
              <w:rPr>
                <w:sz w:val="17"/>
                <w:szCs w:val="17"/>
                <w:color w:val="auto"/>
              </w:rPr>
            </w:pPr>
          </w:p>
        </w:tc>
      </w:tr>
      <w:tr>
        <w:trPr>
          <w:trHeight w:val="196"/>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49,508</w:t>
            </w:r>
          </w:p>
        </w:tc>
        <w:tc>
          <w:tcPr>
            <w:tcW w:w="20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43,278</w:t>
            </w:r>
          </w:p>
        </w:tc>
        <w:tc>
          <w:tcPr>
            <w:tcW w:w="100" w:type="dxa"/>
            <w:vAlign w:val="bottom"/>
            <w:shd w:val="clear" w:color="auto" w:fill="E5FFFF"/>
          </w:tcPr>
          <w:p>
            <w:pPr>
              <w:spacing w:after="0"/>
              <w:rPr>
                <w:sz w:val="17"/>
                <w:szCs w:val="17"/>
                <w:color w:val="auto"/>
              </w:rPr>
            </w:pPr>
          </w:p>
        </w:tc>
      </w:tr>
      <w:tr>
        <w:trPr>
          <w:trHeight w:val="183"/>
        </w:trPr>
        <w:tc>
          <w:tcPr>
            <w:tcW w:w="8360" w:type="dxa"/>
            <w:vAlign w:val="bottom"/>
            <w:gridSpan w:val="3"/>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(13,293)</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(547,021)</w:t>
            </w: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Dividends received from associate</w:t>
            </w:r>
          </w:p>
        </w:tc>
        <w:tc>
          <w:tcPr>
            <w:tcW w:w="1380" w:type="dxa"/>
            <w:vAlign w:val="bottom"/>
          </w:tcPr>
          <w:p>
            <w:pPr>
              <w:jc w:val="right"/>
              <w:spacing w:after="0"/>
              <w:rPr>
                <w:sz w:val="20"/>
                <w:szCs w:val="20"/>
                <w:color w:val="auto"/>
              </w:rPr>
            </w:pPr>
            <w:r>
              <w:rPr>
                <w:rFonts w:ascii="Arial" w:cs="Arial" w:eastAsia="Arial" w:hAnsi="Arial"/>
                <w:sz w:val="16"/>
                <w:szCs w:val="16"/>
                <w:color w:val="auto"/>
              </w:rPr>
              <w:t>700</w:t>
            </w:r>
          </w:p>
        </w:tc>
        <w:tc>
          <w:tcPr>
            <w:tcW w:w="2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125</w:t>
            </w: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(13,844)</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Purchase of short-term investments</w:t>
            </w: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(10,000)</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(10,000)</w:t>
            </w: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18,000</w:t>
            </w:r>
          </w:p>
        </w:tc>
        <w:tc>
          <w:tcPr>
            <w:tcW w:w="2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Restricted cash</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(4,915)</w:t>
            </w: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373</w:t>
            </w:r>
          </w:p>
        </w:tc>
        <w:tc>
          <w:tcPr>
            <w:tcW w:w="2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874</w:t>
            </w:r>
          </w:p>
        </w:tc>
      </w:tr>
      <w:tr>
        <w:trPr>
          <w:trHeight w:val="196"/>
        </w:trPr>
        <w:tc>
          <w:tcPr>
            <w:tcW w:w="8360" w:type="dxa"/>
            <w:vAlign w:val="bottom"/>
            <w:tcBorders>
              <w:bottom w:val="single" w:sz="8" w:color="E5FFFF"/>
            </w:tcBorders>
            <w:gridSpan w:val="3"/>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(18,064)</w:t>
            </w:r>
          </w:p>
        </w:tc>
        <w:tc>
          <w:tcPr>
            <w:tcW w:w="20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(560,937)</w:t>
            </w:r>
          </w:p>
        </w:tc>
        <w:tc>
          <w:tcPr>
            <w:tcW w:w="100" w:type="dxa"/>
            <w:vAlign w:val="bottom"/>
            <w:tcBorders>
              <w:bottom w:val="single" w:sz="8" w:color="E5FFFF"/>
            </w:tcBorders>
          </w:tcPr>
          <w:p>
            <w:pPr>
              <w:spacing w:after="0"/>
              <w:rPr>
                <w:sz w:val="17"/>
                <w:szCs w:val="17"/>
                <w:color w:val="auto"/>
              </w:rPr>
            </w:pPr>
          </w:p>
        </w:tc>
      </w:tr>
      <w:tr>
        <w:trPr>
          <w:trHeight w:val="183"/>
        </w:trPr>
        <w:tc>
          <w:tcPr>
            <w:tcW w:w="8360" w:type="dxa"/>
            <w:vAlign w:val="bottom"/>
            <w:gridSpan w:val="3"/>
            <w:shd w:val="clear" w:color="auto" w:fill="E5FF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3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Proceeds from bank loans and bonds</w:t>
            </w:r>
          </w:p>
        </w:tc>
        <w:tc>
          <w:tcPr>
            <w:tcW w:w="1380" w:type="dxa"/>
            <w:vAlign w:val="bottom"/>
          </w:tcPr>
          <w:p>
            <w:pPr>
              <w:jc w:val="right"/>
              <w:spacing w:after="0"/>
              <w:rPr>
                <w:sz w:val="20"/>
                <w:szCs w:val="20"/>
                <w:color w:val="auto"/>
              </w:rPr>
            </w:pPr>
            <w:r>
              <w:rPr>
                <w:rFonts w:ascii="Arial" w:cs="Arial" w:eastAsia="Arial" w:hAnsi="Arial"/>
                <w:sz w:val="16"/>
                <w:szCs w:val="16"/>
                <w:color w:val="auto"/>
              </w:rPr>
              <w:t>280,000</w:t>
            </w:r>
          </w:p>
        </w:tc>
        <w:tc>
          <w:tcPr>
            <w:tcW w:w="2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498,225</w:t>
            </w: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(52,416)</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(83,938)</w:t>
            </w: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Payment of loan issuance costs</w:t>
            </w: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(4,270)</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(6,753)</w:t>
            </w: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Proceeds from GasLog Partners’ public common unit offerings (net of underwriting discounts and commissions)</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78,522</w:t>
            </w:r>
          </w:p>
        </w:tc>
        <w:tc>
          <w:tcPr>
            <w:tcW w:w="2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111,544</w:t>
            </w: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Payment of equity raising costs</w:t>
            </w: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(117)</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(315)</w:t>
            </w: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Dividends paid</w:t>
            </w: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(27,592)</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(34,673)</w:t>
            </w: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Proceeds from stock options exercise</w:t>
            </w:r>
          </w:p>
        </w:tc>
        <w:tc>
          <w:tcPr>
            <w:tcW w:w="1380" w:type="dxa"/>
            <w:vAlign w:val="bottom"/>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8360" w:type="dxa"/>
            <w:vAlign w:val="bottom"/>
            <w:gridSpan w:val="3"/>
            <w:shd w:val="clear" w:color="auto" w:fill="E5FFFF"/>
          </w:tcPr>
          <w:p>
            <w:pPr>
              <w:spacing w:after="0"/>
              <w:rPr>
                <w:sz w:val="20"/>
                <w:szCs w:val="20"/>
                <w:color w:val="auto"/>
              </w:rPr>
            </w:pPr>
            <w:r>
              <w:rPr>
                <w:rFonts w:ascii="Arial" w:cs="Arial" w:eastAsia="Arial" w:hAnsi="Arial"/>
                <w:sz w:val="16"/>
                <w:szCs w:val="16"/>
                <w:color w:val="auto"/>
              </w:rPr>
              <w:t>Purchase of treasury shares</w:t>
            </w:r>
          </w:p>
        </w:tc>
        <w:tc>
          <w:tcPr>
            <w:tcW w:w="15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(62)</w:t>
            </w:r>
          </w:p>
        </w:tc>
      </w:tr>
      <w:tr>
        <w:trPr>
          <w:trHeight w:val="203"/>
        </w:trPr>
        <w:tc>
          <w:tcPr>
            <w:tcW w:w="8360" w:type="dxa"/>
            <w:vAlign w:val="bottom"/>
            <w:gridSpan w:val="3"/>
          </w:tcPr>
          <w:p>
            <w:pPr>
              <w:spacing w:after="0"/>
              <w:rPr>
                <w:sz w:val="20"/>
                <w:szCs w:val="20"/>
                <w:color w:val="auto"/>
              </w:rPr>
            </w:pPr>
            <w:r>
              <w:rPr>
                <w:rFonts w:ascii="Arial" w:cs="Arial" w:eastAsia="Arial" w:hAnsi="Arial"/>
                <w:sz w:val="16"/>
                <w:szCs w:val="16"/>
                <w:color w:val="auto"/>
              </w:rPr>
              <w:t>Payments for finance lease liability</w:t>
            </w:r>
          </w:p>
        </w:tc>
        <w:tc>
          <w:tcPr>
            <w:tcW w:w="1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(1,773)</w:t>
            </w:r>
          </w:p>
        </w:tc>
      </w:tr>
      <w:tr>
        <w:trPr>
          <w:trHeight w:val="196"/>
        </w:trPr>
        <w:tc>
          <w:tcPr>
            <w:tcW w:w="8360" w:type="dxa"/>
            <w:vAlign w:val="bottom"/>
            <w:tcBorders>
              <w:top w:val="single" w:sz="8" w:color="E5FFFF"/>
            </w:tcBorders>
            <w:gridSpan w:val="3"/>
            <w:shd w:val="clear" w:color="auto" w:fill="E5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274,235</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482,255</w:t>
            </w:r>
          </w:p>
        </w:tc>
        <w:tc>
          <w:tcPr>
            <w:tcW w:w="100" w:type="dxa"/>
            <w:vAlign w:val="bottom"/>
            <w:tcBorders>
              <w:top w:val="single" w:sz="8" w:color="E5FFFF"/>
            </w:tcBorders>
            <w:shd w:val="clear" w:color="auto" w:fill="E5FFFF"/>
          </w:tcPr>
          <w:p>
            <w:pPr>
              <w:spacing w:after="0"/>
              <w:rPr>
                <w:sz w:val="17"/>
                <w:szCs w:val="17"/>
                <w:color w:val="auto"/>
              </w:rPr>
            </w:pPr>
          </w:p>
        </w:tc>
      </w:tr>
    </w:tbl>
    <w:p>
      <w:pPr>
        <w:sectPr>
          <w:pgSz w:w="11900" w:h="16900" w:orient="portrait"/>
          <w:cols w:equalWidth="0" w:num="1">
            <w:col w:w="11420"/>
          </w:cols>
          <w:pgMar w:left="240" w:top="140"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gridSpan w:val="2"/>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Increase/(decrease) in cash and cash equivalents</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305,754</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(34,945)</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227,024</w:t>
            </w:r>
          </w:p>
        </w:tc>
        <w:tc>
          <w:tcPr>
            <w:tcW w:w="20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384,092</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532,778</w:t>
            </w:r>
          </w:p>
        </w:tc>
        <w:tc>
          <w:tcPr>
            <w:tcW w:w="200" w:type="dxa"/>
            <w:vAlign w:val="bottom"/>
            <w:tcBorders>
              <w:bottom w:val="single" w:sz="8" w:color="E5FFFF"/>
            </w:tcBorders>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349,147</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3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6"/>
                <w:szCs w:val="16"/>
                <w:color w:val="auto"/>
              </w:rPr>
              <w:t>Capital expenditures included in liabilities at the end of the period</w:t>
            </w:r>
          </w:p>
        </w:tc>
        <w:tc>
          <w:tcPr>
            <w:tcW w:w="1380" w:type="dxa"/>
            <w:vAlign w:val="bottom"/>
          </w:tcPr>
          <w:p>
            <w:pPr>
              <w:jc w:val="right"/>
              <w:spacing w:after="0"/>
              <w:rPr>
                <w:sz w:val="20"/>
                <w:szCs w:val="20"/>
                <w:color w:val="auto"/>
              </w:rPr>
            </w:pPr>
            <w:r>
              <w:rPr>
                <w:rFonts w:ascii="Arial" w:cs="Arial" w:eastAsia="Arial" w:hAnsi="Arial"/>
                <w:sz w:val="16"/>
                <w:szCs w:val="16"/>
                <w:color w:val="auto"/>
              </w:rPr>
              <w:t>3,690</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6,085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Equity raising costs included in liabilities at the end of the period</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385</w:t>
            </w:r>
          </w:p>
        </w:tc>
        <w:tc>
          <w:tcPr>
            <w:tcW w:w="200" w:type="dxa"/>
            <w:vAlign w:val="bottom"/>
            <w:shd w:val="clear" w:color="auto" w:fill="E5FFFF"/>
          </w:tcPr>
          <w:p>
            <w:pPr>
              <w:spacing w:after="0"/>
              <w:rPr>
                <w:sz w:val="17"/>
                <w:szCs w:val="17"/>
                <w:color w:val="auto"/>
              </w:rPr>
            </w:pPr>
          </w:p>
        </w:tc>
        <w:tc>
          <w:tcPr>
            <w:tcW w:w="140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396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6"/>
                <w:szCs w:val="16"/>
                <w:color w:val="auto"/>
              </w:rPr>
              <w:t>Loan issuance costs included in liabilities at the end of the period</w:t>
            </w:r>
          </w:p>
        </w:tc>
        <w:tc>
          <w:tcPr>
            <w:tcW w:w="1380" w:type="dxa"/>
            <w:vAlign w:val="bottom"/>
          </w:tcPr>
          <w:p>
            <w:pPr>
              <w:jc w:val="right"/>
              <w:spacing w:after="0"/>
              <w:rPr>
                <w:sz w:val="20"/>
                <w:szCs w:val="20"/>
                <w:color w:val="auto"/>
              </w:rPr>
            </w:pPr>
            <w:r>
              <w:rPr>
                <w:rFonts w:ascii="Arial" w:cs="Arial" w:eastAsia="Arial" w:hAnsi="Arial"/>
                <w:sz w:val="16"/>
                <w:szCs w:val="16"/>
                <w:color w:val="auto"/>
              </w:rPr>
              <w:t>1,169</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294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E5FFFF"/>
          </w:tcPr>
          <w:p>
            <w:pPr>
              <w:spacing w:after="0"/>
              <w:rPr>
                <w:sz w:val="20"/>
                <w:szCs w:val="20"/>
                <w:color w:val="auto"/>
              </w:rPr>
            </w:pPr>
            <w:r>
              <w:rPr>
                <w:rFonts w:ascii="Arial" w:cs="Arial" w:eastAsia="Arial" w:hAnsi="Arial"/>
                <w:sz w:val="16"/>
                <w:szCs w:val="16"/>
                <w:color w:val="auto"/>
              </w:rPr>
              <w:t>Investment in associates included in liabilities at the end of the period</w:t>
            </w:r>
          </w:p>
        </w:tc>
        <w:tc>
          <w:tcPr>
            <w:tcW w:w="13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E5FFFF"/>
          </w:tcPr>
          <w:p>
            <w:pPr>
              <w:spacing w:after="0"/>
              <w:rPr>
                <w:sz w:val="17"/>
                <w:szCs w:val="17"/>
                <w:color w:val="auto"/>
              </w:rPr>
            </w:pPr>
          </w:p>
        </w:tc>
        <w:tc>
          <w:tcPr>
            <w:tcW w:w="148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months ended March 31, 2017 and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239" w:lineRule="exact"/>
        <w:rPr>
          <w:sz w:val="20"/>
          <w:szCs w:val="20"/>
          <w:color w:val="auto"/>
        </w:rPr>
      </w:pPr>
    </w:p>
    <w:p>
      <w:pPr>
        <w:ind w:right="60" w:firstLine="436"/>
        <w:spacing w:after="0" w:line="268" w:lineRule="auto"/>
        <w:rPr>
          <w:sz w:val="20"/>
          <w:szCs w:val="20"/>
          <w:color w:val="auto"/>
        </w:rPr>
      </w:pPr>
      <w:r>
        <w:rPr>
          <w:rFonts w:ascii="Arial" w:cs="Arial" w:eastAsia="Arial" w:hAnsi="Arial"/>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March 31, 2018, entities controlled by members of the Livanos family, including GasLog’s chairman, are deemed to beneficially own approximately 40.12% of GasLog’s issued and outstanding common shares. As a result of his ownership of GasLog’s common shares, Mr. Livanos can effectively control the outcome of most matters on which GasLog’s shareholders are entitled to vote.</w:t>
      </w:r>
    </w:p>
    <w:p>
      <w:pPr>
        <w:spacing w:after="0" w:line="193" w:lineRule="exact"/>
        <w:rPr>
          <w:sz w:val="20"/>
          <w:szCs w:val="20"/>
          <w:color w:val="auto"/>
        </w:rPr>
      </w:pPr>
    </w:p>
    <w:p>
      <w:pPr>
        <w:ind w:right="220" w:firstLine="405"/>
        <w:spacing w:after="0" w:line="273" w:lineRule="auto"/>
        <w:rPr>
          <w:sz w:val="20"/>
          <w:szCs w:val="20"/>
          <w:color w:val="auto"/>
        </w:rPr>
      </w:pPr>
      <w:r>
        <w:rPr>
          <w:rFonts w:ascii="Arial" w:cs="Arial" w:eastAsia="Arial" w:hAnsi="Arial"/>
          <w:sz w:val="16"/>
          <w:szCs w:val="16"/>
          <w:color w:val="auto"/>
        </w:rPr>
        <w:t>As of March 31, 2018, GasLog held a 25.9%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9" w:lineRule="exact"/>
        <w:rPr>
          <w:sz w:val="20"/>
          <w:szCs w:val="20"/>
          <w:color w:val="auto"/>
        </w:rPr>
      </w:pPr>
    </w:p>
    <w:p>
      <w:pPr>
        <w:ind w:right="180" w:firstLine="436"/>
        <w:spacing w:after="0" w:line="329" w:lineRule="auto"/>
        <w:rPr>
          <w:sz w:val="20"/>
          <w:szCs w:val="20"/>
          <w:color w:val="auto"/>
        </w:rPr>
      </w:pPr>
      <w:r>
        <w:rPr>
          <w:rFonts w:ascii="Arial" w:cs="Arial" w:eastAsia="Arial" w:hAnsi="Arial"/>
          <w:sz w:val="15"/>
          <w:szCs w:val="15"/>
          <w:color w:val="auto"/>
        </w:rPr>
        <w:t>The accompanying unaudited condensed consolidated financial statements include the financial statements of GasLog and its subsidiaries. Unless indicated otherwise, the subsidiaries listed below are 100% held (either directly or indirectly) by GasLog. As of March 31, 2018, the Group’s structure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Place of</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 of</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Cargo</w:t>
            </w: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50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Principal activities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capacity</w:t>
            </w:r>
          </w:p>
        </w:tc>
        <w:tc>
          <w:tcPr>
            <w:tcW w:w="2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1"/>
              </w:rPr>
              <w:t>Vessel</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Delivery date</w:t>
            </w: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12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incorporation</w:t>
            </w:r>
          </w:p>
        </w:tc>
        <w:tc>
          <w:tcPr>
            <w:tcW w:w="2500" w:type="dxa"/>
            <w:vAlign w:val="bottom"/>
            <w:gridSpan w:val="2"/>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(cbm)</w:t>
            </w:r>
          </w:p>
        </w:tc>
        <w:tc>
          <w:tcPr>
            <w:tcW w:w="206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Investments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BVI</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July 2003</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7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GasLog Carriers Ltd. (“GasLog</w:t>
            </w:r>
          </w:p>
        </w:tc>
        <w:tc>
          <w:tcPr>
            <w:tcW w:w="12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February 2008</w:t>
            </w:r>
          </w:p>
        </w:tc>
        <w:tc>
          <w:tcPr>
            <w:tcW w:w="250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Holding company</w:t>
            </w:r>
          </w:p>
        </w:tc>
        <w:tc>
          <w:tcPr>
            <w:tcW w:w="7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9"/>
              </w:rPr>
              <w:t>—</w:t>
            </w:r>
          </w:p>
        </w:tc>
        <w:tc>
          <w:tcPr>
            <w:tcW w:w="20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160"/>
              <w:spacing w:after="0"/>
              <w:rPr>
                <w:sz w:val="20"/>
                <w:szCs w:val="20"/>
                <w:color w:val="auto"/>
              </w:rPr>
            </w:pPr>
            <w:r>
              <w:rPr>
                <w:rFonts w:ascii="Arial" w:cs="Arial" w:eastAsia="Arial" w:hAnsi="Arial"/>
                <w:sz w:val="14"/>
                <w:szCs w:val="14"/>
                <w:color w:val="auto"/>
              </w:rPr>
              <w:t>Carriers”)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Shipping Company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January 2006</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7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GasLog Partners GP LLC</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Marshall Islands</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January 2014</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Cyprus Investments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Cyprus</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December 2016</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66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94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24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GasLog Services UK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3"/>
              </w:rPr>
              <w:t>England and Wales</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May 2014</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Service company</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Services US Inc.</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Delaware</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May 2014</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Service company</w:t>
            </w:r>
          </w:p>
        </w:tc>
        <w:tc>
          <w:tcPr>
            <w:tcW w:w="7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GasLog Asia Pte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Singapore</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May 2015</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Service company</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LNG Services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August 2004</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 management services</w:t>
            </w:r>
          </w:p>
        </w:tc>
        <w:tc>
          <w:tcPr>
            <w:tcW w:w="7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GasLog Monaco S.A.M.</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Monaco</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February 2010</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Service company</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GAS-one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February 2008</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1"/>
              </w:rPr>
              <w:t>GasLog Savannah</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7"/>
              </w:rPr>
              <w:t>May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GAS-two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February 2008</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Singapore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GAS-six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February 2011</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GasLog Skagen</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3"/>
              </w:rPr>
              <w:t>July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GAS-nine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June 2011</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2"/>
              </w:rPr>
              <w:t>GasLog Saratoga</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GAS-ten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June 2011</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0"/>
              </w:rPr>
              <w:t>GasLog Salem</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April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GAS-twelve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December 2012</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3"/>
              </w:rPr>
              <w:t>GasLog Glasgow</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1"/>
              </w:rPr>
              <w:t>June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GAS-fourteen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July 2013</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7"/>
              </w:rPr>
              <w:t>GasLog Gibraltar</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October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GAS-fifteen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August 2013</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153,600</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Chelsea</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October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GAS-eighteen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January 2014</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145,000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Methane Lydon Volney</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April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GAS-twenty two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May 2014</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Genoa</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three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May 2014</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8"/>
              </w:rPr>
              <w:t>Hull No. 2131</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Q1 2019</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GAS-twenty four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June 2014</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0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3"/>
              </w:rPr>
              <w:t>GasLog Houston</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9"/>
              </w:rPr>
              <w:t>January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five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June 2014</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174,000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4"/>
              </w:rPr>
              <w:t>GasLog Hong Kong</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GAS-twenty six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January 2015</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 xml:space="preserve">Finance lease asset company </w:t>
            </w:r>
            <w:r>
              <w:rPr>
                <w:rFonts w:ascii="Arial" w:cs="Arial" w:eastAsia="Arial" w:hAnsi="Arial"/>
                <w:sz w:val="17"/>
                <w:szCs w:val="17"/>
                <w:color w:val="auto"/>
                <w:vertAlign w:val="superscript"/>
              </w:rPr>
              <w:t>(2)</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170,000</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3"/>
              </w:rPr>
              <w:t>Methane Julia Louise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seven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January 2015</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170,000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Methane Becki Anne</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4"/>
              </w:rPr>
              <w:t>March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GAS-twenty eight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September 2016</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180,000</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Hull No. 2213</w:t>
            </w:r>
            <w:r>
              <w:rPr>
                <w:rFonts w:ascii="Arial" w:cs="Arial" w:eastAsia="Arial" w:hAnsi="Arial"/>
                <w:sz w:val="17"/>
                <w:szCs w:val="17"/>
                <w:color w:val="auto"/>
                <w:w w:val="93"/>
                <w:vertAlign w:val="superscript"/>
              </w:rPr>
              <w:t>(4)</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8"/>
              </w:rPr>
              <w:t>Q2 2020</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nine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September 2016</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180,000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8"/>
              </w:rPr>
              <w:t>Hull No. 2212</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Q3 2019</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GAS-thirty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December 2017</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Dormant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GAS-thirty one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December 2017</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180,000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8"/>
              </w:rPr>
              <w:t>Hull No. 2274</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8"/>
              </w:rPr>
              <w:t>Q2 2020</w:t>
            </w:r>
            <w:r>
              <w:rPr>
                <w:rFonts w:ascii="Arial" w:cs="Arial" w:eastAsia="Arial" w:hAnsi="Arial"/>
                <w:sz w:val="17"/>
                <w:szCs w:val="17"/>
                <w:color w:val="auto"/>
                <w:w w:val="88"/>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GAS-thirty two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December 2017</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Dormant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Shipping Limited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BVI</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July 2003</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Dormant</w:t>
            </w:r>
          </w:p>
        </w:tc>
        <w:tc>
          <w:tcPr>
            <w:tcW w:w="7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25.9% interest subsidiaries: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GasLog Partners LP</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Marshall Islands</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January 2014</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7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GasLog Partners Holdings LLC</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Marshall Islands</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April 2014</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Holding company</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GAS-three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April 2010</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Shanghai</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89"/>
              </w:rPr>
              <w:t>January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GAS-four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April 2010</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2"/>
              </w:rPr>
              <w:t>GasLog Santiago</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March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GAS-five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February 2011</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20"/>
              <w:spacing w:after="0" w:line="149" w:lineRule="exact"/>
              <w:rPr>
                <w:sz w:val="20"/>
                <w:szCs w:val="20"/>
                <w:color w:val="auto"/>
              </w:rPr>
            </w:pPr>
            <w:r>
              <w:rPr>
                <w:rFonts w:ascii="Arial" w:cs="Arial" w:eastAsia="Arial" w:hAnsi="Arial"/>
                <w:sz w:val="14"/>
                <w:szCs w:val="14"/>
                <w:i w:val="1"/>
                <w:iCs w:val="1"/>
                <w:color w:val="auto"/>
                <w:w w:val="90"/>
              </w:rPr>
              <w:t>GasLog Sydney</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7"/>
              </w:rPr>
              <w:t>May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GAS-seven Ltd.</w:t>
            </w: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March 2011</w:t>
            </w:r>
          </w:p>
        </w:tc>
        <w:tc>
          <w:tcPr>
            <w:tcW w:w="25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Arial" w:cs="Arial" w:eastAsia="Arial" w:hAnsi="Arial"/>
                <w:sz w:val="14"/>
                <w:szCs w:val="14"/>
                <w:i w:val="1"/>
                <w:iCs w:val="1"/>
                <w:color w:val="auto"/>
                <w:w w:val="91"/>
              </w:rPr>
              <w:t>GasLog Seattle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2"/>
              </w:rPr>
              <w:t>December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GAS-eight Ltd.</w:t>
            </w:r>
          </w:p>
        </w:tc>
        <w:tc>
          <w:tcPr>
            <w:tcW w:w="1280" w:type="dxa"/>
            <w:vAlign w:val="bottom"/>
            <w:gridSpan w:val="2"/>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500" w:type="dxa"/>
            <w:vAlign w:val="bottom"/>
            <w:gridSpan w:val="3"/>
            <w:shd w:val="clear" w:color="auto" w:fill="E5FFFF"/>
          </w:tcPr>
          <w:p>
            <w:pPr>
              <w:ind w:left="120"/>
              <w:spacing w:after="0" w:line="149" w:lineRule="exact"/>
              <w:rPr>
                <w:sz w:val="20"/>
                <w:szCs w:val="20"/>
                <w:color w:val="auto"/>
              </w:rPr>
            </w:pPr>
            <w:r>
              <w:rPr>
                <w:rFonts w:ascii="Arial" w:cs="Arial" w:eastAsia="Arial" w:hAnsi="Arial"/>
                <w:sz w:val="14"/>
                <w:szCs w:val="14"/>
                <w:color w:val="auto"/>
              </w:rPr>
              <w:t>March 2011</w:t>
            </w:r>
          </w:p>
        </w:tc>
        <w:tc>
          <w:tcPr>
            <w:tcW w:w="2500" w:type="dxa"/>
            <w:vAlign w:val="bottom"/>
            <w:gridSpan w:val="2"/>
            <w:shd w:val="clear" w:color="auto" w:fill="E5FFFF"/>
          </w:tcPr>
          <w:p>
            <w:pPr>
              <w:ind w:left="20"/>
              <w:spacing w:after="0" w:line="149" w:lineRule="exact"/>
              <w:rPr>
                <w:sz w:val="20"/>
                <w:szCs w:val="20"/>
                <w:color w:val="auto"/>
              </w:rPr>
            </w:pPr>
            <w:r>
              <w:rPr>
                <w:rFonts w:ascii="Arial" w:cs="Arial" w:eastAsia="Arial" w:hAnsi="Arial"/>
                <w:sz w:val="14"/>
                <w:szCs w:val="14"/>
                <w:color w:val="auto"/>
              </w:rPr>
              <w:t>Vessel-owning company</w:t>
            </w:r>
          </w:p>
        </w:tc>
        <w:tc>
          <w:tcPr>
            <w:tcW w:w="66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0"/>
              </w:rPr>
              <w:t>155,000</w:t>
            </w:r>
          </w:p>
        </w:tc>
        <w:tc>
          <w:tcPr>
            <w:tcW w:w="100" w:type="dxa"/>
            <w:vAlign w:val="bottom"/>
            <w:shd w:val="clear" w:color="auto" w:fill="E5FFFF"/>
          </w:tcPr>
          <w:p>
            <w:pPr>
              <w:spacing w:after="0"/>
              <w:rPr>
                <w:sz w:val="12"/>
                <w:szCs w:val="12"/>
                <w:color w:val="auto"/>
              </w:rPr>
            </w:pPr>
          </w:p>
        </w:tc>
        <w:tc>
          <w:tcPr>
            <w:tcW w:w="2060" w:type="dxa"/>
            <w:vAlign w:val="bottom"/>
            <w:gridSpan w:val="2"/>
            <w:shd w:val="clear" w:color="auto" w:fill="E5FFFF"/>
          </w:tcPr>
          <w:p>
            <w:pPr>
              <w:jc w:val="center"/>
              <w:ind w:right="100"/>
              <w:spacing w:after="0" w:line="149" w:lineRule="exact"/>
              <w:rPr>
                <w:sz w:val="20"/>
                <w:szCs w:val="20"/>
                <w:color w:val="auto"/>
              </w:rPr>
            </w:pPr>
            <w:r>
              <w:rPr>
                <w:rFonts w:ascii="Arial" w:cs="Arial" w:eastAsia="Arial" w:hAnsi="Arial"/>
                <w:sz w:val="14"/>
                <w:szCs w:val="14"/>
                <w:i w:val="1"/>
                <w:iCs w:val="1"/>
                <w:color w:val="auto"/>
                <w:w w:val="93"/>
              </w:rPr>
              <w:t>Solaris</w:t>
            </w:r>
          </w:p>
        </w:tc>
        <w:tc>
          <w:tcPr>
            <w:tcW w:w="124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color w:val="auto"/>
                <w:w w:val="91"/>
              </w:rPr>
              <w:t>June 2014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GAS-eleven Ltd.</w:t>
            </w:r>
          </w:p>
        </w:tc>
        <w:tc>
          <w:tcPr>
            <w:tcW w:w="1280" w:type="dxa"/>
            <w:vAlign w:val="bottom"/>
            <w:gridSpan w:val="2"/>
          </w:tcPr>
          <w:p>
            <w:pPr>
              <w:ind w:left="120"/>
              <w:spacing w:after="0"/>
              <w:rPr>
                <w:sz w:val="20"/>
                <w:szCs w:val="20"/>
                <w:color w:val="auto"/>
              </w:rPr>
            </w:pPr>
            <w:r>
              <w:rPr>
                <w:rFonts w:ascii="Arial" w:cs="Arial" w:eastAsia="Arial" w:hAnsi="Arial"/>
                <w:sz w:val="14"/>
                <w:szCs w:val="14"/>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4"/>
                <w:szCs w:val="14"/>
                <w:color w:val="auto"/>
              </w:rPr>
              <w:t>December 2012</w:t>
            </w: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Vessel-owning company</w:t>
            </w:r>
          </w:p>
        </w:tc>
        <w:tc>
          <w:tcPr>
            <w:tcW w:w="660" w:type="dxa"/>
            <w:vAlign w:val="bottom"/>
          </w:tcPr>
          <w:p>
            <w:pPr>
              <w:jc w:val="center"/>
              <w:spacing w:after="0"/>
              <w:rPr>
                <w:sz w:val="20"/>
                <w:szCs w:val="20"/>
                <w:color w:val="auto"/>
              </w:rPr>
            </w:pPr>
            <w:r>
              <w:rPr>
                <w:rFonts w:ascii="Arial" w:cs="Arial" w:eastAsia="Arial" w:hAnsi="Arial"/>
                <w:sz w:val="14"/>
                <w:szCs w:val="14"/>
                <w:color w:val="auto"/>
                <w:w w:val="90"/>
              </w:rPr>
              <w:t>174,000</w:t>
            </w:r>
          </w:p>
        </w:tc>
        <w:tc>
          <w:tcPr>
            <w:tcW w:w="100" w:type="dxa"/>
            <w:vAlign w:val="bottom"/>
          </w:tcPr>
          <w:p>
            <w:pPr>
              <w:spacing w:after="0"/>
              <w:rPr>
                <w:sz w:val="15"/>
                <w:szCs w:val="15"/>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1"/>
              </w:rPr>
              <w:t>GasLog Greece</w:t>
            </w: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March 2016</w:t>
            </w:r>
          </w:p>
        </w:tc>
        <w:tc>
          <w:tcPr>
            <w:tcW w:w="0" w:type="dxa"/>
            <w:vAlign w:val="bottom"/>
          </w:tcPr>
          <w:p>
            <w:pPr>
              <w:spacing w:after="0"/>
              <w:rPr>
                <w:sz w:val="1"/>
                <w:szCs w:val="1"/>
                <w:color w:val="auto"/>
              </w:rPr>
            </w:pPr>
          </w:p>
        </w:tc>
      </w:tr>
    </w:tbl>
    <w:p>
      <w:pPr>
        <w:spacing w:after="0" w:line="173" w:lineRule="exact"/>
        <w:rPr>
          <w:sz w:val="20"/>
          <w:szCs w:val="20"/>
          <w:color w:val="auto"/>
        </w:rPr>
      </w:pPr>
    </w:p>
    <w:p>
      <w:pPr>
        <w:sectPr>
          <w:pgSz w:w="11900" w:h="16838" w:orient="portrait"/>
          <w:cols w:equalWidth="0" w:num="1">
            <w:col w:w="11420"/>
          </w:cols>
          <w:pgMar w:left="240" w:top="120" w:right="239" w:bottom="263" w:gutter="0" w:footer="0" w:header="0"/>
        </w:sect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0" w:right="239" w:bottom="263"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080" w:type="dxa"/>
            <w:vAlign w:val="bottom"/>
            <w:shd w:val="clear" w:color="auto" w:fill="E5FFFF"/>
          </w:tcPr>
          <w:p>
            <w:pPr>
              <w:spacing w:after="0"/>
              <w:rPr>
                <w:sz w:val="20"/>
                <w:szCs w:val="20"/>
                <w:color w:val="auto"/>
              </w:rPr>
            </w:pPr>
            <w:r>
              <w:rPr>
                <w:rFonts w:ascii="Arial" w:cs="Arial" w:eastAsia="Arial" w:hAnsi="Arial"/>
                <w:sz w:val="14"/>
                <w:szCs w:val="14"/>
                <w:color w:val="auto"/>
              </w:rPr>
              <w:t>GAS-thirteen Ltd.</w:t>
            </w:r>
          </w:p>
        </w:tc>
        <w:tc>
          <w:tcPr>
            <w:tcW w:w="1240" w:type="dxa"/>
            <w:vAlign w:val="bottom"/>
            <w:shd w:val="clear" w:color="auto" w:fill="E5FFFF"/>
          </w:tcPr>
          <w:p>
            <w:pPr>
              <w:ind w:left="120"/>
              <w:spacing w:after="0"/>
              <w:rPr>
                <w:sz w:val="20"/>
                <w:szCs w:val="20"/>
                <w:color w:val="auto"/>
              </w:rPr>
            </w:pPr>
            <w:r>
              <w:rPr>
                <w:rFonts w:ascii="Arial" w:cs="Arial" w:eastAsia="Arial" w:hAnsi="Arial"/>
                <w:sz w:val="14"/>
                <w:szCs w:val="14"/>
                <w:color w:val="auto"/>
              </w:rPr>
              <w:t>Bermuda</w:t>
            </w:r>
          </w:p>
        </w:tc>
        <w:tc>
          <w:tcPr>
            <w:tcW w:w="1320" w:type="dxa"/>
            <w:vAlign w:val="bottom"/>
            <w:shd w:val="clear" w:color="auto" w:fill="E5FFFF"/>
          </w:tcPr>
          <w:p>
            <w:pPr>
              <w:ind w:left="160"/>
              <w:spacing w:after="0"/>
              <w:rPr>
                <w:sz w:val="20"/>
                <w:szCs w:val="20"/>
                <w:color w:val="auto"/>
              </w:rPr>
            </w:pPr>
            <w:r>
              <w:rPr>
                <w:rFonts w:ascii="Arial" w:cs="Arial" w:eastAsia="Arial" w:hAnsi="Arial"/>
                <w:sz w:val="14"/>
                <w:szCs w:val="14"/>
                <w:color w:val="auto"/>
              </w:rPr>
              <w:t>July 2013</w:t>
            </w:r>
          </w:p>
        </w:tc>
        <w:tc>
          <w:tcPr>
            <w:tcW w:w="2220" w:type="dxa"/>
            <w:vAlign w:val="bottom"/>
            <w:shd w:val="clear" w:color="auto" w:fill="E5FFFF"/>
          </w:tcPr>
          <w:p>
            <w:pPr>
              <w:ind w:left="240"/>
              <w:spacing w:after="0"/>
              <w:rPr>
                <w:sz w:val="20"/>
                <w:szCs w:val="20"/>
                <w:color w:val="auto"/>
              </w:rPr>
            </w:pPr>
            <w:r>
              <w:rPr>
                <w:rFonts w:ascii="Arial" w:cs="Arial" w:eastAsia="Arial" w:hAnsi="Arial"/>
                <w:sz w:val="14"/>
                <w:szCs w:val="14"/>
                <w:color w:val="auto"/>
              </w:rPr>
              <w:t>Vessel-owning company</w:t>
            </w:r>
          </w:p>
        </w:tc>
        <w:tc>
          <w:tcPr>
            <w:tcW w:w="1260" w:type="dxa"/>
            <w:vAlign w:val="bottom"/>
            <w:shd w:val="clear" w:color="auto" w:fill="E5FFFF"/>
          </w:tcPr>
          <w:p>
            <w:pPr>
              <w:jc w:val="center"/>
              <w:ind w:left="328"/>
              <w:spacing w:after="0"/>
              <w:rPr>
                <w:sz w:val="20"/>
                <w:szCs w:val="20"/>
                <w:color w:val="auto"/>
              </w:rPr>
            </w:pPr>
            <w:r>
              <w:rPr>
                <w:rFonts w:ascii="Arial" w:cs="Arial" w:eastAsia="Arial" w:hAnsi="Arial"/>
                <w:sz w:val="14"/>
                <w:szCs w:val="14"/>
                <w:color w:val="auto"/>
                <w:w w:val="90"/>
              </w:rPr>
              <w:t>174,000</w:t>
            </w:r>
          </w:p>
        </w:tc>
        <w:tc>
          <w:tcPr>
            <w:tcW w:w="1980" w:type="dxa"/>
            <w:vAlign w:val="bottom"/>
            <w:shd w:val="clear" w:color="auto" w:fill="E5FFFF"/>
          </w:tcPr>
          <w:p>
            <w:pPr>
              <w:jc w:val="center"/>
              <w:spacing w:after="0"/>
              <w:rPr>
                <w:sz w:val="20"/>
                <w:szCs w:val="20"/>
                <w:color w:val="auto"/>
              </w:rPr>
            </w:pPr>
            <w:r>
              <w:rPr>
                <w:rFonts w:ascii="Arial" w:cs="Arial" w:eastAsia="Arial" w:hAnsi="Arial"/>
                <w:sz w:val="14"/>
                <w:szCs w:val="14"/>
                <w:i w:val="1"/>
                <w:iCs w:val="1"/>
                <w:color w:val="auto"/>
                <w:w w:val="90"/>
              </w:rPr>
              <w:t>GasLog Geneva</w:t>
            </w:r>
          </w:p>
        </w:tc>
        <w:tc>
          <w:tcPr>
            <w:tcW w:w="1320" w:type="dxa"/>
            <w:vAlign w:val="bottom"/>
            <w:shd w:val="clear" w:color="auto" w:fill="E5FFFF"/>
          </w:tcPr>
          <w:p>
            <w:pPr>
              <w:jc w:val="center"/>
              <w:spacing w:after="0"/>
              <w:rPr>
                <w:sz w:val="20"/>
                <w:szCs w:val="20"/>
                <w:color w:val="auto"/>
              </w:rPr>
            </w:pPr>
            <w:r>
              <w:rPr>
                <w:rFonts w:ascii="Arial" w:cs="Arial" w:eastAsia="Arial" w:hAnsi="Arial"/>
                <w:sz w:val="14"/>
                <w:szCs w:val="14"/>
                <w:color w:val="auto"/>
                <w:w w:val="90"/>
              </w:rPr>
              <w:t>September 2016</w:t>
            </w: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GAS-sixteen Ltd.</w:t>
            </w:r>
          </w:p>
        </w:tc>
        <w:tc>
          <w:tcPr>
            <w:tcW w:w="1240" w:type="dxa"/>
            <w:vAlign w:val="bottom"/>
          </w:tcPr>
          <w:p>
            <w:pPr>
              <w:ind w:left="120"/>
              <w:spacing w:after="0" w:line="149" w:lineRule="exact"/>
              <w:rPr>
                <w:sz w:val="20"/>
                <w:szCs w:val="20"/>
                <w:color w:val="auto"/>
              </w:rPr>
            </w:pPr>
            <w:r>
              <w:rPr>
                <w:rFonts w:ascii="Arial" w:cs="Arial" w:eastAsia="Arial" w:hAnsi="Arial"/>
                <w:sz w:val="14"/>
                <w:szCs w:val="14"/>
                <w:color w:val="auto"/>
              </w:rPr>
              <w:t>Bermuda</w:t>
            </w: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January 2014</w:t>
            </w:r>
          </w:p>
        </w:tc>
        <w:tc>
          <w:tcPr>
            <w:tcW w:w="2220" w:type="dxa"/>
            <w:vAlign w:val="bottom"/>
          </w:tcPr>
          <w:p>
            <w:pPr>
              <w:ind w:left="240"/>
              <w:spacing w:after="0" w:line="149" w:lineRule="exact"/>
              <w:rPr>
                <w:sz w:val="20"/>
                <w:szCs w:val="20"/>
                <w:color w:val="auto"/>
              </w:rPr>
            </w:pPr>
            <w:r>
              <w:rPr>
                <w:rFonts w:ascii="Arial" w:cs="Arial" w:eastAsia="Arial" w:hAnsi="Arial"/>
                <w:sz w:val="14"/>
                <w:szCs w:val="14"/>
                <w:color w:val="auto"/>
              </w:rPr>
              <w:t>Vessel-owning company</w:t>
            </w:r>
          </w:p>
        </w:tc>
        <w:tc>
          <w:tcPr>
            <w:tcW w:w="126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90"/>
              </w:rPr>
              <w:t>145,000</w:t>
            </w:r>
          </w:p>
        </w:tc>
        <w:tc>
          <w:tcPr>
            <w:tcW w:w="19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Methane Rita Andrea</w:t>
            </w:r>
          </w:p>
        </w:tc>
        <w:tc>
          <w:tcPr>
            <w:tcW w:w="1320" w:type="dxa"/>
            <w:vAlign w:val="bottom"/>
          </w:tcPr>
          <w:p>
            <w:pPr>
              <w:jc w:val="center"/>
              <w:ind w:left="8"/>
              <w:spacing w:after="0" w:line="149" w:lineRule="exact"/>
              <w:rPr>
                <w:sz w:val="20"/>
                <w:szCs w:val="20"/>
                <w:color w:val="auto"/>
              </w:rPr>
            </w:pPr>
            <w:r>
              <w:rPr>
                <w:rFonts w:ascii="Arial" w:cs="Arial" w:eastAsia="Arial" w:hAnsi="Arial"/>
                <w:sz w:val="14"/>
                <w:szCs w:val="14"/>
                <w:color w:val="auto"/>
              </w:rPr>
              <w:t>April 2014</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GAS-seventeen Ltd.</w:t>
            </w:r>
          </w:p>
        </w:tc>
        <w:tc>
          <w:tcPr>
            <w:tcW w:w="1240" w:type="dxa"/>
            <w:vAlign w:val="bottom"/>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3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January 2014</w:t>
            </w:r>
          </w:p>
        </w:tc>
        <w:tc>
          <w:tcPr>
            <w:tcW w:w="2220" w:type="dxa"/>
            <w:vAlign w:val="bottom"/>
            <w:shd w:val="clear" w:color="auto" w:fill="E5FFFF"/>
          </w:tcPr>
          <w:p>
            <w:pPr>
              <w:ind w:left="240"/>
              <w:spacing w:after="0" w:line="149" w:lineRule="exact"/>
              <w:rPr>
                <w:sz w:val="20"/>
                <w:szCs w:val="20"/>
                <w:color w:val="auto"/>
              </w:rPr>
            </w:pPr>
            <w:r>
              <w:rPr>
                <w:rFonts w:ascii="Arial" w:cs="Arial" w:eastAsia="Arial" w:hAnsi="Arial"/>
                <w:sz w:val="14"/>
                <w:szCs w:val="14"/>
                <w:color w:val="auto"/>
              </w:rPr>
              <w:t>Vessel-owning company</w:t>
            </w:r>
          </w:p>
        </w:tc>
        <w:tc>
          <w:tcPr>
            <w:tcW w:w="1260" w:type="dxa"/>
            <w:vAlign w:val="bottom"/>
            <w:shd w:val="clear" w:color="auto" w:fill="E5FFFF"/>
          </w:tcPr>
          <w:p>
            <w:pPr>
              <w:jc w:val="center"/>
              <w:ind w:left="328"/>
              <w:spacing w:after="0" w:line="149" w:lineRule="exact"/>
              <w:rPr>
                <w:sz w:val="20"/>
                <w:szCs w:val="20"/>
                <w:color w:val="auto"/>
              </w:rPr>
            </w:pPr>
            <w:r>
              <w:rPr>
                <w:rFonts w:ascii="Arial" w:cs="Arial" w:eastAsia="Arial" w:hAnsi="Arial"/>
                <w:sz w:val="14"/>
                <w:szCs w:val="14"/>
                <w:color w:val="auto"/>
                <w:w w:val="90"/>
              </w:rPr>
              <w:t>145,000</w:t>
            </w:r>
          </w:p>
        </w:tc>
        <w:tc>
          <w:tcPr>
            <w:tcW w:w="19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3"/>
              </w:rPr>
              <w:t>Methane Jane Elizabeth</w:t>
            </w:r>
          </w:p>
        </w:tc>
        <w:tc>
          <w:tcPr>
            <w:tcW w:w="1320" w:type="dxa"/>
            <w:vAlign w:val="bottom"/>
            <w:shd w:val="clear" w:color="auto" w:fill="E5FFFF"/>
          </w:tcPr>
          <w:p>
            <w:pPr>
              <w:jc w:val="center"/>
              <w:ind w:left="8"/>
              <w:spacing w:after="0" w:line="149" w:lineRule="exact"/>
              <w:rPr>
                <w:sz w:val="20"/>
                <w:szCs w:val="20"/>
                <w:color w:val="auto"/>
              </w:rPr>
            </w:pPr>
            <w:r>
              <w:rPr>
                <w:rFonts w:ascii="Arial" w:cs="Arial" w:eastAsia="Arial" w:hAnsi="Arial"/>
                <w:sz w:val="14"/>
                <w:szCs w:val="14"/>
                <w:color w:val="auto"/>
              </w:rPr>
              <w:t>April 2014</w:t>
            </w: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GAS-nineteen Ltd.</w:t>
            </w:r>
          </w:p>
        </w:tc>
        <w:tc>
          <w:tcPr>
            <w:tcW w:w="1240" w:type="dxa"/>
            <w:vAlign w:val="bottom"/>
          </w:tcPr>
          <w:p>
            <w:pPr>
              <w:ind w:left="120"/>
              <w:spacing w:after="0" w:line="149" w:lineRule="exact"/>
              <w:rPr>
                <w:sz w:val="20"/>
                <w:szCs w:val="20"/>
                <w:color w:val="auto"/>
              </w:rPr>
            </w:pPr>
            <w:r>
              <w:rPr>
                <w:rFonts w:ascii="Arial" w:cs="Arial" w:eastAsia="Arial" w:hAnsi="Arial"/>
                <w:sz w:val="14"/>
                <w:szCs w:val="14"/>
                <w:color w:val="auto"/>
              </w:rPr>
              <w:t>Bermuda</w:t>
            </w: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April 2014</w:t>
            </w:r>
          </w:p>
        </w:tc>
        <w:tc>
          <w:tcPr>
            <w:tcW w:w="2220" w:type="dxa"/>
            <w:vAlign w:val="bottom"/>
          </w:tcPr>
          <w:p>
            <w:pPr>
              <w:ind w:left="240"/>
              <w:spacing w:after="0" w:line="149" w:lineRule="exact"/>
              <w:rPr>
                <w:sz w:val="20"/>
                <w:szCs w:val="20"/>
                <w:color w:val="auto"/>
              </w:rPr>
            </w:pPr>
            <w:r>
              <w:rPr>
                <w:rFonts w:ascii="Arial" w:cs="Arial" w:eastAsia="Arial" w:hAnsi="Arial"/>
                <w:sz w:val="14"/>
                <w:szCs w:val="14"/>
                <w:color w:val="auto"/>
              </w:rPr>
              <w:t>Vessel-owning company</w:t>
            </w:r>
          </w:p>
        </w:tc>
        <w:tc>
          <w:tcPr>
            <w:tcW w:w="126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90"/>
              </w:rPr>
              <w:t>145,000</w:t>
            </w:r>
          </w:p>
        </w:tc>
        <w:tc>
          <w:tcPr>
            <w:tcW w:w="19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5"/>
              </w:rPr>
              <w:t>Methane Alison Victoria</w:t>
            </w:r>
          </w:p>
        </w:tc>
        <w:tc>
          <w:tcPr>
            <w:tcW w:w="1320" w:type="dxa"/>
            <w:vAlign w:val="bottom"/>
          </w:tcPr>
          <w:p>
            <w:pPr>
              <w:jc w:val="center"/>
              <w:ind w:left="8"/>
              <w:spacing w:after="0" w:line="149" w:lineRule="exact"/>
              <w:rPr>
                <w:sz w:val="20"/>
                <w:szCs w:val="20"/>
                <w:color w:val="auto"/>
              </w:rPr>
            </w:pPr>
            <w:r>
              <w:rPr>
                <w:rFonts w:ascii="Arial" w:cs="Arial" w:eastAsia="Arial" w:hAnsi="Arial"/>
                <w:sz w:val="14"/>
                <w:szCs w:val="14"/>
                <w:color w:val="auto"/>
                <w:w w:val="91"/>
              </w:rPr>
              <w:t>June 2014</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GAS-twenty Ltd.</w:t>
            </w:r>
          </w:p>
        </w:tc>
        <w:tc>
          <w:tcPr>
            <w:tcW w:w="1240" w:type="dxa"/>
            <w:vAlign w:val="bottom"/>
            <w:shd w:val="clear" w:color="auto" w:fill="E5FFFF"/>
          </w:tcPr>
          <w:p>
            <w:pPr>
              <w:ind w:left="120"/>
              <w:spacing w:after="0" w:line="149" w:lineRule="exact"/>
              <w:rPr>
                <w:sz w:val="20"/>
                <w:szCs w:val="20"/>
                <w:color w:val="auto"/>
              </w:rPr>
            </w:pPr>
            <w:r>
              <w:rPr>
                <w:rFonts w:ascii="Arial" w:cs="Arial" w:eastAsia="Arial" w:hAnsi="Arial"/>
                <w:sz w:val="14"/>
                <w:szCs w:val="14"/>
                <w:color w:val="auto"/>
              </w:rPr>
              <w:t>Bermuda</w:t>
            </w:r>
          </w:p>
        </w:tc>
        <w:tc>
          <w:tcPr>
            <w:tcW w:w="1320" w:type="dxa"/>
            <w:vAlign w:val="bottom"/>
            <w:shd w:val="clear" w:color="auto" w:fill="E5FFFF"/>
          </w:tcPr>
          <w:p>
            <w:pPr>
              <w:ind w:left="160"/>
              <w:spacing w:after="0" w:line="149" w:lineRule="exact"/>
              <w:rPr>
                <w:sz w:val="20"/>
                <w:szCs w:val="20"/>
                <w:color w:val="auto"/>
              </w:rPr>
            </w:pPr>
            <w:r>
              <w:rPr>
                <w:rFonts w:ascii="Arial" w:cs="Arial" w:eastAsia="Arial" w:hAnsi="Arial"/>
                <w:sz w:val="14"/>
                <w:szCs w:val="14"/>
                <w:color w:val="auto"/>
              </w:rPr>
              <w:t>April 2014</w:t>
            </w:r>
          </w:p>
        </w:tc>
        <w:tc>
          <w:tcPr>
            <w:tcW w:w="2220" w:type="dxa"/>
            <w:vAlign w:val="bottom"/>
            <w:shd w:val="clear" w:color="auto" w:fill="E5FFFF"/>
          </w:tcPr>
          <w:p>
            <w:pPr>
              <w:ind w:left="240"/>
              <w:spacing w:after="0" w:line="149" w:lineRule="exact"/>
              <w:rPr>
                <w:sz w:val="20"/>
                <w:szCs w:val="20"/>
                <w:color w:val="auto"/>
              </w:rPr>
            </w:pPr>
            <w:r>
              <w:rPr>
                <w:rFonts w:ascii="Arial" w:cs="Arial" w:eastAsia="Arial" w:hAnsi="Arial"/>
                <w:sz w:val="14"/>
                <w:szCs w:val="14"/>
                <w:color w:val="auto"/>
              </w:rPr>
              <w:t>Vessel-owning company</w:t>
            </w:r>
          </w:p>
        </w:tc>
        <w:tc>
          <w:tcPr>
            <w:tcW w:w="1260" w:type="dxa"/>
            <w:vAlign w:val="bottom"/>
            <w:shd w:val="clear" w:color="auto" w:fill="E5FFFF"/>
          </w:tcPr>
          <w:p>
            <w:pPr>
              <w:jc w:val="center"/>
              <w:ind w:left="328"/>
              <w:spacing w:after="0" w:line="149" w:lineRule="exact"/>
              <w:rPr>
                <w:sz w:val="20"/>
                <w:szCs w:val="20"/>
                <w:color w:val="auto"/>
              </w:rPr>
            </w:pPr>
            <w:r>
              <w:rPr>
                <w:rFonts w:ascii="Arial" w:cs="Arial" w:eastAsia="Arial" w:hAnsi="Arial"/>
                <w:sz w:val="14"/>
                <w:szCs w:val="14"/>
                <w:color w:val="auto"/>
                <w:w w:val="90"/>
              </w:rPr>
              <w:t>145,000</w:t>
            </w:r>
          </w:p>
        </w:tc>
        <w:tc>
          <w:tcPr>
            <w:tcW w:w="1980" w:type="dxa"/>
            <w:vAlign w:val="bottom"/>
            <w:shd w:val="clear" w:color="auto" w:fill="E5FFFF"/>
          </w:tcPr>
          <w:p>
            <w:pPr>
              <w:jc w:val="center"/>
              <w:spacing w:after="0" w:line="149" w:lineRule="exact"/>
              <w:rPr>
                <w:sz w:val="20"/>
                <w:szCs w:val="20"/>
                <w:color w:val="auto"/>
              </w:rPr>
            </w:pPr>
            <w:r>
              <w:rPr>
                <w:rFonts w:ascii="Arial" w:cs="Arial" w:eastAsia="Arial" w:hAnsi="Arial"/>
                <w:sz w:val="14"/>
                <w:szCs w:val="14"/>
                <w:i w:val="1"/>
                <w:iCs w:val="1"/>
                <w:color w:val="auto"/>
                <w:w w:val="93"/>
              </w:rPr>
              <w:t>Methane Shirley Elisabeth</w:t>
            </w:r>
          </w:p>
        </w:tc>
        <w:tc>
          <w:tcPr>
            <w:tcW w:w="1320" w:type="dxa"/>
            <w:vAlign w:val="bottom"/>
            <w:shd w:val="clear" w:color="auto" w:fill="E5FFFF"/>
          </w:tcPr>
          <w:p>
            <w:pPr>
              <w:jc w:val="center"/>
              <w:ind w:left="8"/>
              <w:spacing w:after="0" w:line="149" w:lineRule="exact"/>
              <w:rPr>
                <w:sz w:val="20"/>
                <w:szCs w:val="20"/>
                <w:color w:val="auto"/>
              </w:rPr>
            </w:pPr>
            <w:r>
              <w:rPr>
                <w:rFonts w:ascii="Arial" w:cs="Arial" w:eastAsia="Arial" w:hAnsi="Arial"/>
                <w:sz w:val="14"/>
                <w:szCs w:val="14"/>
                <w:color w:val="auto"/>
                <w:w w:val="91"/>
              </w:rPr>
              <w:t>June 2014</w:t>
            </w: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GAS-twenty one Ltd.</w:t>
            </w:r>
          </w:p>
        </w:tc>
        <w:tc>
          <w:tcPr>
            <w:tcW w:w="1240" w:type="dxa"/>
            <w:vAlign w:val="bottom"/>
          </w:tcPr>
          <w:p>
            <w:pPr>
              <w:ind w:left="120"/>
              <w:spacing w:after="0" w:line="149" w:lineRule="exact"/>
              <w:rPr>
                <w:sz w:val="20"/>
                <w:szCs w:val="20"/>
                <w:color w:val="auto"/>
              </w:rPr>
            </w:pPr>
            <w:r>
              <w:rPr>
                <w:rFonts w:ascii="Arial" w:cs="Arial" w:eastAsia="Arial" w:hAnsi="Arial"/>
                <w:sz w:val="14"/>
                <w:szCs w:val="14"/>
                <w:color w:val="auto"/>
              </w:rPr>
              <w:t>Bermuda</w:t>
            </w: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April 2014</w:t>
            </w:r>
          </w:p>
        </w:tc>
        <w:tc>
          <w:tcPr>
            <w:tcW w:w="2220" w:type="dxa"/>
            <w:vAlign w:val="bottom"/>
          </w:tcPr>
          <w:p>
            <w:pPr>
              <w:ind w:left="240"/>
              <w:spacing w:after="0" w:line="149" w:lineRule="exact"/>
              <w:rPr>
                <w:sz w:val="20"/>
                <w:szCs w:val="20"/>
                <w:color w:val="auto"/>
              </w:rPr>
            </w:pPr>
            <w:r>
              <w:rPr>
                <w:rFonts w:ascii="Arial" w:cs="Arial" w:eastAsia="Arial" w:hAnsi="Arial"/>
                <w:sz w:val="14"/>
                <w:szCs w:val="14"/>
                <w:color w:val="auto"/>
              </w:rPr>
              <w:t>Vessel-owning company</w:t>
            </w:r>
          </w:p>
        </w:tc>
        <w:tc>
          <w:tcPr>
            <w:tcW w:w="126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90"/>
              </w:rPr>
              <w:t>145,000</w:t>
            </w:r>
          </w:p>
        </w:tc>
        <w:tc>
          <w:tcPr>
            <w:tcW w:w="19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4"/>
              </w:rPr>
              <w:t>Methane Heather Sally</w:t>
            </w:r>
          </w:p>
        </w:tc>
        <w:tc>
          <w:tcPr>
            <w:tcW w:w="1320" w:type="dxa"/>
            <w:vAlign w:val="bottom"/>
          </w:tcPr>
          <w:p>
            <w:pPr>
              <w:jc w:val="center"/>
              <w:ind w:left="8"/>
              <w:spacing w:after="0" w:line="149" w:lineRule="exact"/>
              <w:rPr>
                <w:sz w:val="20"/>
                <w:szCs w:val="20"/>
                <w:color w:val="auto"/>
              </w:rPr>
            </w:pPr>
            <w:r>
              <w:rPr>
                <w:rFonts w:ascii="Arial" w:cs="Arial" w:eastAsia="Arial" w:hAnsi="Arial"/>
                <w:sz w:val="14"/>
                <w:szCs w:val="14"/>
                <w:color w:val="auto"/>
                <w:w w:val="91"/>
              </w:rPr>
              <w:t>June 2014</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25% interest associate:</w:t>
            </w:r>
          </w:p>
        </w:tc>
        <w:tc>
          <w:tcPr>
            <w:tcW w:w="1240" w:type="dxa"/>
            <w:vAlign w:val="bottom"/>
            <w:shd w:val="clear" w:color="auto" w:fill="E5FFFF"/>
          </w:tcPr>
          <w:p>
            <w:pPr>
              <w:spacing w:after="0"/>
              <w:rPr>
                <w:sz w:val="12"/>
                <w:szCs w:val="12"/>
                <w:color w:val="auto"/>
              </w:rPr>
            </w:pPr>
          </w:p>
        </w:tc>
        <w:tc>
          <w:tcPr>
            <w:tcW w:w="1320" w:type="dxa"/>
            <w:vAlign w:val="bottom"/>
            <w:shd w:val="clear" w:color="auto" w:fill="E5FFFF"/>
          </w:tcPr>
          <w:p>
            <w:pPr>
              <w:spacing w:after="0"/>
              <w:rPr>
                <w:sz w:val="12"/>
                <w:szCs w:val="12"/>
                <w:color w:val="auto"/>
              </w:rPr>
            </w:pPr>
          </w:p>
        </w:tc>
        <w:tc>
          <w:tcPr>
            <w:tcW w:w="2220" w:type="dxa"/>
            <w:vAlign w:val="bottom"/>
            <w:shd w:val="clear" w:color="auto" w:fill="E5FFFF"/>
          </w:tcPr>
          <w:p>
            <w:pPr>
              <w:spacing w:after="0"/>
              <w:rPr>
                <w:sz w:val="12"/>
                <w:szCs w:val="12"/>
                <w:color w:val="auto"/>
              </w:rPr>
            </w:pPr>
          </w:p>
        </w:tc>
        <w:tc>
          <w:tcPr>
            <w:tcW w:w="1260" w:type="dxa"/>
            <w:vAlign w:val="bottom"/>
            <w:shd w:val="clear" w:color="auto" w:fill="E5FFFF"/>
          </w:tcPr>
          <w:p>
            <w:pPr>
              <w:spacing w:after="0"/>
              <w:rPr>
                <w:sz w:val="12"/>
                <w:szCs w:val="12"/>
                <w:color w:val="auto"/>
              </w:rPr>
            </w:pPr>
          </w:p>
        </w:tc>
        <w:tc>
          <w:tcPr>
            <w:tcW w:w="1980" w:type="dxa"/>
            <w:vAlign w:val="bottom"/>
            <w:shd w:val="clear" w:color="auto" w:fill="E5FFFF"/>
          </w:tcPr>
          <w:p>
            <w:pPr>
              <w:spacing w:after="0"/>
              <w:rPr>
                <w:sz w:val="12"/>
                <w:szCs w:val="12"/>
                <w:color w:val="auto"/>
              </w:rPr>
            </w:pPr>
          </w:p>
        </w:tc>
        <w:tc>
          <w:tcPr>
            <w:tcW w:w="1320" w:type="dxa"/>
            <w:vAlign w:val="bottom"/>
            <w:shd w:val="clear" w:color="auto" w:fill="E5FFFF"/>
          </w:tcPr>
          <w:p>
            <w:pPr>
              <w:spacing w:after="0"/>
              <w:rPr>
                <w:sz w:val="12"/>
                <w:szCs w:val="12"/>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Egypt LNG Shipping Ltd.</w:t>
            </w:r>
          </w:p>
        </w:tc>
        <w:tc>
          <w:tcPr>
            <w:tcW w:w="1240" w:type="dxa"/>
            <w:vAlign w:val="bottom"/>
          </w:tcPr>
          <w:p>
            <w:pPr>
              <w:ind w:left="120"/>
              <w:spacing w:after="0" w:line="149" w:lineRule="exact"/>
              <w:rPr>
                <w:sz w:val="20"/>
                <w:szCs w:val="20"/>
                <w:color w:val="auto"/>
              </w:rPr>
            </w:pPr>
            <w:r>
              <w:rPr>
                <w:rFonts w:ascii="Arial" w:cs="Arial" w:eastAsia="Arial" w:hAnsi="Arial"/>
                <w:sz w:val="14"/>
                <w:szCs w:val="14"/>
                <w:color w:val="auto"/>
              </w:rPr>
              <w:t>Bermuda</w:t>
            </w: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May 2010</w:t>
            </w:r>
          </w:p>
        </w:tc>
        <w:tc>
          <w:tcPr>
            <w:tcW w:w="2220" w:type="dxa"/>
            <w:vAlign w:val="bottom"/>
          </w:tcPr>
          <w:p>
            <w:pPr>
              <w:ind w:left="240"/>
              <w:spacing w:after="0" w:line="149" w:lineRule="exact"/>
              <w:rPr>
                <w:sz w:val="20"/>
                <w:szCs w:val="20"/>
                <w:color w:val="auto"/>
              </w:rPr>
            </w:pPr>
            <w:r>
              <w:rPr>
                <w:rFonts w:ascii="Arial" w:cs="Arial" w:eastAsia="Arial" w:hAnsi="Arial"/>
                <w:sz w:val="14"/>
                <w:szCs w:val="14"/>
                <w:color w:val="auto"/>
              </w:rPr>
              <w:t>Vessel-owning company</w:t>
            </w:r>
          </w:p>
        </w:tc>
        <w:tc>
          <w:tcPr>
            <w:tcW w:w="126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90"/>
              </w:rPr>
              <w:t>145,000</w:t>
            </w:r>
          </w:p>
        </w:tc>
        <w:tc>
          <w:tcPr>
            <w:tcW w:w="198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4"/>
              </w:rPr>
              <w:t>Methane Nile Eagle</w:t>
            </w:r>
          </w:p>
        </w:tc>
        <w:tc>
          <w:tcPr>
            <w:tcW w:w="1320" w:type="dxa"/>
            <w:vAlign w:val="bottom"/>
          </w:tcPr>
          <w:p>
            <w:pPr>
              <w:jc w:val="center"/>
              <w:ind w:left="8"/>
              <w:spacing w:after="0" w:line="149" w:lineRule="exact"/>
              <w:rPr>
                <w:sz w:val="20"/>
                <w:szCs w:val="20"/>
                <w:color w:val="auto"/>
              </w:rPr>
            </w:pPr>
            <w:r>
              <w:rPr>
                <w:rFonts w:ascii="Arial" w:cs="Arial" w:eastAsia="Arial" w:hAnsi="Arial"/>
                <w:sz w:val="14"/>
                <w:szCs w:val="14"/>
                <w:color w:val="auto"/>
                <w:w w:val="92"/>
              </w:rPr>
              <w:t>December 2007</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20% interest associate:</w:t>
            </w:r>
          </w:p>
        </w:tc>
        <w:tc>
          <w:tcPr>
            <w:tcW w:w="1240" w:type="dxa"/>
            <w:vAlign w:val="bottom"/>
            <w:shd w:val="clear" w:color="auto" w:fill="E5FFFF"/>
          </w:tcPr>
          <w:p>
            <w:pPr>
              <w:spacing w:after="0"/>
              <w:rPr>
                <w:sz w:val="12"/>
                <w:szCs w:val="12"/>
                <w:color w:val="auto"/>
              </w:rPr>
            </w:pPr>
          </w:p>
        </w:tc>
        <w:tc>
          <w:tcPr>
            <w:tcW w:w="1320" w:type="dxa"/>
            <w:vAlign w:val="bottom"/>
            <w:shd w:val="clear" w:color="auto" w:fill="E5FFFF"/>
          </w:tcPr>
          <w:p>
            <w:pPr>
              <w:spacing w:after="0"/>
              <w:rPr>
                <w:sz w:val="12"/>
                <w:szCs w:val="12"/>
                <w:color w:val="auto"/>
              </w:rPr>
            </w:pPr>
          </w:p>
        </w:tc>
        <w:tc>
          <w:tcPr>
            <w:tcW w:w="2220" w:type="dxa"/>
            <w:vAlign w:val="bottom"/>
            <w:shd w:val="clear" w:color="auto" w:fill="E5FFFF"/>
          </w:tcPr>
          <w:p>
            <w:pPr>
              <w:spacing w:after="0"/>
              <w:rPr>
                <w:sz w:val="12"/>
                <w:szCs w:val="12"/>
                <w:color w:val="auto"/>
              </w:rPr>
            </w:pPr>
          </w:p>
        </w:tc>
        <w:tc>
          <w:tcPr>
            <w:tcW w:w="1260" w:type="dxa"/>
            <w:vAlign w:val="bottom"/>
            <w:shd w:val="clear" w:color="auto" w:fill="E5FFFF"/>
          </w:tcPr>
          <w:p>
            <w:pPr>
              <w:spacing w:after="0"/>
              <w:rPr>
                <w:sz w:val="12"/>
                <w:szCs w:val="12"/>
                <w:color w:val="auto"/>
              </w:rPr>
            </w:pPr>
          </w:p>
        </w:tc>
        <w:tc>
          <w:tcPr>
            <w:tcW w:w="1980" w:type="dxa"/>
            <w:vAlign w:val="bottom"/>
            <w:shd w:val="clear" w:color="auto" w:fill="E5FFFF"/>
          </w:tcPr>
          <w:p>
            <w:pPr>
              <w:spacing w:after="0"/>
              <w:rPr>
                <w:sz w:val="12"/>
                <w:szCs w:val="12"/>
                <w:color w:val="auto"/>
              </w:rPr>
            </w:pPr>
          </w:p>
        </w:tc>
        <w:tc>
          <w:tcPr>
            <w:tcW w:w="1320" w:type="dxa"/>
            <w:vAlign w:val="bottom"/>
            <w:shd w:val="clear" w:color="auto" w:fill="E5FFFF"/>
          </w:tcPr>
          <w:p>
            <w:pPr>
              <w:spacing w:after="0"/>
              <w:rPr>
                <w:sz w:val="12"/>
                <w:szCs w:val="12"/>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Gastrade S.A. (“Gastrade”)</w:t>
            </w:r>
          </w:p>
        </w:tc>
        <w:tc>
          <w:tcPr>
            <w:tcW w:w="1240" w:type="dxa"/>
            <w:vAlign w:val="bottom"/>
          </w:tcPr>
          <w:p>
            <w:pPr>
              <w:ind w:left="120"/>
              <w:spacing w:after="0" w:line="149" w:lineRule="exact"/>
              <w:rPr>
                <w:sz w:val="20"/>
                <w:szCs w:val="20"/>
                <w:color w:val="auto"/>
              </w:rPr>
            </w:pPr>
            <w:r>
              <w:rPr>
                <w:rFonts w:ascii="Arial" w:cs="Arial" w:eastAsia="Arial" w:hAnsi="Arial"/>
                <w:sz w:val="14"/>
                <w:szCs w:val="14"/>
                <w:color w:val="auto"/>
              </w:rPr>
              <w:t>Greece</w:t>
            </w:r>
          </w:p>
        </w:tc>
        <w:tc>
          <w:tcPr>
            <w:tcW w:w="1320" w:type="dxa"/>
            <w:vAlign w:val="bottom"/>
          </w:tcPr>
          <w:p>
            <w:pPr>
              <w:ind w:left="160"/>
              <w:spacing w:after="0" w:line="149" w:lineRule="exact"/>
              <w:rPr>
                <w:sz w:val="20"/>
                <w:szCs w:val="20"/>
                <w:color w:val="auto"/>
              </w:rPr>
            </w:pPr>
            <w:r>
              <w:rPr>
                <w:rFonts w:ascii="Arial" w:cs="Arial" w:eastAsia="Arial" w:hAnsi="Arial"/>
                <w:sz w:val="14"/>
                <w:szCs w:val="14"/>
                <w:color w:val="auto"/>
              </w:rPr>
              <w:t>June 2010</w:t>
            </w:r>
          </w:p>
        </w:tc>
        <w:tc>
          <w:tcPr>
            <w:tcW w:w="2220" w:type="dxa"/>
            <w:vAlign w:val="bottom"/>
          </w:tcPr>
          <w:p>
            <w:pPr>
              <w:ind w:left="240"/>
              <w:spacing w:after="0" w:line="149" w:lineRule="exact"/>
              <w:rPr>
                <w:sz w:val="20"/>
                <w:szCs w:val="20"/>
                <w:color w:val="auto"/>
              </w:rPr>
            </w:pPr>
            <w:r>
              <w:rPr>
                <w:rFonts w:ascii="Arial" w:cs="Arial" w:eastAsia="Arial" w:hAnsi="Arial"/>
                <w:sz w:val="14"/>
                <w:szCs w:val="14"/>
                <w:color w:val="auto"/>
              </w:rPr>
              <w:t>Service company</w:t>
            </w:r>
          </w:p>
        </w:tc>
        <w:tc>
          <w:tcPr>
            <w:tcW w:w="1260" w:type="dxa"/>
            <w:vAlign w:val="bottom"/>
          </w:tcPr>
          <w:p>
            <w:pPr>
              <w:jc w:val="center"/>
              <w:ind w:left="328"/>
              <w:spacing w:after="0" w:line="149" w:lineRule="exact"/>
              <w:rPr>
                <w:sz w:val="20"/>
                <w:szCs w:val="20"/>
                <w:color w:val="auto"/>
              </w:rPr>
            </w:pPr>
            <w:r>
              <w:rPr>
                <w:rFonts w:ascii="Arial" w:cs="Arial" w:eastAsia="Arial" w:hAnsi="Arial"/>
                <w:sz w:val="14"/>
                <w:szCs w:val="14"/>
                <w:color w:val="auto"/>
                <w:w w:val="99"/>
              </w:rPr>
              <w:t>—</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320" w:type="dxa"/>
            <w:vAlign w:val="bottom"/>
          </w:tcPr>
          <w:p>
            <w:pPr>
              <w:jc w:val="center"/>
              <w:ind w:left="8"/>
              <w:spacing w:after="0" w:line="149" w:lineRule="exact"/>
              <w:rPr>
                <w:sz w:val="20"/>
                <w:szCs w:val="20"/>
                <w:color w:val="auto"/>
              </w:rPr>
            </w:pPr>
            <w:r>
              <w:rPr>
                <w:rFonts w:ascii="Arial" w:cs="Arial" w:eastAsia="Arial" w:hAnsi="Arial"/>
                <w:sz w:val="14"/>
                <w:szCs w:val="14"/>
                <w:color w:val="auto"/>
              </w:rPr>
              <w:t>—</w:t>
            </w:r>
          </w:p>
        </w:tc>
      </w:tr>
      <w:tr>
        <w:trPr>
          <w:trHeight w:val="149"/>
        </w:trPr>
        <w:tc>
          <w:tcPr>
            <w:tcW w:w="2080" w:type="dxa"/>
            <w:vAlign w:val="bottom"/>
            <w:shd w:val="clear" w:color="auto" w:fill="E5FFFF"/>
          </w:tcPr>
          <w:p>
            <w:pPr>
              <w:spacing w:after="0" w:line="149" w:lineRule="exact"/>
              <w:rPr>
                <w:sz w:val="20"/>
                <w:szCs w:val="20"/>
                <w:color w:val="auto"/>
              </w:rPr>
            </w:pPr>
            <w:r>
              <w:rPr>
                <w:rFonts w:ascii="Arial" w:cs="Arial" w:eastAsia="Arial" w:hAnsi="Arial"/>
                <w:sz w:val="14"/>
                <w:szCs w:val="14"/>
                <w:b w:val="1"/>
                <w:bCs w:val="1"/>
                <w:color w:val="auto"/>
              </w:rPr>
              <w:t>33.33% joint venture:</w:t>
            </w:r>
          </w:p>
        </w:tc>
        <w:tc>
          <w:tcPr>
            <w:tcW w:w="1240" w:type="dxa"/>
            <w:vAlign w:val="bottom"/>
            <w:shd w:val="clear" w:color="auto" w:fill="E5FFFF"/>
          </w:tcPr>
          <w:p>
            <w:pPr>
              <w:spacing w:after="0"/>
              <w:rPr>
                <w:sz w:val="12"/>
                <w:szCs w:val="12"/>
                <w:color w:val="auto"/>
              </w:rPr>
            </w:pPr>
          </w:p>
        </w:tc>
        <w:tc>
          <w:tcPr>
            <w:tcW w:w="1320" w:type="dxa"/>
            <w:vAlign w:val="bottom"/>
            <w:shd w:val="clear" w:color="auto" w:fill="E5FFFF"/>
          </w:tcPr>
          <w:p>
            <w:pPr>
              <w:spacing w:after="0"/>
              <w:rPr>
                <w:sz w:val="12"/>
                <w:szCs w:val="12"/>
                <w:color w:val="auto"/>
              </w:rPr>
            </w:pPr>
          </w:p>
        </w:tc>
        <w:tc>
          <w:tcPr>
            <w:tcW w:w="2220" w:type="dxa"/>
            <w:vAlign w:val="bottom"/>
            <w:shd w:val="clear" w:color="auto" w:fill="E5FFFF"/>
          </w:tcPr>
          <w:p>
            <w:pPr>
              <w:spacing w:after="0"/>
              <w:rPr>
                <w:sz w:val="12"/>
                <w:szCs w:val="12"/>
                <w:color w:val="auto"/>
              </w:rPr>
            </w:pPr>
          </w:p>
        </w:tc>
        <w:tc>
          <w:tcPr>
            <w:tcW w:w="1260" w:type="dxa"/>
            <w:vAlign w:val="bottom"/>
            <w:shd w:val="clear" w:color="auto" w:fill="E5FFFF"/>
          </w:tcPr>
          <w:p>
            <w:pPr>
              <w:spacing w:after="0"/>
              <w:rPr>
                <w:sz w:val="12"/>
                <w:szCs w:val="12"/>
                <w:color w:val="auto"/>
              </w:rPr>
            </w:pPr>
          </w:p>
        </w:tc>
        <w:tc>
          <w:tcPr>
            <w:tcW w:w="1980" w:type="dxa"/>
            <w:vAlign w:val="bottom"/>
            <w:shd w:val="clear" w:color="auto" w:fill="E5FFFF"/>
          </w:tcPr>
          <w:p>
            <w:pPr>
              <w:spacing w:after="0"/>
              <w:rPr>
                <w:sz w:val="12"/>
                <w:szCs w:val="12"/>
                <w:color w:val="auto"/>
              </w:rPr>
            </w:pPr>
          </w:p>
        </w:tc>
        <w:tc>
          <w:tcPr>
            <w:tcW w:w="1320" w:type="dxa"/>
            <w:vAlign w:val="bottom"/>
            <w:shd w:val="clear" w:color="auto" w:fill="E5FFFF"/>
          </w:tcPr>
          <w:p>
            <w:pPr>
              <w:spacing w:after="0"/>
              <w:rPr>
                <w:sz w:val="12"/>
                <w:szCs w:val="12"/>
                <w:color w:val="auto"/>
              </w:rPr>
            </w:pPr>
          </w:p>
        </w:tc>
      </w:tr>
      <w:tr>
        <w:trPr>
          <w:trHeight w:val="128"/>
        </w:trPr>
        <w:tc>
          <w:tcPr>
            <w:tcW w:w="2080" w:type="dxa"/>
            <w:vAlign w:val="bottom"/>
          </w:tcPr>
          <w:p>
            <w:pPr>
              <w:spacing w:after="0" w:line="128" w:lineRule="exact"/>
              <w:rPr>
                <w:sz w:val="20"/>
                <w:szCs w:val="20"/>
                <w:color w:val="auto"/>
              </w:rPr>
            </w:pPr>
            <w:r>
              <w:rPr>
                <w:rFonts w:ascii="Arial" w:cs="Arial" w:eastAsia="Arial" w:hAnsi="Arial"/>
                <w:sz w:val="14"/>
                <w:szCs w:val="14"/>
                <w:color w:val="auto"/>
              </w:rPr>
              <w:t>The Cool Pool Limited (the “Cool</w:t>
            </w:r>
          </w:p>
        </w:tc>
        <w:tc>
          <w:tcPr>
            <w:tcW w:w="1240" w:type="dxa"/>
            <w:vAlign w:val="bottom"/>
          </w:tcPr>
          <w:p>
            <w:pPr>
              <w:ind w:left="120"/>
              <w:spacing w:after="0" w:line="128" w:lineRule="exact"/>
              <w:rPr>
                <w:sz w:val="20"/>
                <w:szCs w:val="20"/>
                <w:color w:val="auto"/>
              </w:rPr>
            </w:pPr>
            <w:r>
              <w:rPr>
                <w:rFonts w:ascii="Arial" w:cs="Arial" w:eastAsia="Arial" w:hAnsi="Arial"/>
                <w:sz w:val="14"/>
                <w:szCs w:val="14"/>
                <w:color w:val="auto"/>
              </w:rPr>
              <w:t>Marshall Islands</w:t>
            </w:r>
          </w:p>
        </w:tc>
        <w:tc>
          <w:tcPr>
            <w:tcW w:w="1320" w:type="dxa"/>
            <w:vAlign w:val="bottom"/>
          </w:tcPr>
          <w:p>
            <w:pPr>
              <w:ind w:left="160"/>
              <w:spacing w:after="0" w:line="128" w:lineRule="exact"/>
              <w:rPr>
                <w:sz w:val="20"/>
                <w:szCs w:val="20"/>
                <w:color w:val="auto"/>
              </w:rPr>
            </w:pPr>
            <w:r>
              <w:rPr>
                <w:rFonts w:ascii="Arial" w:cs="Arial" w:eastAsia="Arial" w:hAnsi="Arial"/>
                <w:sz w:val="14"/>
                <w:szCs w:val="14"/>
                <w:color w:val="auto"/>
              </w:rPr>
              <w:t>September 2015</w:t>
            </w:r>
          </w:p>
        </w:tc>
        <w:tc>
          <w:tcPr>
            <w:tcW w:w="2220" w:type="dxa"/>
            <w:vAlign w:val="bottom"/>
          </w:tcPr>
          <w:p>
            <w:pPr>
              <w:ind w:left="240"/>
              <w:spacing w:after="0" w:line="128" w:lineRule="exact"/>
              <w:rPr>
                <w:sz w:val="20"/>
                <w:szCs w:val="20"/>
                <w:color w:val="auto"/>
              </w:rPr>
            </w:pPr>
            <w:r>
              <w:rPr>
                <w:rFonts w:ascii="Arial" w:cs="Arial" w:eastAsia="Arial" w:hAnsi="Arial"/>
                <w:sz w:val="14"/>
                <w:szCs w:val="14"/>
                <w:color w:val="auto"/>
              </w:rPr>
              <w:t>Service company</w:t>
            </w:r>
          </w:p>
        </w:tc>
        <w:tc>
          <w:tcPr>
            <w:tcW w:w="1260" w:type="dxa"/>
            <w:vAlign w:val="bottom"/>
          </w:tcPr>
          <w:p>
            <w:pPr>
              <w:jc w:val="center"/>
              <w:ind w:left="328"/>
              <w:spacing w:after="0" w:line="128" w:lineRule="exact"/>
              <w:rPr>
                <w:sz w:val="20"/>
                <w:szCs w:val="20"/>
                <w:color w:val="auto"/>
              </w:rPr>
            </w:pPr>
            <w:r>
              <w:rPr>
                <w:rFonts w:ascii="Arial" w:cs="Arial" w:eastAsia="Arial" w:hAnsi="Arial"/>
                <w:sz w:val="14"/>
                <w:szCs w:val="14"/>
                <w:color w:val="auto"/>
                <w:w w:val="99"/>
              </w:rPr>
              <w:t>—</w:t>
            </w:r>
          </w:p>
        </w:tc>
        <w:tc>
          <w:tcPr>
            <w:tcW w:w="1980" w:type="dxa"/>
            <w:vAlign w:val="bottom"/>
          </w:tcPr>
          <w:p>
            <w:pPr>
              <w:jc w:val="center"/>
              <w:spacing w:after="0" w:line="128" w:lineRule="exact"/>
              <w:rPr>
                <w:sz w:val="20"/>
                <w:szCs w:val="20"/>
                <w:color w:val="auto"/>
              </w:rPr>
            </w:pPr>
            <w:r>
              <w:rPr>
                <w:rFonts w:ascii="Arial" w:cs="Arial" w:eastAsia="Arial" w:hAnsi="Arial"/>
                <w:sz w:val="14"/>
                <w:szCs w:val="14"/>
                <w:color w:val="auto"/>
                <w:w w:val="99"/>
              </w:rPr>
              <w:t>—</w:t>
            </w:r>
          </w:p>
        </w:tc>
        <w:tc>
          <w:tcPr>
            <w:tcW w:w="1320" w:type="dxa"/>
            <w:vAlign w:val="bottom"/>
          </w:tcPr>
          <w:p>
            <w:pPr>
              <w:jc w:val="center"/>
              <w:ind w:left="8"/>
              <w:spacing w:after="0" w:line="128" w:lineRule="exact"/>
              <w:rPr>
                <w:sz w:val="20"/>
                <w:szCs w:val="20"/>
                <w:color w:val="auto"/>
              </w:rPr>
            </w:pPr>
            <w:r>
              <w:rPr>
                <w:rFonts w:ascii="Arial" w:cs="Arial" w:eastAsia="Arial" w:hAnsi="Arial"/>
                <w:sz w:val="14"/>
                <w:szCs w:val="14"/>
                <w:color w:val="auto"/>
              </w:rPr>
              <w:t>—</w:t>
            </w:r>
          </w:p>
        </w:tc>
      </w:tr>
      <w:tr>
        <w:trPr>
          <w:trHeight w:val="234"/>
        </w:trPr>
        <w:tc>
          <w:tcPr>
            <w:tcW w:w="2080" w:type="dxa"/>
            <w:vAlign w:val="bottom"/>
          </w:tcPr>
          <w:p>
            <w:pPr>
              <w:ind w:left="180"/>
              <w:spacing w:after="0"/>
              <w:rPr>
                <w:sz w:val="20"/>
                <w:szCs w:val="20"/>
                <w:color w:val="auto"/>
              </w:rPr>
            </w:pPr>
            <w:r>
              <w:rPr>
                <w:rFonts w:ascii="Arial" w:cs="Arial" w:eastAsia="Arial" w:hAnsi="Arial"/>
                <w:sz w:val="14"/>
                <w:szCs w:val="14"/>
                <w:color w:val="auto"/>
              </w:rPr>
              <w:t xml:space="preserve">Pool Limited”) </w:t>
            </w:r>
            <w:r>
              <w:rPr>
                <w:rFonts w:ascii="Arial" w:cs="Arial" w:eastAsia="Arial" w:hAnsi="Arial"/>
                <w:sz w:val="17"/>
                <w:szCs w:val="17"/>
                <w:color w:val="auto"/>
                <w:vertAlign w:val="superscript"/>
              </w:rPr>
              <w:t>(3)</w:t>
            </w: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8832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2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For newbuildings, expected delivery quarters as of March 31, 2018 are presented.</w:t>
      </w:r>
    </w:p>
    <w:p>
      <w:pPr>
        <w:ind w:left="260" w:hanging="252"/>
        <w:spacing w:after="0" w:line="182" w:lineRule="auto"/>
        <w:tabs>
          <w:tab w:leader="none" w:pos="260" w:val="left"/>
        </w:tabs>
        <w:numPr>
          <w:ilvl w:val="0"/>
          <w:numId w:val="14"/>
        </w:numPr>
        <w:rPr>
          <w:rFonts w:ascii="Arial" w:cs="Arial" w:eastAsia="Arial" w:hAnsi="Arial"/>
          <w:sz w:val="17"/>
          <w:szCs w:val="17"/>
          <w:color w:val="auto"/>
          <w:vertAlign w:val="superscript"/>
        </w:rPr>
      </w:pPr>
      <w:r>
        <w:rPr>
          <w:rFonts w:ascii="Arial" w:cs="Arial" w:eastAsia="Arial" w:hAnsi="Arial"/>
          <w:sz w:val="12"/>
          <w:szCs w:val="12"/>
          <w:color w:val="auto"/>
        </w:rPr>
        <w:t xml:space="preserve">On February 24, 2016, GAS-twenty six Ltd. completed the sale and leaseback of the </w:t>
      </w:r>
      <w:r>
        <w:rPr>
          <w:rFonts w:ascii="Arial" w:cs="Arial" w:eastAsia="Arial" w:hAnsi="Arial"/>
          <w:sz w:val="12"/>
          <w:szCs w:val="12"/>
          <w:i w:val="1"/>
          <w:iCs w:val="1"/>
          <w:color w:val="auto"/>
        </w:rPr>
        <w:t>Methane Julia Louise</w:t>
      </w:r>
      <w:r>
        <w:rPr>
          <w:rFonts w:ascii="Arial" w:cs="Arial" w:eastAsia="Arial" w:hAnsi="Arial"/>
          <w:sz w:val="12"/>
          <w:szCs w:val="12"/>
          <w:color w:val="auto"/>
        </w:rPr>
        <w:t xml:space="preserve"> with a subsidiary of Mitsui Co. Ltd. (“Mitsui”). Refer to Note 6.</w:t>
      </w:r>
    </w:p>
    <w:p>
      <w:pPr>
        <w:ind w:left="260" w:right="280" w:hanging="252"/>
        <w:spacing w:after="0" w:line="184" w:lineRule="auto"/>
        <w:tabs>
          <w:tab w:leader="none" w:pos="26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On October 1, 2015, GasLog Carriers, Dynagas Ltd. (“Dynagas”) and Golar LNG Ltd. (“Golar”) (“Pool Owners”) and The Cool Pool Limited signed an LNG carrier pooling agreement (the “LNG Carrier Pool” or “Pool Agreement”) to market their vessels, which are currently operating in the LNG shipping spot market.</w:t>
      </w:r>
    </w:p>
    <w:p>
      <w:pPr>
        <w:spacing w:after="0" w:line="183" w:lineRule="exact"/>
        <w:rPr>
          <w:rFonts w:ascii="Arial" w:cs="Arial" w:eastAsia="Arial" w:hAnsi="Arial"/>
          <w:sz w:val="22"/>
          <w:szCs w:val="22"/>
          <w:color w:val="auto"/>
          <w:vertAlign w:val="superscript"/>
        </w:rPr>
      </w:pPr>
    </w:p>
    <w:p>
      <w:pPr>
        <w:ind w:left="260"/>
        <w:spacing w:after="0" w:line="225" w:lineRule="auto"/>
        <w:rPr>
          <w:rFonts w:ascii="Arial" w:cs="Arial" w:eastAsia="Arial" w:hAnsi="Arial"/>
          <w:sz w:val="22"/>
          <w:szCs w:val="22"/>
          <w:color w:val="auto"/>
          <w:vertAlign w:val="superscript"/>
        </w:rPr>
      </w:pPr>
      <w:r>
        <w:rPr>
          <w:rFonts w:ascii="Arial" w:cs="Arial" w:eastAsia="Arial" w:hAnsi="Arial"/>
          <w:sz w:val="14"/>
          <w:szCs w:val="14"/>
          <w:color w:val="auto"/>
        </w:rPr>
        <w:t>As of March 31, 2018, the LNG Carrier Pool – named the “Cool Pool” – consists of 18 modern, high quality and essentially equivalent vessels powered by fuel efficient tri-fuel diesel electric (“TFDE”) propulsion technology. The participation of the Pool Owners’ vessels in the Cool Pool is as follows: Dynagas: three vessels; GasLog: five vessels; and Golar: ten vessels. Each vessel owner continues to be fully responsible for the staffing and technical management of their respective vessels. For the operation of the Cool Pool, a Marshall Islands service company named “The Cool Pool Limited” or the “Pool Manager”, was incorporated in September 2015 acting as an agent.</w:t>
      </w:r>
    </w:p>
    <w:p>
      <w:pPr>
        <w:spacing w:after="0" w:line="2" w:lineRule="exact"/>
        <w:rPr>
          <w:rFonts w:ascii="Arial" w:cs="Arial" w:eastAsia="Arial" w:hAnsi="Arial"/>
          <w:sz w:val="22"/>
          <w:szCs w:val="22"/>
          <w:color w:val="auto"/>
          <w:vertAlign w:val="superscript"/>
        </w:rPr>
      </w:pPr>
    </w:p>
    <w:p>
      <w:pPr>
        <w:jc w:val="both"/>
        <w:ind w:left="260" w:right="40" w:hanging="252"/>
        <w:spacing w:after="0" w:line="195" w:lineRule="auto"/>
        <w:tabs>
          <w:tab w:leader="none" w:pos="26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On January 12, 2018, GasLog entered into a shipbuilding contract with Samsung for the construction of a 180,000 cbm GTT Mark III Flex LNG Carrier with LP-2S propulsion (Hull No. 2213) that is scheduled to be delivered in the second quarter of 2020. This vessel will now be the vessel to be chartered to Centrica for an initial period of approximately seven years. The 180,000 cbm GTT Mark III Flex Plus LNG Carrier with LP-2S propulsion (Hull No. 2212) to be delivered in the third quarter of 2019 is currently without charter.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Basis of Presentation</w:t>
      </w:r>
    </w:p>
    <w:p>
      <w:pPr>
        <w:spacing w:after="0" w:line="239" w:lineRule="exact"/>
        <w:rPr>
          <w:sz w:val="20"/>
          <w:szCs w:val="20"/>
          <w:color w:val="auto"/>
        </w:rPr>
      </w:pPr>
    </w:p>
    <w:p>
      <w:pPr>
        <w:ind w:right="80" w:firstLine="436"/>
        <w:spacing w:after="0" w:line="293" w:lineRule="auto"/>
        <w:rPr>
          <w:sz w:val="20"/>
          <w:szCs w:val="20"/>
          <w:color w:val="auto"/>
        </w:rPr>
      </w:pPr>
      <w:r>
        <w:rPr>
          <w:rFonts w:ascii="Arial" w:cs="Arial" w:eastAsia="Arial" w:hAnsi="Arial"/>
          <w:sz w:val="15"/>
          <w:szCs w:val="15"/>
          <w:color w:val="auto"/>
        </w:rPr>
        <w:t xml:space="preserve">These unaudited condensed consolidated financial statements have been prepared in accordance with International Accounting Standard (“IAS”) 34 </w:t>
      </w:r>
      <w:r>
        <w:rPr>
          <w:rFonts w:ascii="Arial" w:cs="Arial" w:eastAsia="Arial" w:hAnsi="Arial"/>
          <w:sz w:val="15"/>
          <w:szCs w:val="15"/>
          <w:i w:val="1"/>
          <w:iCs w:val="1"/>
          <w:color w:val="auto"/>
        </w:rPr>
        <w:t>Interim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Reporting </w:t>
      </w:r>
      <w:r>
        <w:rPr>
          <w:rFonts w:ascii="Arial" w:cs="Arial" w:eastAsia="Arial" w:hAnsi="Arial"/>
          <w:sz w:val="15"/>
          <w:szCs w:val="15"/>
          <w:color w:val="auto"/>
        </w:rPr>
        <w:t>as issued by the International Accounting Standards Board (“IASB”). Certain information and footnote disclosures required by International Financial Reporting</w:t>
      </w:r>
      <w:r>
        <w:rPr>
          <w:rFonts w:ascii="Arial" w:cs="Arial" w:eastAsia="Arial" w:hAnsi="Arial"/>
          <w:sz w:val="15"/>
          <w:szCs w:val="15"/>
          <w:i w:val="1"/>
          <w:iCs w:val="1"/>
          <w:color w:val="auto"/>
        </w:rPr>
        <w:t xml:space="preserve"> </w:t>
      </w:r>
      <w:r>
        <w:rPr>
          <w:rFonts w:ascii="Arial" w:cs="Arial" w:eastAsia="Arial" w:hAnsi="Arial"/>
          <w:sz w:val="15"/>
          <w:szCs w:val="15"/>
          <w:color w:val="auto"/>
        </w:rPr>
        <w:t>Standards (“IFRS”) for a complete set of annual financial statements have been omitted, and, therefore, these unaudited condensed consolidated financial statements should be read in conjunction with the Group’s annual consolidated financial statements as of and for the year ended December 31, 2017 filed with the SEC on February 28, 2018. On May 3, 2018, GasLog’s board of directors authorized the unaudited condensed consolidated financial statements for issuance.</w:t>
      </w:r>
    </w:p>
    <w:p>
      <w:pPr>
        <w:spacing w:after="0" w:line="176" w:lineRule="exact"/>
        <w:rPr>
          <w:sz w:val="20"/>
          <w:szCs w:val="20"/>
          <w:color w:val="auto"/>
        </w:rPr>
      </w:pPr>
    </w:p>
    <w:p>
      <w:pPr>
        <w:ind w:right="400" w:firstLine="436"/>
        <w:spacing w:after="0" w:line="293" w:lineRule="auto"/>
        <w:rPr>
          <w:sz w:val="20"/>
          <w:szCs w:val="20"/>
          <w:color w:val="auto"/>
        </w:rPr>
      </w:pPr>
      <w:r>
        <w:rPr>
          <w:rFonts w:ascii="Arial" w:cs="Arial" w:eastAsia="Arial" w:hAnsi="Arial"/>
          <w:sz w:val="16"/>
          <w:szCs w:val="16"/>
          <w:color w:val="auto"/>
        </w:rPr>
        <w:t>The critical accounting judgments and key sources of estimation uncertainty were disclosed in the Company’s annual consolidated financial statements for the year ended December 31, 2017 and remain unchanged.</w:t>
      </w:r>
    </w:p>
    <w:p>
      <w:pPr>
        <w:spacing w:after="0" w:line="172" w:lineRule="exact"/>
        <w:rPr>
          <w:sz w:val="20"/>
          <w:szCs w:val="20"/>
          <w:color w:val="auto"/>
        </w:rPr>
      </w:pPr>
    </w:p>
    <w:p>
      <w:pPr>
        <w:ind w:right="20" w:firstLine="436"/>
        <w:spacing w:after="0" w:line="278" w:lineRule="auto"/>
        <w:rPr>
          <w:sz w:val="20"/>
          <w:szCs w:val="20"/>
          <w:color w:val="auto"/>
        </w:rPr>
      </w:pPr>
      <w:r>
        <w:rPr>
          <w:rFonts w:ascii="Arial" w:cs="Arial" w:eastAsia="Arial" w:hAnsi="Arial"/>
          <w:sz w:val="16"/>
          <w:szCs w:val="16"/>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84" w:lineRule="exact"/>
        <w:rPr>
          <w:sz w:val="20"/>
          <w:szCs w:val="20"/>
          <w:color w:val="auto"/>
        </w:rPr>
      </w:pPr>
    </w:p>
    <w:p>
      <w:pPr>
        <w:ind w:right="220" w:firstLine="396"/>
        <w:spacing w:after="0" w:line="273" w:lineRule="auto"/>
        <w:rPr>
          <w:sz w:val="20"/>
          <w:szCs w:val="20"/>
          <w:color w:val="auto"/>
        </w:rPr>
      </w:pPr>
      <w:r>
        <w:rPr>
          <w:rFonts w:ascii="Arial" w:cs="Arial" w:eastAsia="Arial" w:hAnsi="Arial"/>
          <w:sz w:val="16"/>
          <w:szCs w:val="16"/>
          <w:color w:val="auto"/>
        </w:rPr>
        <w:t xml:space="preserve">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2017, except for the changes resulting from the adoption of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and IFRS 15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(as discussed below).</w:t>
      </w:r>
    </w:p>
    <w:p>
      <w:pPr>
        <w:spacing w:after="0" w:line="189" w:lineRule="exact"/>
        <w:rPr>
          <w:sz w:val="20"/>
          <w:szCs w:val="20"/>
          <w:color w:val="auto"/>
        </w:rPr>
      </w:pPr>
    </w:p>
    <w:p>
      <w:pPr>
        <w:ind w:right="80" w:firstLine="383"/>
        <w:spacing w:after="0" w:line="273" w:lineRule="auto"/>
        <w:rPr>
          <w:sz w:val="20"/>
          <w:szCs w:val="20"/>
          <w:color w:val="auto"/>
        </w:rPr>
      </w:pPr>
      <w:r>
        <w:rPr>
          <w:rFonts w:ascii="Arial" w:cs="Arial" w:eastAsia="Arial" w:hAnsi="Arial"/>
          <w:sz w:val="16"/>
          <w:szCs w:val="16"/>
          <w:color w:val="auto"/>
        </w:rPr>
        <w:t>Management anticipates that the Group’s primary sources of funds will be available cash, cash from operations and borrowings under existing and new loan agreements. The Group may also seek to raise additional common or other forms of equity. Management believes that these sources of funds will be sufficient for the Group to meet its liquidity needs and to comply with its financial covenants for at least twelve months from the end of the reporting period and therefore it is appropriate to prepare the financial statements on a going concern basis.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Adoption of new and revised IFRS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Standards and interpretations adopted in the current period</w:t>
      </w:r>
    </w:p>
    <w:p>
      <w:pPr>
        <w:spacing w:after="0" w:line="239" w:lineRule="exact"/>
        <w:rPr>
          <w:sz w:val="20"/>
          <w:szCs w:val="20"/>
          <w:color w:val="auto"/>
        </w:rPr>
      </w:pPr>
    </w:p>
    <w:p>
      <w:pPr>
        <w:ind w:right="160" w:firstLine="383"/>
        <w:spacing w:after="0" w:line="269" w:lineRule="auto"/>
        <w:rPr>
          <w:sz w:val="20"/>
          <w:szCs w:val="20"/>
          <w:color w:val="auto"/>
        </w:rPr>
      </w:pPr>
      <w:r>
        <w:rPr>
          <w:rFonts w:ascii="Arial" w:cs="Arial" w:eastAsia="Arial" w:hAnsi="Arial"/>
          <w:sz w:val="16"/>
          <w:szCs w:val="16"/>
          <w:color w:val="auto"/>
        </w:rPr>
        <w:t xml:space="preserve">In May 2014, the IASB issued IFRS 15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IAS 11 </w:t>
      </w:r>
      <w:r>
        <w:rPr>
          <w:rFonts w:ascii="Arial" w:cs="Arial" w:eastAsia="Arial" w:hAnsi="Arial"/>
          <w:sz w:val="16"/>
          <w:szCs w:val="16"/>
          <w:i w:val="1"/>
          <w:iCs w:val="1"/>
          <w:color w:val="auto"/>
        </w:rPr>
        <w:t>Construction Contracts</w:t>
      </w:r>
      <w:r>
        <w:rPr>
          <w:rFonts w:ascii="Arial" w:cs="Arial" w:eastAsia="Arial" w:hAnsi="Arial"/>
          <w:sz w:val="16"/>
          <w:szCs w:val="16"/>
          <w:color w:val="auto"/>
        </w:rPr>
        <w:t xml:space="preserve"> and a number of revenue-related interpretations. The standard was effective for annual periods beginning or on after January 1, 2018 and was applied by the Group using the modified retrospective approach. The adoption of the standard as of January 1, 2018 resulted in an increase of $246 on the Group’s Accumulated deficit and an increase of the same amount on the Group’s Other payables and accruals under the modified retrospective approach, as a result of the reassessment of the timing of the performance obligations in relation to positioning and repositioning fees and associated expenses.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20" w:firstLine="396"/>
        <w:spacing w:after="0" w:line="293" w:lineRule="auto"/>
        <w:rPr>
          <w:sz w:val="20"/>
          <w:szCs w:val="20"/>
          <w:color w:val="auto"/>
        </w:rPr>
      </w:pPr>
      <w:r>
        <w:rPr>
          <w:rFonts w:ascii="Arial" w:cs="Arial" w:eastAsia="Arial" w:hAnsi="Arial"/>
          <w:sz w:val="15"/>
          <w:szCs w:val="15"/>
          <w:color w:val="auto"/>
        </w:rPr>
        <w:t xml:space="preserve">The Group assessed that under a time charter arrangement, the hire rate per the charter agreement has two components: the lease component and the service component relating to the vessel operating costs. The revenue in relation to the lease component of the agreements will be accounted for under the leases standard. The vessel operating expenses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will be accounted for in accordance with the requirements of IFRS 15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w:t>
      </w:r>
    </w:p>
    <w:p>
      <w:pPr>
        <w:spacing w:after="0" w:line="176" w:lineRule="exact"/>
        <w:rPr>
          <w:sz w:val="20"/>
          <w:szCs w:val="20"/>
          <w:color w:val="auto"/>
        </w:rPr>
      </w:pPr>
    </w:p>
    <w:p>
      <w:pPr>
        <w:ind w:right="100" w:firstLine="396"/>
        <w:spacing w:after="0" w:line="273" w:lineRule="auto"/>
        <w:rPr>
          <w:sz w:val="20"/>
          <w:szCs w:val="20"/>
          <w:color w:val="auto"/>
        </w:rPr>
      </w:pPr>
      <w:r>
        <w:rPr>
          <w:rFonts w:ascii="Arial" w:cs="Arial" w:eastAsia="Arial" w:hAnsi="Arial"/>
          <w:sz w:val="16"/>
          <w:szCs w:val="16"/>
          <w:color w:val="auto"/>
        </w:rPr>
        <w:t>In relation to short-term charters under the Cool Pool, management believes mobilization of a vessel from a previous port of discharge to a subsequent port of loading does not result in a separate benefit for charterers and that the activity is thus incapable of being distinct. This activity is considered to be a required set-up activity to fulfil the contract. On that basis, it was concluded that positioning and repositioning fees and associated expenses should be recognized over the period of the contract, and not at a certain point in time.</w:t>
      </w:r>
    </w:p>
    <w:p>
      <w:pPr>
        <w:spacing w:after="0" w:line="189" w:lineRule="exact"/>
        <w:rPr>
          <w:sz w:val="20"/>
          <w:szCs w:val="20"/>
          <w:color w:val="auto"/>
        </w:rPr>
      </w:pPr>
    </w:p>
    <w:p>
      <w:pPr>
        <w:ind w:right="120" w:firstLine="383"/>
        <w:spacing w:after="0" w:line="293" w:lineRule="auto"/>
        <w:rPr>
          <w:sz w:val="20"/>
          <w:szCs w:val="20"/>
          <w:color w:val="auto"/>
        </w:rPr>
      </w:pPr>
      <w:r>
        <w:rPr>
          <w:rFonts w:ascii="Arial" w:cs="Arial" w:eastAsia="Arial" w:hAnsi="Arial"/>
          <w:sz w:val="15"/>
          <w:szCs w:val="15"/>
          <w:color w:val="auto"/>
        </w:rPr>
        <w:t xml:space="preserve">In July 2014, the IASB issued the complete version of IFRS 9 </w:t>
      </w:r>
      <w:r>
        <w:rPr>
          <w:rFonts w:ascii="Arial" w:cs="Arial" w:eastAsia="Arial" w:hAnsi="Arial"/>
          <w:sz w:val="15"/>
          <w:szCs w:val="15"/>
          <w:i w:val="1"/>
          <w:iCs w:val="1"/>
          <w:color w:val="auto"/>
        </w:rPr>
        <w:t>Financial Instruments</w:t>
      </w:r>
      <w:r>
        <w:rPr>
          <w:rFonts w:ascii="Arial" w:cs="Arial" w:eastAsia="Arial" w:hAnsi="Arial"/>
          <w:sz w:val="15"/>
          <w:szCs w:val="15"/>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w:t>
      </w:r>
    </w:p>
    <w:p>
      <w:pPr>
        <w:sectPr>
          <w:pgSz w:w="11900" w:h="16838" w:orient="portrait"/>
          <w:cols w:equalWidth="0" w:num="1">
            <w:col w:w="11420"/>
          </w:cols>
          <w:pgMar w:left="240" w:top="343" w:right="239" w:bottom="0" w:gutter="0" w:footer="0" w:header="0"/>
        </w:sectPr>
      </w:pPr>
    </w:p>
    <w:bookmarkStart w:id="23" w:name="page24"/>
    <w:bookmarkEnd w:id="23"/>
    <w:p>
      <w:pPr>
        <w:ind w:right="200" w:firstLine="396"/>
        <w:spacing w:after="0" w:line="278" w:lineRule="auto"/>
        <w:rPr>
          <w:sz w:val="20"/>
          <w:szCs w:val="20"/>
          <w:color w:val="auto"/>
        </w:rPr>
      </w:pPr>
      <w:r>
        <w:rPr>
          <w:rFonts w:ascii="Arial" w:cs="Arial" w:eastAsia="Arial" w:hAnsi="Arial"/>
          <w:sz w:val="16"/>
          <w:szCs w:val="16"/>
          <w:color w:val="auto"/>
        </w:rPr>
        <w:t xml:space="preserve">When an entity first applies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it may choose as its accounting policy to continue to apply the hedge accounting requirements of IAS 39 </w:t>
      </w:r>
      <w:r>
        <w:rPr>
          <w:rFonts w:ascii="Arial" w:cs="Arial" w:eastAsia="Arial" w:hAnsi="Arial"/>
          <w:sz w:val="16"/>
          <w:szCs w:val="16"/>
          <w:i w:val="1"/>
          <w:iCs w:val="1"/>
          <w:color w:val="auto"/>
        </w:rPr>
        <w:t>Financial Instruments, Recognition and Measurement</w:t>
      </w:r>
      <w:r>
        <w:rPr>
          <w:rFonts w:ascii="Arial" w:cs="Arial" w:eastAsia="Arial" w:hAnsi="Arial"/>
          <w:sz w:val="16"/>
          <w:szCs w:val="16"/>
          <w:color w:val="auto"/>
        </w:rPr>
        <w:t>, instead of the requirements in Chapter 6 of IFRS 9</w:t>
      </w:r>
      <w:r>
        <w:rPr>
          <w:rFonts w:ascii="Arial" w:cs="Arial" w:eastAsia="Arial" w:hAnsi="Arial"/>
          <w:sz w:val="16"/>
          <w:szCs w:val="16"/>
          <w:i w:val="1"/>
          <w:iCs w:val="1"/>
          <w:color w:val="auto"/>
        </w:rPr>
        <w:t xml:space="preserve"> Financial Instruments</w:t>
      </w:r>
      <w:r>
        <w:rPr>
          <w:rFonts w:ascii="Arial" w:cs="Arial" w:eastAsia="Arial" w:hAnsi="Arial"/>
          <w:sz w:val="16"/>
          <w:szCs w:val="16"/>
          <w:color w:val="auto"/>
        </w:rPr>
        <w:t>. An entity shall apply that policy to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hedging relationships. The Group has selected to apply hedge accounting under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w:t>
      </w:r>
    </w:p>
    <w:p>
      <w:pPr>
        <w:spacing w:after="0" w:line="184" w:lineRule="exact"/>
        <w:rPr>
          <w:sz w:val="20"/>
          <w:szCs w:val="20"/>
          <w:color w:val="auto"/>
        </w:rPr>
      </w:pPr>
    </w:p>
    <w:p>
      <w:pPr>
        <w:ind w:right="300" w:firstLine="383"/>
        <w:spacing w:after="0" w:line="273" w:lineRule="auto"/>
        <w:rPr>
          <w:sz w:val="20"/>
          <w:szCs w:val="20"/>
          <w:color w:val="auto"/>
        </w:rPr>
      </w:pPr>
      <w:r>
        <w:rPr>
          <w:rFonts w:ascii="Arial" w:cs="Arial" w:eastAsia="Arial" w:hAnsi="Arial"/>
          <w:sz w:val="16"/>
          <w:szCs w:val="16"/>
          <w:color w:val="auto"/>
        </w:rPr>
        <w:t xml:space="preserve">The Group has elected to take the transition relief as provided by IFRS 9.7.2.15 which permits an entity not to restate prior periods on initial application of IFRS 9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and any adjustments to be made in the current year. The adoption of this standard as of January 1, 2018 resulted in a decrease of $436 on the Group’s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deficit and an equal decrease on the Group’s Reserves, as a result of the change in the accounting for the currency basis element of the cross-currency swaps (“CCSs”) to flow directly to the statement of profit or loss.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Standards and amendments in issue not yet adopted</w:t>
      </w:r>
    </w:p>
    <w:p>
      <w:pPr>
        <w:spacing w:after="0" w:line="239" w:lineRule="exact"/>
        <w:rPr>
          <w:sz w:val="20"/>
          <w:szCs w:val="20"/>
          <w:color w:val="auto"/>
        </w:rPr>
      </w:pPr>
    </w:p>
    <w:p>
      <w:pPr>
        <w:ind w:right="60" w:firstLine="426"/>
        <w:spacing w:after="0" w:line="293" w:lineRule="auto"/>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standards and amendments relevant to the Group were in issue but not yet effective:</w:t>
      </w:r>
    </w:p>
    <w:p>
      <w:pPr>
        <w:spacing w:after="0" w:line="172" w:lineRule="exact"/>
        <w:rPr>
          <w:sz w:val="20"/>
          <w:szCs w:val="20"/>
          <w:color w:val="auto"/>
        </w:rPr>
      </w:pPr>
    </w:p>
    <w:p>
      <w:pPr>
        <w:ind w:right="120" w:firstLine="324"/>
        <w:spacing w:after="0" w:line="311" w:lineRule="auto"/>
        <w:rPr>
          <w:sz w:val="20"/>
          <w:szCs w:val="20"/>
          <w:color w:val="auto"/>
        </w:rPr>
      </w:pPr>
      <w:r>
        <w:rPr>
          <w:rFonts w:ascii="Arial" w:cs="Arial" w:eastAsia="Arial" w:hAnsi="Arial"/>
          <w:sz w:val="14"/>
          <w:szCs w:val="14"/>
          <w:color w:val="auto"/>
        </w:rPr>
        <w:t xml:space="preserve">In January 2016, the IASB issued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and related Interpretations. The standard is effective from January 1, 2019, with early adoption permitted only with concurrent adoption of 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Management has elected not to adopt early, and it anticipates that the implementation of this standard will not have a material impact</w:t>
      </w:r>
      <w:r>
        <w:rPr>
          <w:rFonts w:ascii="Arial" w:cs="Arial" w:eastAsia="Arial" w:hAnsi="Arial"/>
          <w:sz w:val="14"/>
          <w:szCs w:val="14"/>
          <w:i w:val="1"/>
          <w:iCs w:val="1"/>
          <w:color w:val="auto"/>
        </w:rPr>
        <w:t xml:space="preserve"> </w:t>
      </w:r>
      <w:r>
        <w:rPr>
          <w:rFonts w:ascii="Arial" w:cs="Arial" w:eastAsia="Arial" w:hAnsi="Arial"/>
          <w:sz w:val="14"/>
          <w:szCs w:val="14"/>
          <w:color w:val="auto"/>
        </w:rPr>
        <w:t>on the Group’s consolidated financial statements, since the changes for lessors are fairly minor and the Group’s lessee obligations are not significant.</w:t>
      </w:r>
    </w:p>
    <w:p>
      <w:pPr>
        <w:spacing w:after="0" w:line="168" w:lineRule="exact"/>
        <w:rPr>
          <w:sz w:val="20"/>
          <w:szCs w:val="20"/>
          <w:color w:val="auto"/>
        </w:rPr>
      </w:pPr>
    </w:p>
    <w:p>
      <w:pPr>
        <w:ind w:right="520" w:firstLine="324"/>
        <w:spacing w:after="0" w:line="293" w:lineRule="auto"/>
        <w:rPr>
          <w:sz w:val="20"/>
          <w:szCs w:val="20"/>
          <w:color w:val="auto"/>
        </w:rPr>
      </w:pPr>
      <w:r>
        <w:rPr>
          <w:rFonts w:ascii="Arial" w:cs="Arial" w:eastAsia="Arial" w:hAnsi="Arial"/>
          <w:sz w:val="16"/>
          <w:szCs w:val="16"/>
          <w:color w:val="auto"/>
        </w:rPr>
        <w:t>The impact of all other IFRS standards and amendments issued but not yet adopted is not expected to be material on the Group’s unaudited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Non-controlling Interest in GasLog Partners</w:t>
      </w:r>
    </w:p>
    <w:p>
      <w:pPr>
        <w:spacing w:after="0" w:line="239" w:lineRule="exact"/>
        <w:rPr>
          <w:sz w:val="20"/>
          <w:szCs w:val="20"/>
          <w:color w:val="auto"/>
        </w:rPr>
      </w:pPr>
    </w:p>
    <w:p>
      <w:pPr>
        <w:ind w:right="240" w:firstLine="256"/>
        <w:spacing w:after="0" w:line="271" w:lineRule="auto"/>
        <w:rPr>
          <w:sz w:val="20"/>
          <w:szCs w:val="20"/>
          <w:color w:val="auto"/>
        </w:rPr>
      </w:pPr>
      <w:r>
        <w:rPr>
          <w:rFonts w:ascii="Arial" w:cs="Arial" w:eastAsia="Arial" w:hAnsi="Arial"/>
          <w:sz w:val="16"/>
          <w:szCs w:val="16"/>
          <w:color w:val="auto"/>
        </w:rPr>
        <w:t>On January 17, 2018, GasLog Partners completed a public offering of 4,600,000 8.200% Series B Cumulative Redeemable Perpetual Fixed to Floating Rate Preference Units (the “Partnership’s Series B Preference Units”), including 600,000 units issued upon the exercise in full by the underwriters of their option to purchase additional Partnership’s Series B Preference Units, at a price to the public of $25.00 per preference unit. The net proceeds from the offering, after deducting underwriting discounts, commissions and other offering expenses, were $111,155. The Partnership’s Series B Preference Units are listed on the New York Stock Exchange under the symbol “GLOP PR B”.</w:t>
      </w:r>
    </w:p>
    <w:p>
      <w:pPr>
        <w:spacing w:after="0" w:line="190" w:lineRule="exact"/>
        <w:rPr>
          <w:sz w:val="20"/>
          <w:szCs w:val="20"/>
          <w:color w:val="auto"/>
        </w:rPr>
      </w:pPr>
    </w:p>
    <w:p>
      <w:pPr>
        <w:ind w:right="420" w:firstLine="256"/>
        <w:spacing w:after="0" w:line="293" w:lineRule="auto"/>
        <w:rPr>
          <w:sz w:val="20"/>
          <w:szCs w:val="20"/>
          <w:color w:val="auto"/>
        </w:rPr>
      </w:pPr>
      <w:r>
        <w:rPr>
          <w:rFonts w:ascii="Arial" w:cs="Arial" w:eastAsia="Arial" w:hAnsi="Arial"/>
          <w:sz w:val="16"/>
          <w:szCs w:val="16"/>
          <w:color w:val="auto"/>
        </w:rPr>
        <w:t>The profit allocation to non-controlling interests is based on the distribution policy for available cash stated in the Partnership Agreement and is illustrated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gridSpan w:val="6"/>
          </w:tcPr>
          <w:p>
            <w:pPr>
              <w:ind w:left="1380"/>
              <w:spacing w:after="0"/>
              <w:rPr>
                <w:sz w:val="20"/>
                <w:szCs w:val="20"/>
                <w:color w:val="auto"/>
              </w:rPr>
            </w:pPr>
            <w:r>
              <w:rPr>
                <w:rFonts w:ascii="Arial" w:cs="Arial" w:eastAsia="Arial" w:hAnsi="Arial"/>
                <w:sz w:val="16"/>
                <w:szCs w:val="16"/>
                <w:b w:val="1"/>
                <w:bCs w:val="1"/>
                <w:color w:val="auto"/>
                <w:w w:val="94"/>
              </w:rPr>
              <w:t>Marginal Percentage Interest in Distributions</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2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w w:val="94"/>
              </w:rPr>
              <w:t>Total Quarterly</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2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w w:val="93"/>
              </w:rPr>
              <w:t>Distribution</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General</w:t>
            </w:r>
          </w:p>
        </w:tc>
        <w:tc>
          <w:tcPr>
            <w:tcW w:w="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Holders of</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b w:val="1"/>
                <w:bCs w:val="1"/>
                <w:color w:val="auto"/>
                <w:w w:val="93"/>
              </w:rPr>
              <w:t>Target Amount</w:t>
            </w:r>
          </w:p>
        </w:tc>
        <w:tc>
          <w:tcPr>
            <w:tcW w:w="1600" w:type="dxa"/>
            <w:vAlign w:val="bottom"/>
            <w:gridSpan w:val="4"/>
          </w:tcPr>
          <w:p>
            <w:pPr>
              <w:ind w:left="200"/>
              <w:spacing w:after="0"/>
              <w:rPr>
                <w:sz w:val="20"/>
                <w:szCs w:val="20"/>
                <w:color w:val="auto"/>
              </w:rPr>
            </w:pPr>
            <w:r>
              <w:rPr>
                <w:rFonts w:ascii="Arial" w:cs="Arial" w:eastAsia="Arial" w:hAnsi="Arial"/>
                <w:sz w:val="16"/>
                <w:szCs w:val="16"/>
                <w:b w:val="1"/>
                <w:bCs w:val="1"/>
                <w:color w:val="auto"/>
              </w:rPr>
              <w:t>Unitholders</w:t>
            </w:r>
          </w:p>
        </w:tc>
        <w:tc>
          <w:tcPr>
            <w:tcW w:w="96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Partner</w:t>
            </w:r>
          </w:p>
        </w:tc>
        <w:tc>
          <w:tcPr>
            <w:tcW w:w="9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8"/>
              </w:rPr>
              <w:t>IDRs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3600" w:type="dxa"/>
            <w:vAlign w:val="bottom"/>
            <w:tcBorders>
              <w:top w:val="single" w:sz="8" w:color="E5FFFF"/>
            </w:tcBorders>
            <w:gridSpan w:val="4"/>
            <w:shd w:val="clear" w:color="auto" w:fill="E5FFFF"/>
          </w:tcPr>
          <w:p>
            <w:pPr>
              <w:ind w:left="20"/>
              <w:spacing w:after="0"/>
              <w:rPr>
                <w:sz w:val="20"/>
                <w:szCs w:val="20"/>
                <w:color w:val="auto"/>
              </w:rPr>
            </w:pPr>
            <w:r>
              <w:rPr>
                <w:rFonts w:ascii="Arial" w:cs="Arial" w:eastAsia="Arial" w:hAnsi="Arial"/>
                <w:sz w:val="16"/>
                <w:szCs w:val="16"/>
                <w:color w:val="auto"/>
              </w:rPr>
              <w:t>Minimum Quarterly Distribution</w:t>
            </w:r>
          </w:p>
        </w:tc>
        <w:tc>
          <w:tcPr>
            <w:tcW w:w="620" w:type="dxa"/>
            <w:vAlign w:val="bottom"/>
            <w:tcBorders>
              <w:top w:val="single" w:sz="8" w:color="auto"/>
            </w:tcBorders>
            <w:shd w:val="clear" w:color="auto" w:fill="E5FFFF"/>
          </w:tcPr>
          <w:p>
            <w:pPr>
              <w:spacing w:after="0"/>
              <w:rPr>
                <w:sz w:val="17"/>
                <w:szCs w:val="17"/>
                <w:color w:val="auto"/>
              </w:rPr>
            </w:pPr>
          </w:p>
        </w:tc>
        <w:tc>
          <w:tcPr>
            <w:tcW w:w="27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$0.375</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gridSpan w:val="2"/>
            <w:shd w:val="clear" w:color="auto" w:fill="E5FFFF"/>
          </w:tcPr>
          <w:p>
            <w:pPr>
              <w:jc w:val="right"/>
              <w:ind w:right="219"/>
              <w:spacing w:after="0"/>
              <w:rPr>
                <w:sz w:val="20"/>
                <w:szCs w:val="20"/>
                <w:color w:val="auto"/>
              </w:rPr>
            </w:pPr>
            <w:r>
              <w:rPr>
                <w:rFonts w:ascii="Arial" w:cs="Arial" w:eastAsia="Arial" w:hAnsi="Arial"/>
                <w:sz w:val="16"/>
                <w:szCs w:val="16"/>
                <w:color w:val="auto"/>
              </w:rPr>
              <w:t>98.0%</w:t>
            </w:r>
          </w:p>
        </w:tc>
        <w:tc>
          <w:tcPr>
            <w:tcW w:w="28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780" w:type="dxa"/>
            <w:vAlign w:val="bottom"/>
            <w:tcBorders>
              <w:top w:val="single" w:sz="8" w:color="auto"/>
            </w:tcBorders>
            <w:gridSpan w:val="3"/>
            <w:shd w:val="clear" w:color="auto" w:fill="E5FFFF"/>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ind w:right="40"/>
              <w:spacing w:after="0"/>
              <w:rPr>
                <w:sz w:val="20"/>
                <w:szCs w:val="20"/>
                <w:color w:val="auto"/>
              </w:rPr>
            </w:pPr>
            <w:r>
              <w:rPr>
                <w:rFonts w:ascii="Arial" w:cs="Arial" w:eastAsia="Arial" w:hAnsi="Arial"/>
                <w:sz w:val="16"/>
                <w:szCs w:val="16"/>
                <w:color w:val="auto"/>
              </w:rPr>
              <w:t>0%</w:t>
            </w:r>
          </w:p>
        </w:tc>
        <w:tc>
          <w:tcPr>
            <w:tcW w:w="20" w:type="dxa"/>
            <w:vAlign w:val="bottom"/>
            <w:tcBorders>
              <w:top w:val="single" w:sz="8" w:color="auto"/>
            </w:tcBorders>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gridSpan w:val="5"/>
          </w:tcPr>
          <w:p>
            <w:pPr>
              <w:ind w:left="20"/>
              <w:spacing w:after="0"/>
              <w:rPr>
                <w:sz w:val="20"/>
                <w:szCs w:val="20"/>
                <w:color w:val="auto"/>
              </w:rPr>
            </w:pPr>
            <w:r>
              <w:rPr>
                <w:rFonts w:ascii="Arial" w:cs="Arial" w:eastAsia="Arial" w:hAnsi="Arial"/>
                <w:sz w:val="16"/>
                <w:szCs w:val="16"/>
                <w:color w:val="auto"/>
              </w:rPr>
              <w:t>First Target Distribution</w:t>
            </w:r>
          </w:p>
        </w:tc>
        <w:tc>
          <w:tcPr>
            <w:tcW w:w="3020" w:type="dxa"/>
            <w:vAlign w:val="bottom"/>
            <w:gridSpan w:val="2"/>
          </w:tcPr>
          <w:p>
            <w:pPr>
              <w:jc w:val="right"/>
              <w:ind w:right="240"/>
              <w:spacing w:after="0"/>
              <w:rPr>
                <w:sz w:val="20"/>
                <w:szCs w:val="20"/>
                <w:color w:val="auto"/>
              </w:rPr>
            </w:pPr>
            <w:r>
              <w:rPr>
                <w:rFonts w:ascii="Arial" w:cs="Arial" w:eastAsia="Arial" w:hAnsi="Arial"/>
                <w:sz w:val="16"/>
                <w:szCs w:val="16"/>
                <w:color w:val="auto"/>
              </w:rPr>
              <w:t>$0.375 up to $0.43125</w:t>
            </w:r>
          </w:p>
        </w:tc>
        <w:tc>
          <w:tcPr>
            <w:tcW w:w="1220" w:type="dxa"/>
            <w:vAlign w:val="bottom"/>
            <w:gridSpan w:val="2"/>
          </w:tcPr>
          <w:p>
            <w:pPr>
              <w:jc w:val="right"/>
              <w:ind w:right="219"/>
              <w:spacing w:after="0"/>
              <w:rPr>
                <w:sz w:val="20"/>
                <w:szCs w:val="20"/>
                <w:color w:val="auto"/>
              </w:rPr>
            </w:pPr>
            <w:r>
              <w:rPr>
                <w:rFonts w:ascii="Arial" w:cs="Arial" w:eastAsia="Arial" w:hAnsi="Arial"/>
                <w:sz w:val="16"/>
                <w:szCs w:val="16"/>
                <w:color w:val="auto"/>
              </w:rPr>
              <w:t>98.0%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gridSpan w:val="5"/>
            <w:shd w:val="clear" w:color="auto" w:fill="E5FFFF"/>
          </w:tcPr>
          <w:p>
            <w:pPr>
              <w:ind w:left="20"/>
              <w:spacing w:after="0"/>
              <w:rPr>
                <w:sz w:val="20"/>
                <w:szCs w:val="20"/>
                <w:color w:val="auto"/>
              </w:rPr>
            </w:pPr>
            <w:r>
              <w:rPr>
                <w:rFonts w:ascii="Arial" w:cs="Arial" w:eastAsia="Arial" w:hAnsi="Arial"/>
                <w:sz w:val="16"/>
                <w:szCs w:val="16"/>
                <w:color w:val="auto"/>
              </w:rPr>
              <w:t>Second Target Distribution</w:t>
            </w:r>
          </w:p>
        </w:tc>
        <w:tc>
          <w:tcPr>
            <w:tcW w:w="30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$0.43125 up to $0.46875</w:t>
            </w:r>
          </w:p>
        </w:tc>
        <w:tc>
          <w:tcPr>
            <w:tcW w:w="1220" w:type="dxa"/>
            <w:vAlign w:val="bottom"/>
            <w:gridSpan w:val="2"/>
            <w:shd w:val="clear" w:color="auto" w:fill="E5FFFF"/>
          </w:tcPr>
          <w:p>
            <w:pPr>
              <w:jc w:val="right"/>
              <w:ind w:right="219"/>
              <w:spacing w:after="0"/>
              <w:rPr>
                <w:sz w:val="20"/>
                <w:szCs w:val="20"/>
                <w:color w:val="auto"/>
              </w:rPr>
            </w:pPr>
            <w:r>
              <w:rPr>
                <w:rFonts w:ascii="Arial" w:cs="Arial" w:eastAsia="Arial" w:hAnsi="Arial"/>
                <w:sz w:val="16"/>
                <w:szCs w:val="16"/>
                <w:color w:val="auto"/>
              </w:rPr>
              <w:t>85.0%</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80" w:type="dxa"/>
            <w:vAlign w:val="bottom"/>
            <w:gridSpan w:val="3"/>
            <w:shd w:val="clear" w:color="auto" w:fill="E5FFFF"/>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40"/>
              <w:spacing w:after="0"/>
              <w:rPr>
                <w:sz w:val="20"/>
                <w:szCs w:val="20"/>
                <w:color w:val="auto"/>
              </w:rPr>
            </w:pPr>
            <w:r>
              <w:rPr>
                <w:rFonts w:ascii="Arial" w:cs="Arial" w:eastAsia="Arial" w:hAnsi="Arial"/>
                <w:sz w:val="16"/>
                <w:szCs w:val="16"/>
                <w:color w:val="auto"/>
              </w:rPr>
              <w:t>13.0%</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gridSpan w:val="5"/>
          </w:tcPr>
          <w:p>
            <w:pPr>
              <w:ind w:left="20"/>
              <w:spacing w:after="0"/>
              <w:rPr>
                <w:sz w:val="20"/>
                <w:szCs w:val="20"/>
                <w:color w:val="auto"/>
              </w:rPr>
            </w:pPr>
            <w:r>
              <w:rPr>
                <w:rFonts w:ascii="Arial" w:cs="Arial" w:eastAsia="Arial" w:hAnsi="Arial"/>
                <w:sz w:val="16"/>
                <w:szCs w:val="16"/>
                <w:color w:val="auto"/>
              </w:rPr>
              <w:t>Third Target Distribution</w:t>
            </w:r>
          </w:p>
        </w:tc>
        <w:tc>
          <w:tcPr>
            <w:tcW w:w="3020" w:type="dxa"/>
            <w:vAlign w:val="bottom"/>
            <w:gridSpan w:val="2"/>
          </w:tcPr>
          <w:p>
            <w:pPr>
              <w:jc w:val="right"/>
              <w:ind w:right="240"/>
              <w:spacing w:after="0"/>
              <w:rPr>
                <w:sz w:val="20"/>
                <w:szCs w:val="20"/>
                <w:color w:val="auto"/>
              </w:rPr>
            </w:pPr>
            <w:r>
              <w:rPr>
                <w:rFonts w:ascii="Arial" w:cs="Arial" w:eastAsia="Arial" w:hAnsi="Arial"/>
                <w:sz w:val="16"/>
                <w:szCs w:val="16"/>
                <w:color w:val="auto"/>
              </w:rPr>
              <w:t>$0.46875 up to $0.5625</w:t>
            </w:r>
          </w:p>
        </w:tc>
        <w:tc>
          <w:tcPr>
            <w:tcW w:w="1220" w:type="dxa"/>
            <w:vAlign w:val="bottom"/>
            <w:gridSpan w:val="2"/>
          </w:tcPr>
          <w:p>
            <w:pPr>
              <w:jc w:val="right"/>
              <w:ind w:right="219"/>
              <w:spacing w:after="0"/>
              <w:rPr>
                <w:sz w:val="20"/>
                <w:szCs w:val="20"/>
                <w:color w:val="auto"/>
              </w:rPr>
            </w:pPr>
            <w:r>
              <w:rPr>
                <w:rFonts w:ascii="Arial" w:cs="Arial" w:eastAsia="Arial" w:hAnsi="Arial"/>
                <w:sz w:val="16"/>
                <w:szCs w:val="16"/>
                <w:color w:val="auto"/>
              </w:rPr>
              <w:t>75.0%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gridSpan w:val="5"/>
            <w:shd w:val="clear" w:color="auto" w:fill="E5FFFF"/>
          </w:tcPr>
          <w:p>
            <w:pPr>
              <w:ind w:left="20"/>
              <w:spacing w:after="0"/>
              <w:rPr>
                <w:sz w:val="20"/>
                <w:szCs w:val="20"/>
                <w:color w:val="auto"/>
              </w:rPr>
            </w:pPr>
            <w:r>
              <w:rPr>
                <w:rFonts w:ascii="Arial" w:cs="Arial" w:eastAsia="Arial" w:hAnsi="Arial"/>
                <w:sz w:val="16"/>
                <w:szCs w:val="16"/>
                <w:color w:val="auto"/>
              </w:rPr>
              <w:t>Thereafter</w:t>
            </w:r>
          </w:p>
        </w:tc>
        <w:tc>
          <w:tcPr>
            <w:tcW w:w="302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Above $0.5625</w:t>
            </w:r>
          </w:p>
        </w:tc>
        <w:tc>
          <w:tcPr>
            <w:tcW w:w="1220" w:type="dxa"/>
            <w:vAlign w:val="bottom"/>
            <w:gridSpan w:val="2"/>
            <w:shd w:val="clear" w:color="auto" w:fill="E5FFFF"/>
          </w:tcPr>
          <w:p>
            <w:pPr>
              <w:jc w:val="right"/>
              <w:ind w:right="219"/>
              <w:spacing w:after="0"/>
              <w:rPr>
                <w:sz w:val="20"/>
                <w:szCs w:val="20"/>
                <w:color w:val="auto"/>
              </w:rPr>
            </w:pPr>
            <w:r>
              <w:rPr>
                <w:rFonts w:ascii="Arial" w:cs="Arial" w:eastAsia="Arial" w:hAnsi="Arial"/>
                <w:sz w:val="16"/>
                <w:szCs w:val="16"/>
                <w:color w:val="auto"/>
              </w:rPr>
              <w:t>50.0%</w:t>
            </w:r>
          </w:p>
        </w:tc>
        <w:tc>
          <w:tcPr>
            <w:tcW w:w="2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80" w:type="dxa"/>
            <w:vAlign w:val="bottom"/>
            <w:gridSpan w:val="3"/>
            <w:shd w:val="clear" w:color="auto" w:fill="E5FFFF"/>
          </w:tcPr>
          <w:p>
            <w:pPr>
              <w:jc w:val="right"/>
              <w:ind w:right="79"/>
              <w:spacing w:after="0"/>
              <w:rPr>
                <w:sz w:val="20"/>
                <w:szCs w:val="20"/>
                <w:color w:val="auto"/>
              </w:rPr>
            </w:pPr>
            <w:r>
              <w:rPr>
                <w:rFonts w:ascii="Arial" w:cs="Arial" w:eastAsia="Arial" w:hAnsi="Arial"/>
                <w:sz w:val="16"/>
                <w:szCs w:val="16"/>
                <w:color w:val="auto"/>
              </w:rPr>
              <w:t>2.0%</w:t>
            </w:r>
          </w:p>
        </w:tc>
        <w:tc>
          <w:tcPr>
            <w:tcW w:w="18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40"/>
              <w:spacing w:after="0"/>
              <w:rPr>
                <w:sz w:val="20"/>
                <w:szCs w:val="20"/>
                <w:color w:val="auto"/>
              </w:rPr>
            </w:pPr>
            <w:r>
              <w:rPr>
                <w:rFonts w:ascii="Arial" w:cs="Arial" w:eastAsia="Arial" w:hAnsi="Arial"/>
                <w:sz w:val="16"/>
                <w:szCs w:val="16"/>
                <w:color w:val="auto"/>
              </w:rPr>
              <w:t>48.0%</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gridSpan w:val="2"/>
          </w:tcPr>
          <w:p>
            <w:pPr>
              <w:jc w:val="right"/>
              <w:ind w:right="2000"/>
              <w:spacing w:after="0"/>
              <w:rPr>
                <w:sz w:val="20"/>
                <w:szCs w:val="20"/>
                <w:color w:val="auto"/>
              </w:rPr>
            </w:pPr>
            <w:r>
              <w:rPr>
                <w:rFonts w:ascii="Arial" w:cs="Arial" w:eastAsia="Arial" w:hAnsi="Arial"/>
                <w:sz w:val="16"/>
                <w:szCs w:val="16"/>
                <w:color w:val="auto"/>
              </w:rPr>
              <w:t>F-9</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gridSpan w:val="2"/>
          </w:tcPr>
          <w:p>
            <w:pPr>
              <w:spacing w:after="0"/>
              <w:rPr>
                <w:sz w:val="11"/>
                <w:szCs w:val="11"/>
                <w:color w:val="auto"/>
              </w:rPr>
            </w:pPr>
          </w:p>
        </w:tc>
        <w:tc>
          <w:tcPr>
            <w:tcW w:w="27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gridSpan w:val="4"/>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gridSpan w:val="3"/>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72"/>
        </w:trPr>
        <w:tc>
          <w:tcPr>
            <w:tcW w:w="580" w:type="dxa"/>
            <w:vAlign w:val="bottom"/>
          </w:tcPr>
          <w:p>
            <w:pPr>
              <w:spacing w:after="0"/>
              <w:rPr>
                <w:sz w:val="24"/>
                <w:szCs w:val="24"/>
                <w:color w:val="auto"/>
              </w:rPr>
            </w:pPr>
          </w:p>
        </w:tc>
        <w:tc>
          <w:tcPr>
            <w:tcW w:w="252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w w:val="88"/>
              </w:rPr>
              <w:t>Allocation of GasLog Partners’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i w:val="1"/>
                <w:iCs w:val="1"/>
                <w:color w:val="auto"/>
                <w:w w:val="85"/>
              </w:rPr>
              <w:t>(*)</w:t>
            </w:r>
          </w:p>
        </w:tc>
        <w:tc>
          <w:tcPr>
            <w:tcW w:w="1580" w:type="dxa"/>
            <w:vAlign w:val="bottom"/>
            <w:gridSpan w:val="2"/>
            <w:vMerge w:val="restart"/>
          </w:tcPr>
          <w:p>
            <w:pPr>
              <w:spacing w:after="0"/>
              <w:rPr>
                <w:sz w:val="24"/>
                <w:szCs w:val="24"/>
                <w:color w:val="auto"/>
              </w:rPr>
            </w:pP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20" w:type="dxa"/>
            <w:vAlign w:val="bottom"/>
            <w:gridSpan w:val="10"/>
            <w:vMerge w:val="restart"/>
          </w:tcPr>
          <w:p>
            <w:pPr>
              <w:ind w:left="56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80" w:type="dxa"/>
            <w:vAlign w:val="bottom"/>
          </w:tcPr>
          <w:p>
            <w:pPr>
              <w:spacing w:after="0"/>
              <w:rPr>
                <w:sz w:val="2"/>
                <w:szCs w:val="2"/>
                <w:color w:val="auto"/>
              </w:rPr>
            </w:pPr>
          </w:p>
        </w:tc>
        <w:tc>
          <w:tcPr>
            <w:tcW w:w="25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120" w:type="dxa"/>
            <w:vAlign w:val="bottom"/>
            <w:gridSpan w:val="10"/>
            <w:vMerge w:val="continue"/>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3"/>
          </w:tcPr>
          <w:p>
            <w:pPr>
              <w:ind w:left="160"/>
              <w:spacing w:after="0"/>
              <w:rPr>
                <w:sz w:val="20"/>
                <w:szCs w:val="20"/>
                <w:color w:val="auto"/>
              </w:rPr>
            </w:pPr>
            <w:r>
              <w:rPr>
                <w:rFonts w:ascii="Arial" w:cs="Arial" w:eastAsia="Arial" w:hAnsi="Arial"/>
                <w:sz w:val="16"/>
                <w:szCs w:val="16"/>
                <w:b w:val="1"/>
                <w:bCs w:val="1"/>
                <w:color w:val="auto"/>
                <w:w w:val="91"/>
              </w:rPr>
              <w:t>March 31, 2017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5"/>
          </w:tcPr>
          <w:p>
            <w:pPr>
              <w:ind w:left="140"/>
              <w:spacing w:after="0"/>
              <w:rPr>
                <w:sz w:val="20"/>
                <w:szCs w:val="20"/>
                <w:color w:val="auto"/>
              </w:rPr>
            </w:pPr>
            <w:r>
              <w:rPr>
                <w:rFonts w:ascii="Arial" w:cs="Arial" w:eastAsia="Arial" w:hAnsi="Arial"/>
                <w:sz w:val="16"/>
                <w:szCs w:val="16"/>
                <w:b w:val="1"/>
                <w:bCs w:val="1"/>
                <w:color w:val="auto"/>
              </w:rPr>
              <w:t>March 31, 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220" w:type="dxa"/>
            <w:vAlign w:val="bottom"/>
            <w:tcBorders>
              <w:top w:val="single" w:sz="8" w:color="E5FFFF"/>
            </w:tcBorders>
            <w:gridSpan w:val="5"/>
            <w:shd w:val="clear" w:color="auto" w:fill="E5FFFF"/>
          </w:tcPr>
          <w:p>
            <w:pPr>
              <w:ind w:left="20"/>
              <w:spacing w:after="0"/>
              <w:rPr>
                <w:sz w:val="20"/>
                <w:szCs w:val="20"/>
                <w:color w:val="auto"/>
              </w:rPr>
            </w:pPr>
            <w:r>
              <w:rPr>
                <w:rFonts w:ascii="Arial" w:cs="Arial" w:eastAsia="Arial" w:hAnsi="Arial"/>
                <w:sz w:val="16"/>
                <w:szCs w:val="16"/>
                <w:color w:val="auto"/>
              </w:rPr>
              <w:t>Partnership’s profit attributable to:</w:t>
            </w:r>
          </w:p>
        </w:tc>
        <w:tc>
          <w:tcPr>
            <w:tcW w:w="2780" w:type="dxa"/>
            <w:vAlign w:val="bottom"/>
            <w:tcBorders>
              <w:top w:val="single" w:sz="8" w:color="E5FFFF"/>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380" w:type="dxa"/>
            <w:vAlign w:val="bottom"/>
            <w:tcBorders>
              <w:top w:val="single" w:sz="8" w:color="E5FFFF"/>
            </w:tcBorders>
            <w:shd w:val="clear" w:color="auto" w:fill="E5FFFF"/>
          </w:tcPr>
          <w:p>
            <w:pPr>
              <w:spacing w:after="0"/>
              <w:rPr>
                <w:sz w:val="16"/>
                <w:szCs w:val="16"/>
                <w:color w:val="auto"/>
              </w:rPr>
            </w:pPr>
          </w:p>
        </w:tc>
        <w:tc>
          <w:tcPr>
            <w:tcW w:w="84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auto"/>
            </w:tcBorders>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34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auto"/>
            </w:tcBorders>
            <w:shd w:val="clear" w:color="auto" w:fill="E5FFFF"/>
          </w:tcPr>
          <w:p>
            <w:pPr>
              <w:spacing w:after="0"/>
              <w:rPr>
                <w:sz w:val="16"/>
                <w:szCs w:val="16"/>
                <w:color w:val="auto"/>
              </w:rPr>
            </w:pPr>
          </w:p>
        </w:tc>
        <w:tc>
          <w:tcPr>
            <w:tcW w:w="84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gridSpan w:val="5"/>
          </w:tcPr>
          <w:p>
            <w:pPr>
              <w:ind w:left="20"/>
              <w:spacing w:after="0"/>
              <w:rPr>
                <w:sz w:val="20"/>
                <w:szCs w:val="20"/>
                <w:color w:val="auto"/>
              </w:rPr>
            </w:pPr>
            <w:r>
              <w:rPr>
                <w:rFonts w:ascii="Arial" w:cs="Arial" w:eastAsia="Arial" w:hAnsi="Arial"/>
                <w:sz w:val="16"/>
                <w:szCs w:val="16"/>
                <w:color w:val="auto"/>
              </w:rPr>
              <w:t>Common unitholders</w:t>
            </w:r>
          </w:p>
        </w:tc>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6"/>
          </w:tcPr>
          <w:p>
            <w:pPr>
              <w:jc w:val="right"/>
              <w:ind w:right="280"/>
              <w:spacing w:after="0"/>
              <w:rPr>
                <w:sz w:val="20"/>
                <w:szCs w:val="20"/>
                <w:color w:val="auto"/>
              </w:rPr>
            </w:pPr>
            <w:r>
              <w:rPr>
                <w:rFonts w:ascii="Arial" w:cs="Arial" w:eastAsia="Arial" w:hAnsi="Arial"/>
                <w:sz w:val="16"/>
                <w:szCs w:val="16"/>
                <w:color w:val="auto"/>
              </w:rPr>
              <w:t>14,724</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24,057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gridSpan w:val="5"/>
            <w:shd w:val="clear" w:color="auto" w:fill="E5FFFF"/>
          </w:tcPr>
          <w:p>
            <w:pPr>
              <w:ind w:left="20"/>
              <w:spacing w:after="0"/>
              <w:rPr>
                <w:sz w:val="20"/>
                <w:szCs w:val="20"/>
                <w:color w:val="auto"/>
              </w:rPr>
            </w:pPr>
            <w:r>
              <w:rPr>
                <w:rFonts w:ascii="Arial" w:cs="Arial" w:eastAsia="Arial" w:hAnsi="Arial"/>
                <w:sz w:val="16"/>
                <w:szCs w:val="16"/>
                <w:color w:val="auto"/>
              </w:rPr>
              <w:t>Subordinated unitholders</w:t>
            </w:r>
          </w:p>
        </w:tc>
        <w:tc>
          <w:tcPr>
            <w:tcW w:w="2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40" w:type="dxa"/>
            <w:vAlign w:val="bottom"/>
            <w:gridSpan w:val="6"/>
            <w:shd w:val="clear" w:color="auto" w:fill="E5FFFF"/>
          </w:tcPr>
          <w:p>
            <w:pPr>
              <w:jc w:val="right"/>
              <w:ind w:right="280"/>
              <w:spacing w:after="0"/>
              <w:rPr>
                <w:sz w:val="20"/>
                <w:szCs w:val="20"/>
                <w:color w:val="auto"/>
              </w:rPr>
            </w:pPr>
            <w:r>
              <w:rPr>
                <w:rFonts w:ascii="Arial" w:cs="Arial" w:eastAsia="Arial" w:hAnsi="Arial"/>
                <w:sz w:val="16"/>
                <w:szCs w:val="16"/>
                <w:color w:val="auto"/>
              </w:rPr>
              <w:t>5,085</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gridSpan w:val="3"/>
            <w:shd w:val="clear" w:color="auto" w:fill="E5FF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gridSpan w:val="5"/>
          </w:tcPr>
          <w:p>
            <w:pPr>
              <w:ind w:left="20"/>
              <w:spacing w:after="0"/>
              <w:rPr>
                <w:sz w:val="20"/>
                <w:szCs w:val="20"/>
                <w:color w:val="auto"/>
              </w:rPr>
            </w:pPr>
            <w:r>
              <w:rPr>
                <w:rFonts w:ascii="Arial" w:cs="Arial" w:eastAsia="Arial" w:hAnsi="Arial"/>
                <w:sz w:val="16"/>
                <w:szCs w:val="16"/>
                <w:color w:val="auto"/>
              </w:rPr>
              <w:t>General partner</w:t>
            </w:r>
          </w:p>
        </w:tc>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6"/>
          </w:tcPr>
          <w:p>
            <w:pPr>
              <w:jc w:val="right"/>
              <w:ind w:right="280"/>
              <w:spacing w:after="0"/>
              <w:rPr>
                <w:sz w:val="20"/>
                <w:szCs w:val="20"/>
                <w:color w:val="auto"/>
              </w:rPr>
            </w:pPr>
            <w:r>
              <w:rPr>
                <w:rFonts w:ascii="Arial" w:cs="Arial" w:eastAsia="Arial" w:hAnsi="Arial"/>
                <w:sz w:val="16"/>
                <w:szCs w:val="16"/>
                <w:color w:val="auto"/>
              </w:rPr>
              <w:t>420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gridSpan w:val="5"/>
            <w:shd w:val="clear" w:color="auto" w:fill="E5FFFF"/>
          </w:tcPr>
          <w:p>
            <w:pPr>
              <w:ind w:left="20"/>
              <w:spacing w:after="0"/>
              <w:rPr>
                <w:sz w:val="20"/>
                <w:szCs w:val="20"/>
                <w:color w:val="auto"/>
              </w:rPr>
            </w:pPr>
            <w:r>
              <w:rPr>
                <w:rFonts w:ascii="Arial" w:cs="Arial" w:eastAsia="Arial" w:hAnsi="Arial"/>
                <w:sz w:val="16"/>
                <w:szCs w:val="16"/>
                <w:color w:val="auto"/>
              </w:rPr>
              <w:t>Incentive distribution rights (“IDRs”)</w:t>
            </w:r>
          </w:p>
        </w:tc>
        <w:tc>
          <w:tcPr>
            <w:tcW w:w="2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40" w:type="dxa"/>
            <w:vAlign w:val="bottom"/>
            <w:gridSpan w:val="6"/>
            <w:shd w:val="clear" w:color="auto" w:fill="E5FFFF"/>
          </w:tcPr>
          <w:p>
            <w:pPr>
              <w:jc w:val="right"/>
              <w:ind w:right="280"/>
              <w:spacing w:after="0"/>
              <w:rPr>
                <w:sz w:val="20"/>
                <w:szCs w:val="20"/>
                <w:color w:val="auto"/>
              </w:rPr>
            </w:pPr>
            <w:r>
              <w:rPr>
                <w:rFonts w:ascii="Arial" w:cs="Arial" w:eastAsia="Arial" w:hAnsi="Arial"/>
                <w:sz w:val="16"/>
                <w:szCs w:val="16"/>
                <w:color w:val="auto"/>
              </w:rPr>
              <w:t>793</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2,368</w:t>
            </w:r>
          </w:p>
        </w:tc>
        <w:tc>
          <w:tcPr>
            <w:tcW w:w="8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gridSpan w:val="5"/>
          </w:tcPr>
          <w:p>
            <w:pPr>
              <w:ind w:left="20"/>
              <w:spacing w:after="0"/>
              <w:rPr>
                <w:sz w:val="20"/>
                <w:szCs w:val="20"/>
                <w:color w:val="auto"/>
              </w:rPr>
            </w:pPr>
            <w:r>
              <w:rPr>
                <w:rFonts w:ascii="Arial" w:cs="Arial" w:eastAsia="Arial" w:hAnsi="Arial"/>
                <w:sz w:val="16"/>
                <w:szCs w:val="16"/>
                <w:color w:val="auto"/>
              </w:rPr>
              <w:t>Paid and accrued preference equity distributions</w:t>
            </w:r>
          </w:p>
        </w:tc>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jc w:val="right"/>
              <w:ind w:right="800"/>
              <w:spacing w:after="0"/>
              <w:rPr>
                <w:sz w:val="20"/>
                <w:szCs w:val="20"/>
                <w:color w:val="auto"/>
              </w:rPr>
            </w:pPr>
            <w:r>
              <w:rPr>
                <w:rFonts w:ascii="Arial" w:cs="Arial" w:eastAsia="Arial" w:hAnsi="Arial"/>
                <w:sz w:val="14"/>
                <w:szCs w:val="14"/>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5,038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tcBorders>
              <w:top w:val="single" w:sz="8" w:color="E5FFFF"/>
              <w:bottom w:val="single" w:sz="8" w:color="E5FFFF"/>
            </w:tcBorders>
            <w:gridSpan w:val="5"/>
            <w:shd w:val="clear" w:color="auto" w:fill="E5FFFF"/>
          </w:tcPr>
          <w:p>
            <w:pPr>
              <w:ind w:left="20"/>
              <w:spacing w:after="0"/>
              <w:rPr>
                <w:sz w:val="20"/>
                <w:szCs w:val="20"/>
                <w:color w:val="auto"/>
              </w:rPr>
            </w:pPr>
            <w:r>
              <w:rPr>
                <w:rFonts w:ascii="Arial" w:cs="Arial" w:eastAsia="Arial" w:hAnsi="Arial"/>
                <w:sz w:val="16"/>
                <w:szCs w:val="16"/>
                <w:b w:val="1"/>
                <w:bCs w:val="1"/>
                <w:color w:val="auto"/>
              </w:rPr>
              <w:t>Total</w:t>
            </w:r>
          </w:p>
        </w:tc>
        <w:tc>
          <w:tcPr>
            <w:tcW w:w="278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E5FFFF"/>
              <w:bottom w:val="single" w:sz="8" w:color="E5FFFF"/>
            </w:tcBorders>
            <w:shd w:val="clear" w:color="auto" w:fill="E5FFFF"/>
          </w:tcPr>
          <w:p>
            <w:pPr>
              <w:spacing w:after="0"/>
              <w:rPr>
                <w:sz w:val="17"/>
                <w:szCs w:val="17"/>
                <w:color w:val="auto"/>
              </w:rPr>
            </w:pPr>
          </w:p>
        </w:tc>
        <w:tc>
          <w:tcPr>
            <w:tcW w:w="38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gridSpan w:val="4"/>
            <w:shd w:val="clear" w:color="auto" w:fill="E5FFFF"/>
          </w:tcPr>
          <w:p>
            <w:pPr>
              <w:jc w:val="right"/>
              <w:spacing w:after="0"/>
              <w:rPr>
                <w:sz w:val="20"/>
                <w:szCs w:val="20"/>
                <w:color w:val="auto"/>
              </w:rPr>
            </w:pPr>
            <w:r>
              <w:rPr>
                <w:rFonts w:ascii="Arial" w:cs="Arial" w:eastAsia="Arial" w:hAnsi="Arial"/>
                <w:sz w:val="16"/>
                <w:szCs w:val="16"/>
                <w:b w:val="1"/>
                <w:bCs w:val="1"/>
                <w:color w:val="auto"/>
              </w:rPr>
              <w:t>21,022</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340" w:type="dxa"/>
            <w:vAlign w:val="bottom"/>
            <w:tcBorders>
              <w:top w:val="single" w:sz="8" w:color="auto"/>
              <w:bottom w:val="single" w:sz="8" w:color="auto"/>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spacing w:after="0"/>
              <w:rPr>
                <w:sz w:val="17"/>
                <w:szCs w:val="17"/>
                <w:color w:val="auto"/>
              </w:rPr>
            </w:pPr>
          </w:p>
        </w:tc>
        <w:tc>
          <w:tcPr>
            <w:tcW w:w="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32,002</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gridSpan w:val="5"/>
            <w:vMerge w:val="restart"/>
          </w:tcPr>
          <w:p>
            <w:pPr>
              <w:ind w:left="20"/>
              <w:spacing w:after="0"/>
              <w:rPr>
                <w:sz w:val="20"/>
                <w:szCs w:val="20"/>
                <w:color w:val="auto"/>
              </w:rPr>
            </w:pPr>
            <w:r>
              <w:rPr>
                <w:rFonts w:ascii="Arial" w:cs="Arial" w:eastAsia="Arial" w:hAnsi="Arial"/>
                <w:sz w:val="16"/>
                <w:szCs w:val="16"/>
                <w:color w:val="auto"/>
              </w:rPr>
              <w:t>Partnership’s profit allocated to GasLog</w:t>
            </w: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4220" w:type="dxa"/>
            <w:vAlign w:val="bottom"/>
            <w:gridSpan w:val="5"/>
            <w:vMerge w:val="continue"/>
          </w:tcPr>
          <w:p>
            <w:pPr>
              <w:spacing w:after="0"/>
              <w:rPr>
                <w:sz w:val="15"/>
                <w:szCs w:val="15"/>
                <w:color w:val="auto"/>
              </w:rPr>
            </w:pPr>
          </w:p>
        </w:tc>
        <w:tc>
          <w:tcPr>
            <w:tcW w:w="2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6,382</w:t>
            </w:r>
          </w:p>
        </w:tc>
        <w:tc>
          <w:tcPr>
            <w:tcW w:w="3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8,765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gridSpan w:val="5"/>
            <w:shd w:val="clear" w:color="auto" w:fill="E5FFFF"/>
          </w:tcPr>
          <w:p>
            <w:pPr>
              <w:ind w:left="20"/>
              <w:spacing w:after="0"/>
              <w:rPr>
                <w:sz w:val="20"/>
                <w:szCs w:val="20"/>
                <w:color w:val="auto"/>
              </w:rPr>
            </w:pPr>
            <w:r>
              <w:rPr>
                <w:rFonts w:ascii="Arial" w:cs="Arial" w:eastAsia="Arial" w:hAnsi="Arial"/>
                <w:sz w:val="16"/>
                <w:szCs w:val="16"/>
                <w:color w:val="auto"/>
              </w:rPr>
              <w:t>Partnership’s profit allocated to non-controlling interests</w:t>
            </w:r>
          </w:p>
        </w:tc>
        <w:tc>
          <w:tcPr>
            <w:tcW w:w="27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40" w:type="dxa"/>
            <w:vAlign w:val="bottom"/>
            <w:gridSpan w:val="6"/>
            <w:shd w:val="clear" w:color="auto" w:fill="E5FFFF"/>
          </w:tcPr>
          <w:p>
            <w:pPr>
              <w:jc w:val="right"/>
              <w:ind w:right="280"/>
              <w:spacing w:after="0"/>
              <w:rPr>
                <w:sz w:val="20"/>
                <w:szCs w:val="20"/>
                <w:color w:val="auto"/>
              </w:rPr>
            </w:pPr>
            <w:r>
              <w:rPr>
                <w:rFonts w:ascii="Arial" w:cs="Arial" w:eastAsia="Arial" w:hAnsi="Arial"/>
                <w:sz w:val="16"/>
                <w:szCs w:val="16"/>
                <w:color w:val="auto"/>
              </w:rPr>
              <w:t>14,640</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23,237</w:t>
            </w:r>
          </w:p>
        </w:tc>
        <w:tc>
          <w:tcPr>
            <w:tcW w:w="80" w:type="dxa"/>
            <w:vAlign w:val="bottom"/>
            <w:shd w:val="clear" w:color="auto" w:fill="E5FF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220" w:type="dxa"/>
            <w:vAlign w:val="bottom"/>
            <w:gridSpan w:val="5"/>
          </w:tcPr>
          <w:p>
            <w:pPr>
              <w:ind w:left="20"/>
              <w:spacing w:after="0"/>
              <w:rPr>
                <w:sz w:val="20"/>
                <w:szCs w:val="20"/>
                <w:color w:val="auto"/>
              </w:rPr>
            </w:pPr>
            <w:r>
              <w:rPr>
                <w:rFonts w:ascii="Arial" w:cs="Arial" w:eastAsia="Arial" w:hAnsi="Arial"/>
                <w:sz w:val="16"/>
                <w:szCs w:val="16"/>
                <w:b w:val="1"/>
                <w:bCs w:val="1"/>
                <w:color w:val="auto"/>
              </w:rPr>
              <w:t>Total</w:t>
            </w:r>
          </w:p>
        </w:tc>
        <w:tc>
          <w:tcPr>
            <w:tcW w:w="2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21,022</w:t>
            </w:r>
          </w:p>
        </w:tc>
        <w:tc>
          <w:tcPr>
            <w:tcW w:w="3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32,002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-1999615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-1999615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7" w:lineRule="exact"/>
        <w:rPr>
          <w:sz w:val="20"/>
          <w:szCs w:val="20"/>
          <w:color w:val="auto"/>
        </w:rPr>
      </w:pPr>
    </w:p>
    <w:p>
      <w:pPr>
        <w:ind w:left="820" w:right="500" w:hanging="229"/>
        <w:spacing w:after="0" w:line="253" w:lineRule="auto"/>
        <w:tabs>
          <w:tab w:leader="none" w:pos="695"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profits of GAS-eleven Ltd., GAS-thirteen Ltd. and GAS-eight Ltd. for the period prior to their transfers to the Partnership on May 3, 2017, July 3, 2017 and October 20, 2017, respectively.</w:t>
      </w:r>
    </w:p>
    <w:p>
      <w:pPr>
        <w:sectPr>
          <w:pgSz w:w="11900" w:h="16838" w:orient="portrait"/>
          <w:cols w:equalWidth="0" w:num="1">
            <w:col w:w="11460"/>
          </w:cols>
          <w:pgMar w:left="240" w:top="346" w:right="199" w:bottom="19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Investment in Associates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movements in investment in associates are reported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298450</wp:posOffset>
            </wp:positionV>
            <wp:extent cx="680910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January 1, 2018</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 of profit of associates</w:t>
      </w:r>
    </w:p>
    <w:p>
      <w:pPr>
        <w:spacing w:after="0" w:line="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Dividend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-112395</wp:posOffset>
            </wp:positionV>
            <wp:extent cx="68091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9105" cy="128905"/>
                    </a:xfrm>
                    <a:prstGeom prst="rect">
                      <a:avLst/>
                    </a:prstGeom>
                    <a:noFill/>
                  </pic:spPr>
                </pic:pic>
              </a:graphicData>
            </a:graphic>
          </wp:anchor>
        </w:drawing>
      </w:r>
    </w:p>
    <w:p>
      <w:pPr>
        <w:spacing w:after="0" w:line="1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As of March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March 31, 2018</w:t>
      </w:r>
    </w:p>
    <w:p>
      <w:pPr>
        <w:spacing w:after="0" w:line="36" w:lineRule="exact"/>
        <w:rPr>
          <w:sz w:val="20"/>
          <w:szCs w:val="20"/>
          <w:color w:val="auto"/>
        </w:rPr>
      </w:pPr>
    </w:p>
    <w:p>
      <w:pPr>
        <w:jc w:val="right"/>
        <w:ind w:right="260"/>
        <w:spacing w:after="0"/>
        <w:rPr>
          <w:sz w:val="20"/>
          <w:szCs w:val="20"/>
          <w:color w:val="auto"/>
        </w:rPr>
      </w:pPr>
      <w:r>
        <w:rPr>
          <w:rFonts w:ascii="Arial" w:cs="Arial" w:eastAsia="Arial" w:hAnsi="Arial"/>
          <w:sz w:val="16"/>
          <w:szCs w:val="16"/>
          <w:color w:val="auto"/>
        </w:rPr>
        <w:t>20,800</w:t>
      </w:r>
    </w:p>
    <w:p>
      <w:pPr>
        <w:spacing w:after="0" w:line="22" w:lineRule="exact"/>
        <w:rPr>
          <w:sz w:val="20"/>
          <w:szCs w:val="20"/>
          <w:color w:val="auto"/>
        </w:rPr>
      </w:pPr>
    </w:p>
    <w:p>
      <w:pPr>
        <w:jc w:val="right"/>
        <w:ind w:right="260"/>
        <w:spacing w:after="0"/>
        <w:rPr>
          <w:sz w:val="20"/>
          <w:szCs w:val="20"/>
          <w:color w:val="auto"/>
        </w:rPr>
      </w:pPr>
      <w:r>
        <w:rPr>
          <w:rFonts w:ascii="Arial" w:cs="Arial" w:eastAsia="Arial" w:hAnsi="Arial"/>
          <w:sz w:val="16"/>
          <w:szCs w:val="16"/>
          <w:color w:val="auto"/>
        </w:rPr>
        <w:t>356</w:t>
      </w:r>
    </w:p>
    <w:p>
      <w:pPr>
        <w:spacing w:after="0" w:line="19" w:lineRule="exact"/>
        <w:rPr>
          <w:sz w:val="20"/>
          <w:szCs w:val="20"/>
          <w:color w:val="auto"/>
        </w:rPr>
      </w:pPr>
    </w:p>
    <w:p>
      <w:pPr>
        <w:jc w:val="right"/>
        <w:ind w:right="220"/>
        <w:spacing w:after="0"/>
        <w:rPr>
          <w:sz w:val="20"/>
          <w:szCs w:val="20"/>
          <w:color w:val="auto"/>
        </w:rPr>
      </w:pPr>
      <w:r>
        <w:rPr>
          <w:rFonts w:ascii="Arial" w:cs="Arial" w:eastAsia="Arial" w:hAnsi="Arial"/>
          <w:sz w:val="16"/>
          <w:szCs w:val="16"/>
          <w:color w:val="auto"/>
        </w:rPr>
        <w:t>(763)</w:t>
      </w:r>
    </w:p>
    <w:p>
      <w:pPr>
        <w:spacing w:after="0" w:line="2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20,393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20320</wp:posOffset>
            </wp:positionV>
            <wp:extent cx="866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37465</wp:posOffset>
            </wp:positionV>
            <wp:extent cx="866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-116205</wp:posOffset>
            </wp:positionV>
            <wp:extent cx="8661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2">
            <w:col w:w="9260" w:space="720"/>
            <w:col w:w="1480"/>
          </w:cols>
          <w:pgMar w:left="240" w:top="346" w:right="199" w:bottom="190" w:gutter="0" w:footer="0" w:header="0"/>
          <w:type w:val="continuous"/>
        </w:sectPr>
      </w:pPr>
    </w:p>
    <w:bookmarkStart w:id="24" w:name="page25"/>
    <w:bookmarkEnd w:id="24"/>
    <w:p>
      <w:pPr>
        <w:spacing w:after="0" w:line="62" w:lineRule="exact"/>
        <w:rPr>
          <w:sz w:val="20"/>
          <w:szCs w:val="20"/>
          <w:color w:val="auto"/>
        </w:rPr>
      </w:pPr>
    </w:p>
    <w:p>
      <w:pPr>
        <w:ind w:right="60" w:firstLine="256"/>
        <w:spacing w:after="0" w:line="305" w:lineRule="auto"/>
        <w:rPr>
          <w:sz w:val="20"/>
          <w:szCs w:val="20"/>
          <w:color w:val="auto"/>
        </w:rPr>
      </w:pPr>
      <w:r>
        <w:rPr>
          <w:rFonts w:ascii="Arial" w:cs="Arial" w:eastAsia="Arial" w:hAnsi="Arial"/>
          <w:sz w:val="15"/>
          <w:szCs w:val="15"/>
          <w:color w:val="auto"/>
        </w:rPr>
        <w:t>On February 9, 2017, GasLog acquired a 20% shareholding in Gastrade, a private limited company licensed to develop an independent natural gas system offshore Alexandroupolis in Northern Greece utilizing a floating storage and regasification unit (“FSRU”) along with other fixed infrastructure. GasLog, as well as being a shareholder, will provide operations and maintenance (“O&amp;M”) services for the FSRU through an O&amp;M agreement which was signed on February 23, 2018.</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Tangible Fixed Assets, Vessels Under Construction and Vessel Held Under Finance Lease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movements in tangible fixed assets, vessels under construction and vessel held under finance lease are reported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Office property</w:t>
            </w: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and other</w:t>
            </w: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tangible fixed</w:t>
            </w:r>
          </w:p>
        </w:tc>
        <w:tc>
          <w:tcPr>
            <w:tcW w:w="12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0"/>
              </w:rPr>
              <w:t>Vessels under</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Vessel held under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Vessels</w:t>
            </w: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tangible assets</w:t>
            </w: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0"/>
              </w:rPr>
              <w:t>assets</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6"/>
              </w:rPr>
              <w:t>construction</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finance lease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Borders>
              <w:top w:val="single" w:sz="8" w:color="E5FFFF"/>
            </w:tcBorders>
            <w:gridSpan w:val="4"/>
            <w:shd w:val="clear" w:color="auto" w:fill="E5FFFF"/>
          </w:tcPr>
          <w:p>
            <w:pPr>
              <w:spacing w:after="0" w:line="148" w:lineRule="exact"/>
              <w:rPr>
                <w:sz w:val="20"/>
                <w:szCs w:val="20"/>
                <w:color w:val="auto"/>
              </w:rPr>
            </w:pPr>
            <w:r>
              <w:rPr>
                <w:rFonts w:ascii="Arial" w:cs="Arial" w:eastAsia="Arial" w:hAnsi="Arial"/>
                <w:sz w:val="16"/>
                <w:szCs w:val="16"/>
                <w:b w:val="1"/>
                <w:bCs w:val="1"/>
                <w:color w:val="auto"/>
              </w:rPr>
              <w:t>Cost</w:t>
            </w:r>
          </w:p>
        </w:tc>
        <w:tc>
          <w:tcPr>
            <w:tcW w:w="1200" w:type="dxa"/>
            <w:vAlign w:val="bottom"/>
            <w:tcBorders>
              <w:top w:val="single" w:sz="8" w:color="auto"/>
            </w:tcBorders>
            <w:shd w:val="clear" w:color="auto" w:fill="E5FFFF"/>
          </w:tcPr>
          <w:p>
            <w:pPr>
              <w:spacing w:after="0"/>
              <w:rPr>
                <w:sz w:val="12"/>
                <w:szCs w:val="12"/>
                <w:color w:val="auto"/>
              </w:rPr>
            </w:pPr>
          </w:p>
        </w:tc>
        <w:tc>
          <w:tcPr>
            <w:tcW w:w="300" w:type="dxa"/>
            <w:vAlign w:val="bottom"/>
            <w:tcBorders>
              <w:top w:val="single" w:sz="8" w:color="E5FFFF"/>
            </w:tcBorders>
            <w:shd w:val="clear" w:color="auto" w:fill="E5FFFF"/>
          </w:tcPr>
          <w:p>
            <w:pPr>
              <w:spacing w:after="0"/>
              <w:rPr>
                <w:sz w:val="12"/>
                <w:szCs w:val="12"/>
                <w:color w:val="auto"/>
              </w:rPr>
            </w:pPr>
          </w:p>
        </w:tc>
        <w:tc>
          <w:tcPr>
            <w:tcW w:w="1200" w:type="dxa"/>
            <w:vAlign w:val="bottom"/>
            <w:tcBorders>
              <w:top w:val="single" w:sz="8" w:color="auto"/>
            </w:tcBorders>
            <w:shd w:val="clear" w:color="auto" w:fill="E5FFFF"/>
          </w:tcPr>
          <w:p>
            <w:pPr>
              <w:spacing w:after="0"/>
              <w:rPr>
                <w:sz w:val="12"/>
                <w:szCs w:val="12"/>
                <w:color w:val="auto"/>
              </w:rPr>
            </w:pPr>
          </w:p>
        </w:tc>
        <w:tc>
          <w:tcPr>
            <w:tcW w:w="280" w:type="dxa"/>
            <w:vAlign w:val="bottom"/>
            <w:tcBorders>
              <w:top w:val="single" w:sz="8" w:color="E5FFFF"/>
            </w:tcBorders>
            <w:shd w:val="clear" w:color="auto" w:fill="E5FFFF"/>
          </w:tcPr>
          <w:p>
            <w:pPr>
              <w:spacing w:after="0"/>
              <w:rPr>
                <w:sz w:val="12"/>
                <w:szCs w:val="12"/>
                <w:color w:val="auto"/>
              </w:rPr>
            </w:pPr>
          </w:p>
        </w:tc>
        <w:tc>
          <w:tcPr>
            <w:tcW w:w="1180" w:type="dxa"/>
            <w:vAlign w:val="bottom"/>
            <w:tcBorders>
              <w:top w:val="single" w:sz="8" w:color="auto"/>
            </w:tcBorders>
            <w:shd w:val="clear" w:color="auto" w:fill="E5FFFF"/>
          </w:tcPr>
          <w:p>
            <w:pPr>
              <w:spacing w:after="0"/>
              <w:rPr>
                <w:sz w:val="12"/>
                <w:szCs w:val="12"/>
                <w:color w:val="auto"/>
              </w:rPr>
            </w:pPr>
          </w:p>
        </w:tc>
        <w:tc>
          <w:tcPr>
            <w:tcW w:w="300" w:type="dxa"/>
            <w:vAlign w:val="bottom"/>
            <w:tcBorders>
              <w:top w:val="single" w:sz="8" w:color="E5FFFF"/>
            </w:tcBorders>
            <w:shd w:val="clear" w:color="auto" w:fill="E5FFFF"/>
          </w:tcPr>
          <w:p>
            <w:pPr>
              <w:spacing w:after="0"/>
              <w:rPr>
                <w:sz w:val="12"/>
                <w:szCs w:val="12"/>
                <w:color w:val="auto"/>
              </w:rPr>
            </w:pPr>
          </w:p>
        </w:tc>
        <w:tc>
          <w:tcPr>
            <w:tcW w:w="1080" w:type="dxa"/>
            <w:vAlign w:val="bottom"/>
            <w:tcBorders>
              <w:top w:val="single" w:sz="8" w:color="auto"/>
            </w:tcBorders>
            <w:shd w:val="clear" w:color="auto" w:fill="E5FFFF"/>
          </w:tcPr>
          <w:p>
            <w:pPr>
              <w:spacing w:after="0"/>
              <w:rPr>
                <w:sz w:val="12"/>
                <w:szCs w:val="12"/>
                <w:color w:val="auto"/>
              </w:rPr>
            </w:pPr>
          </w:p>
        </w:tc>
        <w:tc>
          <w:tcPr>
            <w:tcW w:w="200" w:type="dxa"/>
            <w:vAlign w:val="bottom"/>
            <w:tcBorders>
              <w:top w:val="single" w:sz="8" w:color="E5FFFF"/>
            </w:tcBorders>
            <w:shd w:val="clear" w:color="auto" w:fill="E5FFFF"/>
          </w:tcPr>
          <w:p>
            <w:pPr>
              <w:spacing w:after="0"/>
              <w:rPr>
                <w:sz w:val="12"/>
                <w:szCs w:val="12"/>
                <w:color w:val="auto"/>
              </w:rPr>
            </w:pPr>
          </w:p>
        </w:tc>
        <w:tc>
          <w:tcPr>
            <w:tcW w:w="1380" w:type="dxa"/>
            <w:vAlign w:val="bottom"/>
            <w:tcBorders>
              <w:top w:val="single" w:sz="8" w:color="auto"/>
            </w:tcBorders>
            <w:shd w:val="clear" w:color="auto" w:fill="E5FFFF"/>
          </w:tcPr>
          <w:p>
            <w:pPr>
              <w:spacing w:after="0"/>
              <w:rPr>
                <w:sz w:val="12"/>
                <w:szCs w:val="12"/>
                <w:color w:val="auto"/>
              </w:rPr>
            </w:pPr>
          </w:p>
        </w:tc>
        <w:tc>
          <w:tcPr>
            <w:tcW w:w="100" w:type="dxa"/>
            <w:vAlign w:val="bottom"/>
            <w:tcBorders>
              <w:top w:val="single" w:sz="8" w:color="E5FFFF"/>
            </w:tcBorders>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E5FFFF"/>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2380" w:type="dxa"/>
            <w:vAlign w:val="bottom"/>
            <w:tcBorders>
              <w:top w:val="single" w:sz="8" w:color="E5FFFF"/>
            </w:tcBorders>
            <w:shd w:val="clear" w:color="auto" w:fill="E5FFFF"/>
          </w:tcPr>
          <w:p>
            <w:pPr>
              <w:spacing w:after="0" w:line="20" w:lineRule="exact"/>
              <w:rPr>
                <w:sz w:val="1"/>
                <w:szCs w:val="1"/>
                <w:color w:val="auto"/>
              </w:rPr>
            </w:pPr>
          </w:p>
        </w:tc>
        <w:tc>
          <w:tcPr>
            <w:tcW w:w="12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20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18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080" w:type="dxa"/>
            <w:vAlign w:val="bottom"/>
            <w:tcBorders>
              <w:top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138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gridSpan w:val="4"/>
          </w:tcPr>
          <w:p>
            <w:pPr>
              <w:spacing w:after="0"/>
              <w:rPr>
                <w:sz w:val="20"/>
                <w:szCs w:val="20"/>
                <w:color w:val="auto"/>
              </w:rPr>
            </w:pPr>
            <w:r>
              <w:rPr>
                <w:rFonts w:ascii="Arial" w:cs="Arial" w:eastAsia="Arial" w:hAnsi="Arial"/>
                <w:sz w:val="16"/>
                <w:szCs w:val="16"/>
                <w:color w:val="auto"/>
              </w:rPr>
              <w:t>As of January 1, 2018</w:t>
            </w:r>
          </w:p>
        </w:tc>
        <w:tc>
          <w:tcPr>
            <w:tcW w:w="1200" w:type="dxa"/>
            <w:vAlign w:val="bottom"/>
          </w:tcPr>
          <w:p>
            <w:pPr>
              <w:jc w:val="right"/>
              <w:spacing w:after="0"/>
              <w:rPr>
                <w:sz w:val="20"/>
                <w:szCs w:val="20"/>
                <w:color w:val="auto"/>
              </w:rPr>
            </w:pPr>
            <w:r>
              <w:rPr>
                <w:rFonts w:ascii="Arial" w:cs="Arial" w:eastAsia="Arial" w:hAnsi="Arial"/>
                <w:sz w:val="16"/>
                <w:szCs w:val="16"/>
                <w:color w:val="auto"/>
              </w:rPr>
              <w:t>4,217,866</w:t>
            </w:r>
          </w:p>
        </w:tc>
        <w:tc>
          <w:tcPr>
            <w:tcW w:w="30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19,224</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4,237,090</w:t>
            </w:r>
          </w:p>
        </w:tc>
        <w:tc>
          <w:tcPr>
            <w:tcW w:w="1080" w:type="dxa"/>
            <w:vAlign w:val="bottom"/>
          </w:tcPr>
          <w:p>
            <w:pPr>
              <w:jc w:val="right"/>
              <w:spacing w:after="0"/>
              <w:rPr>
                <w:sz w:val="20"/>
                <w:szCs w:val="20"/>
                <w:color w:val="auto"/>
              </w:rPr>
            </w:pPr>
            <w:r>
              <w:rPr>
                <w:rFonts w:ascii="Arial" w:cs="Arial" w:eastAsia="Arial" w:hAnsi="Arial"/>
                <w:sz w:val="16"/>
                <w:szCs w:val="16"/>
                <w:color w:val="auto"/>
              </w:rPr>
              <w:t>166,655</w:t>
            </w:r>
          </w:p>
        </w:tc>
        <w:tc>
          <w:tcPr>
            <w:tcW w:w="2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228,523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Additions</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10,029</w:t>
            </w:r>
          </w:p>
        </w:tc>
        <w:tc>
          <w:tcPr>
            <w:tcW w:w="3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2,152</w:t>
            </w:r>
          </w:p>
        </w:tc>
        <w:tc>
          <w:tcPr>
            <w:tcW w:w="14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12,181</w:t>
            </w:r>
          </w:p>
        </w:tc>
        <w:tc>
          <w:tcPr>
            <w:tcW w:w="10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537,909</w:t>
            </w:r>
          </w:p>
        </w:tc>
        <w:tc>
          <w:tcPr>
            <w:tcW w:w="2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4"/>
          </w:tcPr>
          <w:p>
            <w:pPr>
              <w:spacing w:after="0"/>
              <w:rPr>
                <w:sz w:val="20"/>
                <w:szCs w:val="20"/>
                <w:color w:val="auto"/>
              </w:rPr>
            </w:pPr>
            <w:r>
              <w:rPr>
                <w:rFonts w:ascii="Arial" w:cs="Arial" w:eastAsia="Arial" w:hAnsi="Arial"/>
                <w:sz w:val="16"/>
                <w:szCs w:val="16"/>
                <w:color w:val="auto"/>
              </w:rPr>
              <w:t>Transfer from vessels under construction</w:t>
            </w:r>
          </w:p>
        </w:tc>
        <w:tc>
          <w:tcPr>
            <w:tcW w:w="1200" w:type="dxa"/>
            <w:vAlign w:val="bottom"/>
          </w:tcPr>
          <w:p>
            <w:pPr>
              <w:jc w:val="right"/>
              <w:spacing w:after="0"/>
              <w:rPr>
                <w:sz w:val="20"/>
                <w:szCs w:val="20"/>
                <w:color w:val="auto"/>
              </w:rPr>
            </w:pPr>
            <w:r>
              <w:rPr>
                <w:rFonts w:ascii="Arial" w:cs="Arial" w:eastAsia="Arial" w:hAnsi="Arial"/>
                <w:sz w:val="16"/>
                <w:szCs w:val="16"/>
                <w:color w:val="auto"/>
              </w:rPr>
              <w:t>642,168</w:t>
            </w:r>
          </w:p>
        </w:tc>
        <w:tc>
          <w:tcPr>
            <w:tcW w:w="30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642,168</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(642,168)</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Transfer under “Other non-current assets”</w:t>
            </w:r>
          </w:p>
        </w:tc>
        <w:tc>
          <w:tcPr>
            <w:tcW w:w="150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(1,650)</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00" w:type="dxa"/>
            <w:vAlign w:val="bottom"/>
            <w:gridSpan w:val="5"/>
          </w:tcPr>
          <w:p>
            <w:pPr>
              <w:spacing w:after="0"/>
              <w:rPr>
                <w:sz w:val="20"/>
                <w:szCs w:val="20"/>
                <w:color w:val="auto"/>
              </w:rPr>
            </w:pPr>
            <w:r>
              <w:rPr>
                <w:rFonts w:ascii="Arial" w:cs="Arial" w:eastAsia="Arial" w:hAnsi="Arial"/>
                <w:sz w:val="16"/>
                <w:szCs w:val="16"/>
                <w:color w:val="auto"/>
              </w:rPr>
              <w:t>Fully amortized fixed assets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(2,500</w:t>
            </w: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(2,500)</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2018</w:t>
            </w: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4,867,563</w:t>
            </w:r>
          </w:p>
        </w:tc>
        <w:tc>
          <w:tcPr>
            <w:tcW w:w="30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21,376</w:t>
            </w:r>
          </w:p>
        </w:tc>
        <w:tc>
          <w:tcPr>
            <w:tcW w:w="28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4,888,939</w:t>
            </w:r>
          </w:p>
        </w:tc>
        <w:tc>
          <w:tcPr>
            <w:tcW w:w="30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60,746</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228,523</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180" w:type="dxa"/>
            <w:vAlign w:val="bottom"/>
            <w:gridSpan w:val="4"/>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Accumulated depreciation</w:t>
            </w:r>
          </w:p>
        </w:tc>
        <w:tc>
          <w:tcPr>
            <w:tcW w:w="120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2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18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08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3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As of January 1, 2018</w:t>
            </w:r>
          </w:p>
        </w:tc>
        <w:tc>
          <w:tcPr>
            <w:tcW w:w="2380" w:type="dxa"/>
            <w:vAlign w:val="bottom"/>
            <w:tcBorders>
              <w:top w:val="single" w:sz="8" w:color="E5FFFF"/>
            </w:tcBorders>
          </w:tcPr>
          <w:p>
            <w:pPr>
              <w:spacing w:after="0"/>
              <w:rPr>
                <w:sz w:val="17"/>
                <w:szCs w:val="17"/>
                <w:color w:val="auto"/>
              </w:rPr>
            </w:pPr>
          </w:p>
        </w:tc>
        <w:tc>
          <w:tcPr>
            <w:tcW w:w="1200" w:type="dxa"/>
            <w:vAlign w:val="bottom"/>
            <w:tcBorders>
              <w:top w:val="single" w:sz="8" w:color="E5FFFF"/>
            </w:tcBorders>
          </w:tcPr>
          <w:p>
            <w:pPr>
              <w:jc w:val="right"/>
              <w:spacing w:after="0"/>
              <w:rPr>
                <w:sz w:val="20"/>
                <w:szCs w:val="20"/>
                <w:color w:val="auto"/>
              </w:rPr>
            </w:pPr>
            <w:r>
              <w:rPr>
                <w:rFonts w:ascii="Arial" w:cs="Arial" w:eastAsia="Arial" w:hAnsi="Arial"/>
                <w:sz w:val="16"/>
                <w:szCs w:val="16"/>
                <w:color w:val="auto"/>
              </w:rPr>
              <w:t>460,815</w:t>
            </w:r>
          </w:p>
        </w:tc>
        <w:tc>
          <w:tcPr>
            <w:tcW w:w="300" w:type="dxa"/>
            <w:vAlign w:val="bottom"/>
            <w:tcBorders>
              <w:top w:val="single" w:sz="8" w:color="E5FFFF"/>
            </w:tcBorders>
          </w:tcPr>
          <w:p>
            <w:pPr>
              <w:spacing w:after="0"/>
              <w:rPr>
                <w:sz w:val="17"/>
                <w:szCs w:val="17"/>
                <w:color w:val="auto"/>
              </w:rPr>
            </w:pPr>
          </w:p>
        </w:tc>
        <w:tc>
          <w:tcPr>
            <w:tcW w:w="1480" w:type="dxa"/>
            <w:vAlign w:val="bottom"/>
            <w:tcBorders>
              <w:top w:val="single" w:sz="8" w:color="E5FFFF"/>
            </w:tcBorders>
            <w:gridSpan w:val="2"/>
          </w:tcPr>
          <w:p>
            <w:pPr>
              <w:jc w:val="right"/>
              <w:ind w:right="280"/>
              <w:spacing w:after="0"/>
              <w:rPr>
                <w:sz w:val="20"/>
                <w:szCs w:val="20"/>
                <w:color w:val="auto"/>
              </w:rPr>
            </w:pPr>
            <w:r>
              <w:rPr>
                <w:rFonts w:ascii="Arial" w:cs="Arial" w:eastAsia="Arial" w:hAnsi="Arial"/>
                <w:sz w:val="16"/>
                <w:szCs w:val="16"/>
                <w:color w:val="auto"/>
              </w:rPr>
              <w:t>3,709</w:t>
            </w:r>
          </w:p>
        </w:tc>
        <w:tc>
          <w:tcPr>
            <w:tcW w:w="1480" w:type="dxa"/>
            <w:vAlign w:val="bottom"/>
            <w:tcBorders>
              <w:top w:val="single" w:sz="8" w:color="E5FFFF"/>
            </w:tcBorders>
            <w:gridSpan w:val="2"/>
          </w:tcPr>
          <w:p>
            <w:pPr>
              <w:jc w:val="right"/>
              <w:ind w:right="300"/>
              <w:spacing w:after="0"/>
              <w:rPr>
                <w:sz w:val="20"/>
                <w:szCs w:val="20"/>
                <w:color w:val="auto"/>
              </w:rPr>
            </w:pPr>
            <w:r>
              <w:rPr>
                <w:rFonts w:ascii="Arial" w:cs="Arial" w:eastAsia="Arial" w:hAnsi="Arial"/>
                <w:sz w:val="16"/>
                <w:szCs w:val="16"/>
                <w:color w:val="auto"/>
              </w:rPr>
              <w:t>464,524</w:t>
            </w:r>
          </w:p>
        </w:tc>
        <w:tc>
          <w:tcPr>
            <w:tcW w:w="1280" w:type="dxa"/>
            <w:vAlign w:val="bottom"/>
            <w:tcBorders>
              <w:top w:val="single" w:sz="8" w:color="E5FF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E5FFFF"/>
            </w:tcBorders>
            <w:gridSpan w:val="2"/>
          </w:tcPr>
          <w:p>
            <w:pPr>
              <w:jc w:val="right"/>
              <w:ind w:right="100"/>
              <w:spacing w:after="0"/>
              <w:rPr>
                <w:sz w:val="20"/>
                <w:szCs w:val="20"/>
                <w:color w:val="auto"/>
              </w:rPr>
            </w:pPr>
            <w:r>
              <w:rPr>
                <w:rFonts w:ascii="Arial" w:cs="Arial" w:eastAsia="Arial" w:hAnsi="Arial"/>
                <w:sz w:val="16"/>
                <w:szCs w:val="16"/>
                <w:color w:val="auto"/>
              </w:rPr>
              <w:t>14,194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4"/>
            <w:shd w:val="clear" w:color="auto" w:fill="E5FFFF"/>
          </w:tcPr>
          <w:p>
            <w:pPr>
              <w:spacing w:after="0"/>
              <w:rPr>
                <w:sz w:val="20"/>
                <w:szCs w:val="20"/>
                <w:color w:val="auto"/>
              </w:rPr>
            </w:pPr>
            <w:r>
              <w:rPr>
                <w:rFonts w:ascii="Arial" w:cs="Arial" w:eastAsia="Arial" w:hAnsi="Arial"/>
                <w:sz w:val="16"/>
                <w:szCs w:val="16"/>
                <w:color w:val="auto"/>
              </w:rPr>
              <w:t>Depreciation expense</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33,421</w:t>
            </w:r>
          </w:p>
        </w:tc>
        <w:tc>
          <w:tcPr>
            <w:tcW w:w="30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206</w:t>
            </w:r>
          </w:p>
        </w:tc>
        <w:tc>
          <w:tcPr>
            <w:tcW w:w="1480" w:type="dxa"/>
            <w:vAlign w:val="bottom"/>
            <w:gridSpan w:val="2"/>
            <w:shd w:val="clear" w:color="auto" w:fill="E5FFFF"/>
          </w:tcPr>
          <w:p>
            <w:pPr>
              <w:jc w:val="right"/>
              <w:ind w:right="300"/>
              <w:spacing w:after="0"/>
              <w:rPr>
                <w:sz w:val="20"/>
                <w:szCs w:val="20"/>
                <w:color w:val="auto"/>
              </w:rPr>
            </w:pPr>
            <w:r>
              <w:rPr>
                <w:rFonts w:ascii="Arial" w:cs="Arial" w:eastAsia="Arial" w:hAnsi="Arial"/>
                <w:sz w:val="16"/>
                <w:szCs w:val="16"/>
                <w:color w:val="auto"/>
              </w:rPr>
              <w:t>33,627</w:t>
            </w:r>
          </w:p>
        </w:tc>
        <w:tc>
          <w:tcPr>
            <w:tcW w:w="12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16"/>
        </w:trPr>
        <w:tc>
          <w:tcPr>
            <w:tcW w:w="4200" w:type="dxa"/>
            <w:vAlign w:val="bottom"/>
            <w:gridSpan w:val="5"/>
          </w:tcPr>
          <w:p>
            <w:pPr>
              <w:spacing w:after="0"/>
              <w:rPr>
                <w:sz w:val="20"/>
                <w:szCs w:val="20"/>
                <w:color w:val="auto"/>
              </w:rPr>
            </w:pPr>
            <w:r>
              <w:rPr>
                <w:rFonts w:ascii="Arial" w:cs="Arial" w:eastAsia="Arial" w:hAnsi="Arial"/>
                <w:sz w:val="16"/>
                <w:szCs w:val="16"/>
                <w:color w:val="auto"/>
              </w:rPr>
              <w:t>Fully amortized fixed assets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(2,500</w:t>
            </w: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(2,500)</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2018</w:t>
            </w: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491,736</w:t>
            </w:r>
          </w:p>
        </w:tc>
        <w:tc>
          <w:tcPr>
            <w:tcW w:w="30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3,915</w:t>
            </w:r>
          </w:p>
        </w:tc>
        <w:tc>
          <w:tcPr>
            <w:tcW w:w="28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495,651</w:t>
            </w:r>
          </w:p>
        </w:tc>
        <w:tc>
          <w:tcPr>
            <w:tcW w:w="30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16,096</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80" w:type="dxa"/>
            <w:vAlign w:val="bottom"/>
            <w:gridSpan w:val="4"/>
            <w:shd w:val="clear" w:color="auto" w:fill="E5FFFF"/>
          </w:tcPr>
          <w:p>
            <w:pPr>
              <w:spacing w:after="0" w:line="162" w:lineRule="exact"/>
              <w:rPr>
                <w:sz w:val="20"/>
                <w:szCs w:val="20"/>
                <w:color w:val="auto"/>
              </w:rPr>
            </w:pPr>
            <w:r>
              <w:rPr>
                <w:rFonts w:ascii="Arial" w:cs="Arial" w:eastAsia="Arial" w:hAnsi="Arial"/>
                <w:sz w:val="16"/>
                <w:szCs w:val="16"/>
                <w:b w:val="1"/>
                <w:bCs w:val="1"/>
                <w:color w:val="auto"/>
              </w:rPr>
              <w:t>Net book value</w:t>
            </w:r>
          </w:p>
        </w:tc>
        <w:tc>
          <w:tcPr>
            <w:tcW w:w="120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20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18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08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3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720" w:type="dxa"/>
            <w:vAlign w:val="bottom"/>
            <w:tcBorders>
              <w:top w:val="single" w:sz="8" w:color="auto"/>
            </w:tcBorders>
            <w:shd w:val="clear" w:color="auto" w:fill="E5FFFF"/>
          </w:tcPr>
          <w:p>
            <w:pPr>
              <w:spacing w:after="0" w:line="20" w:lineRule="exact"/>
              <w:rPr>
                <w:sz w:val="1"/>
                <w:szCs w:val="1"/>
                <w:color w:val="auto"/>
              </w:rPr>
            </w:pPr>
          </w:p>
        </w:tc>
        <w:tc>
          <w:tcPr>
            <w:tcW w:w="780" w:type="dxa"/>
            <w:vAlign w:val="bottom"/>
            <w:tcBorders>
              <w:top w:val="single" w:sz="8" w:color="E5FFFF"/>
            </w:tcBorders>
            <w:shd w:val="clear" w:color="auto" w:fill="E5FFFF"/>
          </w:tcPr>
          <w:p>
            <w:pPr>
              <w:spacing w:after="0" w:line="20" w:lineRule="exact"/>
              <w:rPr>
                <w:sz w:val="1"/>
                <w:szCs w:val="1"/>
                <w:color w:val="auto"/>
              </w:rPr>
            </w:pPr>
          </w:p>
        </w:tc>
        <w:tc>
          <w:tcPr>
            <w:tcW w:w="2380" w:type="dxa"/>
            <w:vAlign w:val="bottom"/>
            <w:tcBorders>
              <w:top w:val="single" w:sz="8" w:color="E5FFFF"/>
            </w:tcBorders>
            <w:shd w:val="clear" w:color="auto" w:fill="E5FFFF"/>
          </w:tcPr>
          <w:p>
            <w:pPr>
              <w:spacing w:after="0" w:line="20" w:lineRule="exact"/>
              <w:rPr>
                <w:sz w:val="1"/>
                <w:szCs w:val="1"/>
                <w:color w:val="auto"/>
              </w:rPr>
            </w:pPr>
          </w:p>
        </w:tc>
        <w:tc>
          <w:tcPr>
            <w:tcW w:w="120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20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180" w:type="dxa"/>
            <w:vAlign w:val="bottom"/>
            <w:tcBorders>
              <w:top w:val="single" w:sz="8" w:color="E5FFFF"/>
            </w:tcBorders>
            <w:shd w:val="clear" w:color="auto" w:fill="E5FFFF"/>
          </w:tcPr>
          <w:p>
            <w:pPr>
              <w:spacing w:after="0" w:line="20" w:lineRule="exact"/>
              <w:rPr>
                <w:sz w:val="1"/>
                <w:szCs w:val="1"/>
                <w:color w:val="auto"/>
              </w:rPr>
            </w:pPr>
          </w:p>
        </w:tc>
        <w:tc>
          <w:tcPr>
            <w:tcW w:w="300" w:type="dxa"/>
            <w:vAlign w:val="bottom"/>
            <w:tcBorders>
              <w:top w:val="single" w:sz="8" w:color="E5FFFF"/>
            </w:tcBorders>
            <w:shd w:val="clear" w:color="auto" w:fill="E5FFFF"/>
          </w:tcPr>
          <w:p>
            <w:pPr>
              <w:spacing w:after="0" w:line="20" w:lineRule="exact"/>
              <w:rPr>
                <w:sz w:val="1"/>
                <w:szCs w:val="1"/>
                <w:color w:val="auto"/>
              </w:rPr>
            </w:pPr>
          </w:p>
        </w:tc>
        <w:tc>
          <w:tcPr>
            <w:tcW w:w="1080" w:type="dxa"/>
            <w:vAlign w:val="bottom"/>
            <w:tcBorders>
              <w:top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1380" w:type="dxa"/>
            <w:vAlign w:val="bottom"/>
            <w:tcBorders>
              <w:top w:val="single" w:sz="8" w:color="E5FFFF"/>
            </w:tcBorders>
            <w:shd w:val="clear" w:color="auto" w:fill="E5FFFF"/>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gridSpan w:val="4"/>
          </w:tcPr>
          <w:p>
            <w:pPr>
              <w:spacing w:after="0"/>
              <w:rPr>
                <w:sz w:val="20"/>
                <w:szCs w:val="20"/>
                <w:color w:val="auto"/>
              </w:rPr>
            </w:pPr>
            <w:r>
              <w:rPr>
                <w:rFonts w:ascii="Arial" w:cs="Arial" w:eastAsia="Arial" w:hAnsi="Arial"/>
                <w:sz w:val="16"/>
                <w:szCs w:val="16"/>
                <w:b w:val="1"/>
                <w:bCs w:val="1"/>
                <w:color w:val="auto"/>
              </w:rPr>
              <w:t>As of December 31, 2017</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3,757,051</w:t>
            </w:r>
          </w:p>
        </w:tc>
        <w:tc>
          <w:tcPr>
            <w:tcW w:w="30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15,515</w:t>
            </w:r>
          </w:p>
        </w:tc>
        <w:tc>
          <w:tcPr>
            <w:tcW w:w="14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3,772,566</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166,655</w:t>
            </w:r>
          </w:p>
        </w:tc>
        <w:tc>
          <w:tcPr>
            <w:tcW w:w="20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214,329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6"/>
                <w:szCs w:val="16"/>
                <w:b w:val="1"/>
                <w:bCs w:val="1"/>
                <w:color w:val="auto"/>
              </w:rPr>
              <w:t>As of March 31, 2018</w:t>
            </w: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4,375,827</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17,461</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4,393,288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0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60,746</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212,427</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firstLine="436"/>
        <w:spacing w:after="0" w:line="293" w:lineRule="auto"/>
        <w:rPr>
          <w:sz w:val="20"/>
          <w:szCs w:val="20"/>
          <w:color w:val="auto"/>
        </w:rPr>
      </w:pPr>
      <w:r>
        <w:rPr>
          <w:rFonts w:ascii="Arial" w:cs="Arial" w:eastAsia="Arial" w:hAnsi="Arial"/>
          <w:sz w:val="16"/>
          <w:szCs w:val="16"/>
          <w:color w:val="auto"/>
        </w:rPr>
        <w:t>Vessels with an aggregate carrying amount of $4,375,827 as of March 31, 2018 (December 31, 2017: $3,757,051) have been pledged as collateral under the terms of the Group’s loan agreements.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Vessels under construction</w:t>
      </w:r>
    </w:p>
    <w:p>
      <w:pPr>
        <w:spacing w:after="0" w:line="235" w:lineRule="exact"/>
        <w:rPr>
          <w:sz w:val="20"/>
          <w:szCs w:val="20"/>
          <w:color w:val="auto"/>
        </w:rPr>
      </w:pPr>
    </w:p>
    <w:p>
      <w:pPr>
        <w:ind w:right="20" w:firstLine="436"/>
        <w:spacing w:after="0" w:line="278" w:lineRule="auto"/>
        <w:rPr>
          <w:sz w:val="20"/>
          <w:szCs w:val="20"/>
          <w:color w:val="auto"/>
        </w:rPr>
      </w:pPr>
      <w:r>
        <w:rPr>
          <w:rFonts w:ascii="Arial" w:cs="Arial" w:eastAsia="Arial" w:hAnsi="Arial"/>
          <w:sz w:val="16"/>
          <w:szCs w:val="16"/>
          <w:color w:val="auto"/>
        </w:rPr>
        <w:t xml:space="preserve">In May 2014, GAS-twenty two Ltd. and GAS-twenty three Ltd. entered into shipbuilding contracts with Samsung Heavy Industries Co. Ltd. (“Samsung”) for the construction of two LNG carriers (174,000 cubic meters each). The first vessel, the </w:t>
      </w:r>
      <w:r>
        <w:rPr>
          <w:rFonts w:ascii="Arial" w:cs="Arial" w:eastAsia="Arial" w:hAnsi="Arial"/>
          <w:sz w:val="16"/>
          <w:szCs w:val="16"/>
          <w:i w:val="1"/>
          <w:iCs w:val="1"/>
          <w:color w:val="auto"/>
        </w:rPr>
        <w:t>GasLog Genoa</w:t>
      </w:r>
      <w:r>
        <w:rPr>
          <w:rFonts w:ascii="Arial" w:cs="Arial" w:eastAsia="Arial" w:hAnsi="Arial"/>
          <w:sz w:val="16"/>
          <w:szCs w:val="16"/>
          <w:color w:val="auto"/>
        </w:rPr>
        <w:t>, was delivered on March 29, 2018, while the second vessel is expected to be delivered in the first quarter of 2019.</w:t>
      </w:r>
    </w:p>
    <w:p>
      <w:pPr>
        <w:spacing w:after="0" w:line="184" w:lineRule="exact"/>
        <w:rPr>
          <w:sz w:val="20"/>
          <w:szCs w:val="20"/>
          <w:color w:val="auto"/>
        </w:rPr>
      </w:pPr>
    </w:p>
    <w:p>
      <w:pPr>
        <w:ind w:right="200" w:firstLine="436"/>
        <w:spacing w:after="0" w:line="278" w:lineRule="auto"/>
        <w:rPr>
          <w:sz w:val="20"/>
          <w:szCs w:val="20"/>
          <w:color w:val="auto"/>
        </w:rPr>
      </w:pPr>
      <w:r>
        <w:rPr>
          <w:rFonts w:ascii="Arial" w:cs="Arial" w:eastAsia="Arial" w:hAnsi="Arial"/>
          <w:sz w:val="16"/>
          <w:szCs w:val="16"/>
          <w:color w:val="auto"/>
        </w:rPr>
        <w:t xml:space="preserve">In June 2014, GAS-twenty four Ltd. and GAS-twenty five Ltd. entered into shipbuilding contracts with Hyundai Heavy Industries Co., Ltd. (“Hyundai”) for the construction of two LNG carriers (174,000 cubic meters each). The first vessel, the </w:t>
      </w:r>
      <w:r>
        <w:rPr>
          <w:rFonts w:ascii="Arial" w:cs="Arial" w:eastAsia="Arial" w:hAnsi="Arial"/>
          <w:sz w:val="16"/>
          <w:szCs w:val="16"/>
          <w:i w:val="1"/>
          <w:iCs w:val="1"/>
          <w:color w:val="auto"/>
        </w:rPr>
        <w:t>GasLog Houston</w:t>
      </w:r>
      <w:r>
        <w:rPr>
          <w:rFonts w:ascii="Arial" w:cs="Arial" w:eastAsia="Arial" w:hAnsi="Arial"/>
          <w:sz w:val="16"/>
          <w:szCs w:val="16"/>
          <w:color w:val="auto"/>
        </w:rPr>
        <w:t xml:space="preserve">, was delivered on January 8, 2018, while the second vessel,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Hong Kong</w:t>
      </w:r>
      <w:r>
        <w:rPr>
          <w:rFonts w:ascii="Arial" w:cs="Arial" w:eastAsia="Arial" w:hAnsi="Arial"/>
          <w:sz w:val="16"/>
          <w:szCs w:val="16"/>
          <w:color w:val="auto"/>
        </w:rPr>
        <w:t>, was delivered on March 20, 2018.</w:t>
      </w:r>
    </w:p>
    <w:p>
      <w:pPr>
        <w:spacing w:after="0" w:line="184" w:lineRule="exact"/>
        <w:rPr>
          <w:sz w:val="20"/>
          <w:szCs w:val="20"/>
          <w:color w:val="auto"/>
        </w:rPr>
      </w:pPr>
    </w:p>
    <w:p>
      <w:pPr>
        <w:ind w:right="20" w:firstLine="436"/>
        <w:spacing w:after="0" w:line="293" w:lineRule="auto"/>
        <w:rPr>
          <w:sz w:val="20"/>
          <w:szCs w:val="20"/>
          <w:color w:val="auto"/>
        </w:rPr>
      </w:pPr>
      <w:r>
        <w:rPr>
          <w:rFonts w:ascii="Arial" w:cs="Arial" w:eastAsia="Arial" w:hAnsi="Arial"/>
          <w:sz w:val="16"/>
          <w:szCs w:val="16"/>
          <w:color w:val="auto"/>
        </w:rPr>
        <w:t>In September 2016, GAS-twenty nine Ltd. entered into a shipbuilding contract with Samsung for the construction of one LNG carrier (180,000 cubic meters). The vessel is expected to be delivered in the third quarter of 2019.</w:t>
      </w:r>
    </w:p>
    <w:p>
      <w:pPr>
        <w:spacing w:after="0" w:line="172" w:lineRule="exact"/>
        <w:rPr>
          <w:sz w:val="20"/>
          <w:szCs w:val="20"/>
          <w:color w:val="auto"/>
        </w:rPr>
      </w:pPr>
    </w:p>
    <w:p>
      <w:pPr>
        <w:ind w:right="100" w:firstLine="436"/>
        <w:spacing w:after="0" w:line="293" w:lineRule="auto"/>
        <w:rPr>
          <w:sz w:val="20"/>
          <w:szCs w:val="20"/>
          <w:color w:val="auto"/>
        </w:rPr>
      </w:pPr>
      <w:r>
        <w:rPr>
          <w:rFonts w:ascii="Arial" w:cs="Arial" w:eastAsia="Arial" w:hAnsi="Arial"/>
          <w:sz w:val="16"/>
          <w:szCs w:val="16"/>
          <w:color w:val="auto"/>
        </w:rPr>
        <w:t>On March 21, 2017, GasLog entered into a Heads of Agreement (“HOA”) with Samsung for the engineering in relation to the potential FSRU conversion of an existing vessel of the Group. As of March 31, 2018, $3,400 of the cost was paid, in accordance with the payment terms.</w:t>
      </w:r>
    </w:p>
    <w:p>
      <w:pPr>
        <w:spacing w:after="0" w:line="172" w:lineRule="exact"/>
        <w:rPr>
          <w:sz w:val="20"/>
          <w:szCs w:val="20"/>
          <w:color w:val="auto"/>
        </w:rPr>
      </w:pPr>
    </w:p>
    <w:p>
      <w:pPr>
        <w:ind w:right="240" w:firstLine="436"/>
        <w:spacing w:after="0" w:line="293" w:lineRule="auto"/>
        <w:rPr>
          <w:sz w:val="20"/>
          <w:szCs w:val="20"/>
          <w:color w:val="auto"/>
        </w:rPr>
      </w:pPr>
      <w:r>
        <w:rPr>
          <w:rFonts w:ascii="Arial" w:cs="Arial" w:eastAsia="Arial" w:hAnsi="Arial"/>
          <w:sz w:val="16"/>
          <w:szCs w:val="16"/>
          <w:color w:val="auto"/>
        </w:rPr>
        <w:t>On July 10, 2017, GasLog entered into an agreement with Keppel Shipyard Limited (“Keppel”) for the detailed engineering in relation to an FSRU conversion of one vessel. As of March 31, 2018, $4,111 of the cost was paid, in accordance with the payment terms.</w:t>
      </w:r>
    </w:p>
    <w:p>
      <w:pPr>
        <w:spacing w:after="0" w:line="172" w:lineRule="exact"/>
        <w:rPr>
          <w:sz w:val="20"/>
          <w:szCs w:val="20"/>
          <w:color w:val="auto"/>
        </w:rPr>
      </w:pPr>
    </w:p>
    <w:p>
      <w:pPr>
        <w:ind w:firstLine="436"/>
        <w:spacing w:after="0" w:line="293" w:lineRule="auto"/>
        <w:rPr>
          <w:sz w:val="20"/>
          <w:szCs w:val="20"/>
          <w:color w:val="auto"/>
        </w:rPr>
      </w:pPr>
      <w:r>
        <w:rPr>
          <w:rFonts w:ascii="Arial" w:cs="Arial" w:eastAsia="Arial" w:hAnsi="Arial"/>
          <w:sz w:val="16"/>
          <w:szCs w:val="16"/>
          <w:color w:val="auto"/>
        </w:rPr>
        <w:t>In January 2018, GAS-twenty eight Ltd. entered into a shipbuilding contract with Samsung for the construction of one LNG carrier (180,000 cubic meters). The vessel is expected to be delivered in the second quarter of 2020.</w:t>
      </w:r>
    </w:p>
    <w:p>
      <w:pPr>
        <w:spacing w:after="0" w:line="172" w:lineRule="exact"/>
        <w:rPr>
          <w:sz w:val="20"/>
          <w:szCs w:val="20"/>
          <w:color w:val="auto"/>
        </w:rPr>
      </w:pPr>
    </w:p>
    <w:p>
      <w:pPr>
        <w:ind w:right="260" w:firstLine="436"/>
        <w:spacing w:after="0" w:line="293" w:lineRule="auto"/>
        <w:rPr>
          <w:sz w:val="20"/>
          <w:szCs w:val="20"/>
          <w:color w:val="auto"/>
        </w:rPr>
      </w:pPr>
      <w:r>
        <w:rPr>
          <w:rFonts w:ascii="Arial" w:cs="Arial" w:eastAsia="Arial" w:hAnsi="Arial"/>
          <w:sz w:val="16"/>
          <w:szCs w:val="16"/>
          <w:color w:val="auto"/>
        </w:rPr>
        <w:t>In March 2018, GAS-thirty one Ltd. entered into a shipbuilding contract with Samsung for the construction of one LNG carrier (180,000 cubic meters). The vessel is expected to be delivered in the second quarter of 2020.</w:t>
      </w:r>
    </w:p>
    <w:p>
      <w:pPr>
        <w:spacing w:after="0" w:line="172" w:lineRule="exact"/>
        <w:rPr>
          <w:sz w:val="20"/>
          <w:szCs w:val="20"/>
          <w:color w:val="auto"/>
        </w:rPr>
      </w:pPr>
    </w:p>
    <w:p>
      <w:pPr>
        <w:ind w:right="40" w:firstLine="436"/>
        <w:spacing w:after="0" w:line="278" w:lineRule="auto"/>
        <w:rPr>
          <w:sz w:val="20"/>
          <w:szCs w:val="20"/>
          <w:color w:val="auto"/>
        </w:rPr>
      </w:pPr>
      <w:r>
        <w:rPr>
          <w:rFonts w:ascii="Arial" w:cs="Arial" w:eastAsia="Arial" w:hAnsi="Arial"/>
          <w:sz w:val="16"/>
          <w:szCs w:val="16"/>
          <w:color w:val="auto"/>
        </w:rPr>
        <w:t>Vessels under construction represent scheduled advance payments to the shipyards as well as certain capitalized expenditures. As of March 31, 2018, the Group has paid to the shipyard $56,886 for the vessels that are under construction and expects to pay the remaining installments as they come due upon each vessel’s keel laying, launching and delivery (Note 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ind w:left="440"/>
              <w:spacing w:after="0"/>
              <w:rPr>
                <w:sz w:val="20"/>
                <w:szCs w:val="20"/>
                <w:color w:val="auto"/>
              </w:rPr>
            </w:pPr>
            <w:r>
              <w:rPr>
                <w:rFonts w:ascii="Arial" w:cs="Arial" w:eastAsia="Arial" w:hAnsi="Arial"/>
                <w:sz w:val="16"/>
                <w:szCs w:val="16"/>
                <w:color w:val="auto"/>
              </w:rPr>
              <w:t>The vessels under construction costs as of December 31, 2017 and March 31, 2018 are as follows:</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762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2017</w:t>
            </w:r>
          </w:p>
        </w:tc>
        <w:tc>
          <w:tcPr>
            <w:tcW w:w="180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199"/>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Progress shipyard installments</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153,116</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56,994</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Onsite supervision costs</w:t>
            </w:r>
          </w:p>
        </w:tc>
        <w:tc>
          <w:tcPr>
            <w:tcW w:w="1700" w:type="dxa"/>
            <w:vAlign w:val="bottom"/>
          </w:tcPr>
          <w:p>
            <w:pPr>
              <w:jc w:val="right"/>
              <w:spacing w:after="0"/>
              <w:rPr>
                <w:sz w:val="20"/>
                <w:szCs w:val="20"/>
                <w:color w:val="auto"/>
              </w:rPr>
            </w:pPr>
            <w:r>
              <w:rPr>
                <w:rFonts w:ascii="Arial" w:cs="Arial" w:eastAsia="Arial" w:hAnsi="Arial"/>
                <w:sz w:val="16"/>
                <w:szCs w:val="16"/>
                <w:color w:val="auto"/>
              </w:rPr>
              <w:t>10,570</w:t>
            </w:r>
          </w:p>
        </w:tc>
        <w:tc>
          <w:tcPr>
            <w:tcW w:w="3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3,139</w:t>
            </w:r>
          </w:p>
        </w:tc>
        <w:tc>
          <w:tcPr>
            <w:tcW w:w="0" w:type="dxa"/>
            <w:vAlign w:val="bottom"/>
          </w:tcPr>
          <w:p>
            <w:pPr>
              <w:spacing w:after="0"/>
              <w:rPr>
                <w:sz w:val="1"/>
                <w:szCs w:val="1"/>
                <w:color w:val="auto"/>
              </w:rPr>
            </w:pPr>
          </w:p>
        </w:tc>
      </w:tr>
      <w:tr>
        <w:trPr>
          <w:trHeight w:val="203"/>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Critical spare parts, equipment and other vessel delivery expenses</w:t>
            </w:r>
          </w:p>
        </w:tc>
        <w:tc>
          <w:tcPr>
            <w:tcW w:w="1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2,969</w:t>
            </w:r>
          </w:p>
        </w:tc>
        <w:tc>
          <w:tcPr>
            <w:tcW w:w="300" w:type="dxa"/>
            <w:vAlign w:val="bottom"/>
            <w:shd w:val="clear" w:color="auto" w:fill="E5FFFF"/>
          </w:tcPr>
          <w:p>
            <w:pPr>
              <w:spacing w:after="0"/>
              <w:rPr>
                <w:sz w:val="17"/>
                <w:szCs w:val="17"/>
                <w:color w:val="auto"/>
              </w:rPr>
            </w:pP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166,655</w:t>
            </w:r>
          </w:p>
        </w:tc>
        <w:tc>
          <w:tcPr>
            <w:tcW w:w="3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6. Sale and Leaseback</w:t>
            </w: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20" w:type="dxa"/>
            <w:vAlign w:val="bottom"/>
          </w:tcPr>
          <w:p>
            <w:pPr>
              <w:ind w:left="420"/>
              <w:spacing w:after="0"/>
              <w:rPr>
                <w:sz w:val="20"/>
                <w:szCs w:val="20"/>
                <w:color w:val="auto"/>
              </w:rPr>
            </w:pPr>
            <w:r>
              <w:rPr>
                <w:rFonts w:ascii="Arial" w:cs="Arial" w:eastAsia="Arial" w:hAnsi="Arial"/>
                <w:sz w:val="16"/>
                <w:szCs w:val="16"/>
                <w:color w:val="auto"/>
              </w:rPr>
              <w:t>An analysis of the finance lease liabilities is as follows:</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20" w:type="dxa"/>
            <w:vAlign w:val="bottom"/>
          </w:tcPr>
          <w:p>
            <w:pPr>
              <w:spacing w:after="0"/>
              <w:rPr>
                <w:sz w:val="24"/>
                <w:szCs w:val="24"/>
                <w:color w:val="auto"/>
              </w:rPr>
            </w:pPr>
          </w:p>
        </w:tc>
        <w:tc>
          <w:tcPr>
            <w:tcW w:w="2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2017</w:t>
            </w:r>
          </w:p>
        </w:tc>
        <w:tc>
          <w:tcPr>
            <w:tcW w:w="180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188"/>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Finance lease liability, current portion</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6,302</w:t>
            </w:r>
          </w:p>
        </w:tc>
        <w:tc>
          <w:tcPr>
            <w:tcW w:w="300" w:type="dxa"/>
            <w:vAlign w:val="bottom"/>
            <w:tcBorders>
              <w:top w:val="single" w:sz="8" w:color="E5FFFF"/>
            </w:tcBorders>
            <w:shd w:val="clear" w:color="auto" w:fill="E5FFFF"/>
          </w:tcPr>
          <w:p>
            <w:pPr>
              <w:spacing w:after="0"/>
              <w:rPr>
                <w:sz w:val="16"/>
                <w:szCs w:val="16"/>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6,392</w:t>
            </w:r>
          </w:p>
        </w:tc>
        <w:tc>
          <w:tcPr>
            <w:tcW w:w="100" w:type="dxa"/>
            <w:vAlign w:val="bottom"/>
            <w:tcBorders>
              <w:top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0"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20" w:type="dxa"/>
            <w:vAlign w:val="bottom"/>
          </w:tcPr>
          <w:p>
            <w:pPr>
              <w:spacing w:after="0"/>
              <w:rPr>
                <w:sz w:val="20"/>
                <w:szCs w:val="20"/>
                <w:color w:val="auto"/>
              </w:rPr>
            </w:pPr>
            <w:r>
              <w:rPr>
                <w:rFonts w:ascii="Arial" w:cs="Arial" w:eastAsia="Arial" w:hAnsi="Arial"/>
                <w:sz w:val="16"/>
                <w:szCs w:val="16"/>
                <w:color w:val="auto"/>
              </w:rPr>
              <w:t>Finance lease liability, non-current portion</w:t>
            </w:r>
          </w:p>
        </w:tc>
        <w:tc>
          <w:tcPr>
            <w:tcW w:w="1700" w:type="dxa"/>
            <w:vAlign w:val="bottom"/>
          </w:tcPr>
          <w:p>
            <w:pPr>
              <w:jc w:val="right"/>
              <w:spacing w:after="0"/>
              <w:rPr>
                <w:sz w:val="20"/>
                <w:szCs w:val="20"/>
                <w:color w:val="auto"/>
              </w:rPr>
            </w:pPr>
            <w:r>
              <w:rPr>
                <w:rFonts w:ascii="Arial" w:cs="Arial" w:eastAsia="Arial" w:hAnsi="Arial"/>
                <w:sz w:val="16"/>
                <w:szCs w:val="16"/>
                <w:color w:val="auto"/>
              </w:rPr>
              <w:t>207,126</w:t>
            </w:r>
          </w:p>
        </w:tc>
        <w:tc>
          <w:tcPr>
            <w:tcW w:w="3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205,263</w:t>
            </w:r>
          </w:p>
        </w:tc>
        <w:tc>
          <w:tcPr>
            <w:tcW w:w="0" w:type="dxa"/>
            <w:vAlign w:val="bottom"/>
          </w:tcPr>
          <w:p>
            <w:pPr>
              <w:spacing w:after="0"/>
              <w:rPr>
                <w:sz w:val="1"/>
                <w:szCs w:val="1"/>
                <w:color w:val="auto"/>
              </w:rPr>
            </w:pPr>
          </w:p>
        </w:tc>
      </w:tr>
      <w:tr>
        <w:trPr>
          <w:trHeight w:val="199"/>
        </w:trPr>
        <w:tc>
          <w:tcPr>
            <w:tcW w:w="76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213,428</w:t>
            </w: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211,655</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7. Borrowings</w:t>
            </w: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20" w:type="dxa"/>
            <w:vAlign w:val="bottom"/>
          </w:tcPr>
          <w:p>
            <w:pPr>
              <w:ind w:left="440"/>
              <w:spacing w:after="0"/>
              <w:rPr>
                <w:sz w:val="20"/>
                <w:szCs w:val="20"/>
                <w:color w:val="auto"/>
              </w:rPr>
            </w:pPr>
            <w:r>
              <w:rPr>
                <w:rFonts w:ascii="Arial" w:cs="Arial" w:eastAsia="Arial" w:hAnsi="Arial"/>
                <w:sz w:val="16"/>
                <w:szCs w:val="16"/>
                <w:color w:val="auto"/>
              </w:rPr>
              <w:t>An analysis of the borrowings is as follows:</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620" w:type="dxa"/>
            <w:vAlign w:val="bottom"/>
          </w:tcPr>
          <w:p>
            <w:pPr>
              <w:spacing w:after="0"/>
              <w:rPr>
                <w:sz w:val="24"/>
                <w:szCs w:val="24"/>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December 31, 2017</w:t>
            </w:r>
          </w:p>
        </w:tc>
        <w:tc>
          <w:tcPr>
            <w:tcW w:w="18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199"/>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Amounts due within one year</w:t>
            </w: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188,167</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193,708</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rPr>
                <w:sz w:val="20"/>
                <w:szCs w:val="20"/>
                <w:color w:val="auto"/>
              </w:rPr>
            </w:pPr>
            <w:r>
              <w:rPr>
                <w:rFonts w:ascii="Arial" w:cs="Arial" w:eastAsia="Arial" w:hAnsi="Arial"/>
                <w:sz w:val="16"/>
                <w:szCs w:val="16"/>
                <w:color w:val="auto"/>
              </w:rPr>
              <w:t>Less: unamortized deferred loan/bond issuance costs</w:t>
            </w:r>
          </w:p>
        </w:tc>
        <w:tc>
          <w:tcPr>
            <w:tcW w:w="2000" w:type="dxa"/>
            <w:vAlign w:val="bottom"/>
            <w:gridSpan w:val="2"/>
          </w:tcPr>
          <w:p>
            <w:pPr>
              <w:jc w:val="right"/>
              <w:ind w:right="240"/>
              <w:spacing w:after="0"/>
              <w:rPr>
                <w:sz w:val="20"/>
                <w:szCs w:val="20"/>
                <w:color w:val="auto"/>
              </w:rPr>
            </w:pPr>
            <w:r>
              <w:rPr>
                <w:rFonts w:ascii="Arial" w:cs="Arial" w:eastAsia="Arial" w:hAnsi="Arial"/>
                <w:sz w:val="16"/>
                <w:szCs w:val="16"/>
                <w:color w:val="auto"/>
              </w:rPr>
              <w:t>(8,800)</w:t>
            </w:r>
          </w:p>
        </w:tc>
        <w:tc>
          <w:tcPr>
            <w:tcW w:w="1800" w:type="dxa"/>
            <w:vAlign w:val="bottom"/>
            <w:gridSpan w:val="2"/>
          </w:tcPr>
          <w:p>
            <w:pPr>
              <w:jc w:val="right"/>
              <w:ind w:right="60"/>
              <w:spacing w:after="0"/>
              <w:rPr>
                <w:sz w:val="20"/>
                <w:szCs w:val="20"/>
                <w:color w:val="auto"/>
              </w:rPr>
            </w:pPr>
            <w:r>
              <w:rPr>
                <w:rFonts w:ascii="Arial" w:cs="Arial" w:eastAsia="Arial" w:hAnsi="Arial"/>
                <w:sz w:val="16"/>
                <w:szCs w:val="16"/>
                <w:color w:val="auto"/>
              </w:rPr>
              <w:t>(11,264)</w:t>
            </w:r>
          </w:p>
        </w:tc>
        <w:tc>
          <w:tcPr>
            <w:tcW w:w="0" w:type="dxa"/>
            <w:vAlign w:val="bottom"/>
          </w:tcPr>
          <w:p>
            <w:pPr>
              <w:spacing w:after="0"/>
              <w:rPr>
                <w:sz w:val="1"/>
                <w:szCs w:val="1"/>
                <w:color w:val="auto"/>
              </w:rPr>
            </w:pPr>
          </w:p>
        </w:tc>
      </w:tr>
      <w:tr>
        <w:trPr>
          <w:trHeight w:val="196"/>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Borrowings, current portion</w:t>
            </w: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179,367</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182,444</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6"/>
                <w:szCs w:val="16"/>
                <w:color w:val="auto"/>
              </w:rPr>
              <w:t>Amounts due after one year</w:t>
            </w:r>
          </w:p>
        </w:tc>
        <w:tc>
          <w:tcPr>
            <w:tcW w:w="1700" w:type="dxa"/>
            <w:vAlign w:val="bottom"/>
          </w:tcPr>
          <w:p>
            <w:pPr>
              <w:jc w:val="right"/>
              <w:spacing w:after="0"/>
              <w:rPr>
                <w:sz w:val="20"/>
                <w:szCs w:val="20"/>
                <w:color w:val="auto"/>
              </w:rPr>
            </w:pPr>
            <w:r>
              <w:rPr>
                <w:rFonts w:ascii="Arial" w:cs="Arial" w:eastAsia="Arial" w:hAnsi="Arial"/>
                <w:sz w:val="16"/>
                <w:szCs w:val="16"/>
                <w:color w:val="auto"/>
              </w:rPr>
              <w:t>2,399,849</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2,813,348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20" w:type="dxa"/>
            <w:vAlign w:val="bottom"/>
            <w:shd w:val="clear" w:color="auto" w:fill="E5FFFF"/>
          </w:tcPr>
          <w:p>
            <w:pPr>
              <w:spacing w:after="0"/>
              <w:rPr>
                <w:sz w:val="20"/>
                <w:szCs w:val="20"/>
                <w:color w:val="auto"/>
              </w:rPr>
            </w:pPr>
            <w:r>
              <w:rPr>
                <w:rFonts w:ascii="Arial" w:cs="Arial" w:eastAsia="Arial" w:hAnsi="Arial"/>
                <w:sz w:val="16"/>
                <w:szCs w:val="16"/>
                <w:color w:val="auto"/>
              </w:rPr>
              <w:t>Less: unamortized deferred loan/bond issuance costs</w:t>
            </w:r>
          </w:p>
        </w:tc>
        <w:tc>
          <w:tcPr>
            <w:tcW w:w="200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(31,660)</w:t>
            </w:r>
          </w:p>
        </w:tc>
        <w:tc>
          <w:tcPr>
            <w:tcW w:w="18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(45,378)</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Borrowings, non-current portion</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2,368,189</w:t>
            </w:r>
          </w:p>
        </w:tc>
        <w:tc>
          <w:tcPr>
            <w:tcW w:w="300" w:type="dxa"/>
            <w:vAlign w:val="bottom"/>
            <w:tcBorders>
              <w:bottom w:val="single" w:sz="8" w:color="E5FF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2,767,970</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2,547,556</w:t>
            </w:r>
          </w:p>
        </w:tc>
        <w:tc>
          <w:tcPr>
            <w:tcW w:w="300" w:type="dxa"/>
            <w:vAlign w:val="bottom"/>
            <w:tcBorders>
              <w:bottom w:val="single" w:sz="8" w:color="E5FFFF"/>
            </w:tcBorders>
            <w:shd w:val="clear" w:color="auto" w:fill="E5FFFF"/>
          </w:tcPr>
          <w:p>
            <w:pPr>
              <w:spacing w:after="0"/>
              <w:rPr>
                <w:sz w:val="17"/>
                <w:szCs w:val="17"/>
                <w:color w:val="auto"/>
              </w:rPr>
            </w:pPr>
          </w:p>
        </w:tc>
        <w:tc>
          <w:tcPr>
            <w:tcW w:w="1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2,950,414</w:t>
            </w: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 Loans</w:t>
      </w:r>
    </w:p>
    <w:p>
      <w:pPr>
        <w:spacing w:after="0" w:line="235" w:lineRule="exact"/>
        <w:rPr>
          <w:sz w:val="20"/>
          <w:szCs w:val="20"/>
          <w:color w:val="auto"/>
        </w:rPr>
      </w:pPr>
    </w:p>
    <w:p>
      <w:pPr>
        <w:ind w:right="240" w:firstLine="383"/>
        <w:spacing w:after="0" w:line="305" w:lineRule="auto"/>
        <w:rPr>
          <w:sz w:val="20"/>
          <w:szCs w:val="20"/>
          <w:color w:val="auto"/>
        </w:rPr>
      </w:pPr>
      <w:r>
        <w:rPr>
          <w:rFonts w:ascii="Arial" w:cs="Arial" w:eastAsia="Arial" w:hAnsi="Arial"/>
          <w:sz w:val="15"/>
          <w:szCs w:val="15"/>
          <w:color w:val="auto"/>
        </w:rPr>
        <w:t>The main terms of the Group’s loan facilities in existence as of December 31, 2017 have been disclosed in the annual audited consolidated financial statements for the year ended December 31, 2017. Refer to Note 13 “Borrowings”. During the three months ended March 31, 2018, the Group, through GasLog Partners, prepaid in full the $29,750 of the outstanding debt of GAS-nineteen Ltd., GAS-twenty Ltd. and GAS-twenty one Ltd., which would have been originally due in April 2018.</w:t>
      </w:r>
    </w:p>
    <w:p>
      <w:pPr>
        <w:spacing w:after="0" w:line="166" w:lineRule="exact"/>
        <w:rPr>
          <w:sz w:val="20"/>
          <w:szCs w:val="20"/>
          <w:color w:val="auto"/>
        </w:rPr>
      </w:pPr>
    </w:p>
    <w:p>
      <w:pPr>
        <w:ind w:firstLine="436"/>
        <w:spacing w:after="0" w:line="293" w:lineRule="auto"/>
        <w:rPr>
          <w:sz w:val="20"/>
          <w:szCs w:val="20"/>
          <w:color w:val="auto"/>
        </w:rPr>
      </w:pPr>
      <w:r>
        <w:rPr>
          <w:rFonts w:ascii="Arial" w:cs="Arial" w:eastAsia="Arial" w:hAnsi="Arial"/>
          <w:sz w:val="16"/>
          <w:szCs w:val="16"/>
          <w:color w:val="auto"/>
        </w:rPr>
        <w:t>The carrying amount of the Group’s bank debt recognized in the unaudited condensed consolidated financial statements approximates its fair value after adjusting for the unamortized loan/bond issuance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Bonds</w:t>
      </w:r>
    </w:p>
    <w:p>
      <w:pPr>
        <w:spacing w:after="0" w:line="235" w:lineRule="exact"/>
        <w:rPr>
          <w:sz w:val="20"/>
          <w:szCs w:val="20"/>
          <w:color w:val="auto"/>
        </w:rPr>
      </w:pPr>
    </w:p>
    <w:p>
      <w:pPr>
        <w:ind w:right="580" w:firstLine="436"/>
        <w:spacing w:after="0" w:line="293" w:lineRule="auto"/>
        <w:rPr>
          <w:sz w:val="20"/>
          <w:szCs w:val="20"/>
          <w:color w:val="auto"/>
        </w:rPr>
      </w:pPr>
      <w:r>
        <w:rPr>
          <w:rFonts w:ascii="Arial" w:cs="Arial" w:eastAsia="Arial" w:hAnsi="Arial"/>
          <w:sz w:val="16"/>
          <w:szCs w:val="16"/>
          <w:color w:val="auto"/>
        </w:rPr>
        <w:t>The main terms of the Group’s senior unsecured NOK bonds maturing in 2021 (the “NOK 2021 Bonds”) have been disclosed in the annual audited consolidated financial statements for the year ended December 31, 2017. Refer to Note 13 “Borrowings”.</w:t>
      </w:r>
    </w:p>
    <w:p>
      <w:pPr>
        <w:spacing w:after="0" w:line="172" w:lineRule="exact"/>
        <w:rPr>
          <w:sz w:val="20"/>
          <w:szCs w:val="20"/>
          <w:color w:val="auto"/>
        </w:rPr>
      </w:pPr>
    </w:p>
    <w:p>
      <w:pPr>
        <w:ind w:right="60" w:firstLine="436"/>
        <w:spacing w:after="0" w:line="278" w:lineRule="auto"/>
        <w:rPr>
          <w:sz w:val="20"/>
          <w:szCs w:val="20"/>
          <w:color w:val="auto"/>
        </w:rPr>
      </w:pPr>
      <w:r>
        <w:rPr>
          <w:rFonts w:ascii="Arial" w:cs="Arial" w:eastAsia="Arial" w:hAnsi="Arial"/>
          <w:sz w:val="16"/>
          <w:szCs w:val="16"/>
          <w:color w:val="auto"/>
        </w:rPr>
        <w:t>The carrying amount under the NOK 2021 Bonds, net of unamortized financing costs, as of March 31, 2018 is $94,557 (December 31, 2017: $89,723, aggregate carrying amount under the NOK 2021 Bonds) while their aggregate fair value is $102,696 based on a USD/NOK exchange rate of 0.1277 as of March 31, 2018 (December 31, 2017: $97,416, based on a USD/NOK exchange rate of 0.1213).</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Group was in compliance with its financial covenants as of March 31, 2018.</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Related Party Transactions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Group has the following balances with related parties which have been included in the unaudited condensed consolidated statements of financial position: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9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Current Assets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9"/>
        </w:trPr>
        <w:tc>
          <w:tcPr>
            <w:tcW w:w="89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Dividends receivable and other amounts due from related parties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7620" w:type="dxa"/>
            <w:vAlign w:val="bottom"/>
          </w:tcPr>
          <w:p>
            <w:pPr>
              <w:spacing w:after="0"/>
              <w:rPr>
                <w:sz w:val="24"/>
                <w:szCs w:val="24"/>
                <w:color w:val="auto"/>
              </w:rPr>
            </w:pPr>
          </w:p>
        </w:tc>
        <w:tc>
          <w:tcPr>
            <w:tcW w:w="1340" w:type="dxa"/>
            <w:vAlign w:val="bottom"/>
          </w:tcPr>
          <w:p>
            <w:pPr>
              <w:jc w:val="center"/>
              <w:ind w:left="279"/>
              <w:spacing w:after="0"/>
              <w:rPr>
                <w:sz w:val="20"/>
                <w:szCs w:val="20"/>
                <w:color w:val="auto"/>
              </w:rPr>
            </w:pPr>
            <w:r>
              <w:rPr>
                <w:rFonts w:ascii="Arial" w:cs="Arial" w:eastAsia="Arial" w:hAnsi="Arial"/>
                <w:sz w:val="16"/>
                <w:szCs w:val="16"/>
                <w:b w:val="1"/>
                <w:bCs w:val="1"/>
                <w:color w:val="auto"/>
                <w:w w:val="90"/>
              </w:rPr>
              <w:t>December 31,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March 31,</w:t>
            </w:r>
          </w:p>
        </w:tc>
      </w:tr>
      <w:tr>
        <w:trPr>
          <w:trHeight w:val="213"/>
        </w:trPr>
        <w:tc>
          <w:tcPr>
            <w:tcW w:w="8960" w:type="dxa"/>
            <w:vAlign w:val="bottom"/>
            <w:gridSpan w:val="2"/>
          </w:tcPr>
          <w:p>
            <w:pPr>
              <w:jc w:val="center"/>
              <w:ind w:left="7899"/>
              <w:spacing w:after="0"/>
              <w:rPr>
                <w:sz w:val="20"/>
                <w:szCs w:val="20"/>
                <w:color w:val="auto"/>
              </w:rPr>
            </w:pPr>
            <w:r>
              <w:rPr>
                <w:rFonts w:ascii="Arial" w:cs="Arial" w:eastAsia="Arial" w:hAnsi="Arial"/>
                <w:sz w:val="16"/>
                <w:szCs w:val="16"/>
                <w:b w:val="1"/>
                <w:bCs w:val="1"/>
                <w:color w:val="auto"/>
                <w:w w:val="95"/>
              </w:rPr>
              <w:t>2017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r>
      <w:tr>
        <w:trPr>
          <w:trHeight w:val="199"/>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Dividends receivable from associate</w:t>
            </w:r>
          </w:p>
        </w:tc>
        <w:tc>
          <w:tcPr>
            <w:tcW w:w="134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125</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8960" w:type="dxa"/>
            <w:vAlign w:val="bottom"/>
            <w:gridSpan w:val="2"/>
          </w:tcPr>
          <w:p>
            <w:pPr>
              <w:spacing w:after="0"/>
              <w:rPr>
                <w:sz w:val="20"/>
                <w:szCs w:val="20"/>
                <w:color w:val="auto"/>
              </w:rPr>
            </w:pPr>
            <w:r>
              <w:rPr>
                <w:rFonts w:ascii="Arial" w:cs="Arial" w:eastAsia="Arial" w:hAnsi="Arial"/>
                <w:sz w:val="16"/>
                <w:szCs w:val="16"/>
                <w:color w:val="auto"/>
              </w:rPr>
              <w:t>Due from The Cool Pool Limited</w:t>
            </w:r>
          </w:p>
        </w:tc>
        <w:tc>
          <w:tcPr>
            <w:tcW w:w="360" w:type="dxa"/>
            <w:vAlign w:val="bottom"/>
          </w:tcPr>
          <w:p>
            <w:pPr>
              <w:jc w:val="right"/>
              <w:spacing w:after="0"/>
              <w:rPr>
                <w:sz w:val="20"/>
                <w:szCs w:val="20"/>
                <w:color w:val="auto"/>
              </w:rPr>
            </w:pPr>
            <w:r>
              <w:rPr>
                <w:rFonts w:ascii="Arial" w:cs="Arial" w:eastAsia="Arial" w:hAnsi="Arial"/>
                <w:sz w:val="16"/>
                <w:szCs w:val="16"/>
                <w:color w:val="auto"/>
                <w:w w:val="84"/>
              </w:rPr>
              <w:t>8,186</w:t>
            </w:r>
          </w:p>
        </w:tc>
        <w:tc>
          <w:tcPr>
            <w:tcW w:w="3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4,526</w:t>
            </w:r>
          </w:p>
        </w:tc>
      </w:tr>
      <w:tr>
        <w:trPr>
          <w:trHeight w:val="203"/>
        </w:trPr>
        <w:tc>
          <w:tcPr>
            <w:tcW w:w="89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Other receivables</w:t>
            </w:r>
          </w:p>
        </w:tc>
        <w:tc>
          <w:tcPr>
            <w:tcW w:w="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355</w:t>
            </w:r>
          </w:p>
        </w:tc>
        <w:tc>
          <w:tcPr>
            <w:tcW w:w="300" w:type="dxa"/>
            <w:vAlign w:val="bottom"/>
            <w:shd w:val="clear" w:color="auto" w:fill="E5FFFF"/>
          </w:tcPr>
          <w:p>
            <w:pPr>
              <w:spacing w:after="0"/>
              <w:rPr>
                <w:sz w:val="17"/>
                <w:szCs w:val="17"/>
                <w:color w:val="auto"/>
              </w:rPr>
            </w:pPr>
          </w:p>
        </w:tc>
        <w:tc>
          <w:tcPr>
            <w:tcW w:w="180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446</w:t>
            </w:r>
          </w:p>
        </w:tc>
      </w:tr>
      <w:tr>
        <w:trPr>
          <w:trHeight w:val="196"/>
        </w:trPr>
        <w:tc>
          <w:tcPr>
            <w:tcW w:w="76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3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8,666</w:t>
            </w:r>
          </w:p>
        </w:tc>
        <w:tc>
          <w:tcPr>
            <w:tcW w:w="3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5,735</w:t>
            </w:r>
          </w:p>
        </w:tc>
        <w:tc>
          <w:tcPr>
            <w:tcW w:w="100" w:type="dxa"/>
            <w:vAlign w:val="bottom"/>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3"/>
        </w:trPr>
        <w:tc>
          <w:tcPr>
            <w:tcW w:w="89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Current Liabilities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89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Amounts due to related parties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7620" w:type="dxa"/>
            <w:vAlign w:val="bottom"/>
          </w:tcPr>
          <w:p>
            <w:pPr>
              <w:spacing w:after="0"/>
              <w:rPr>
                <w:sz w:val="24"/>
                <w:szCs w:val="24"/>
                <w:color w:val="auto"/>
              </w:rPr>
            </w:pPr>
          </w:p>
        </w:tc>
        <w:tc>
          <w:tcPr>
            <w:tcW w:w="1340" w:type="dxa"/>
            <w:vAlign w:val="bottom"/>
          </w:tcPr>
          <w:p>
            <w:pPr>
              <w:jc w:val="center"/>
              <w:ind w:left="279"/>
              <w:spacing w:after="0"/>
              <w:rPr>
                <w:sz w:val="20"/>
                <w:szCs w:val="20"/>
                <w:color w:val="auto"/>
              </w:rPr>
            </w:pPr>
            <w:r>
              <w:rPr>
                <w:rFonts w:ascii="Arial" w:cs="Arial" w:eastAsia="Arial" w:hAnsi="Arial"/>
                <w:sz w:val="16"/>
                <w:szCs w:val="16"/>
                <w:b w:val="1"/>
                <w:bCs w:val="1"/>
                <w:color w:val="auto"/>
                <w:w w:val="90"/>
              </w:rPr>
              <w:t>December 31,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March 31,</w:t>
            </w:r>
          </w:p>
        </w:tc>
      </w:tr>
      <w:tr>
        <w:trPr>
          <w:trHeight w:val="213"/>
        </w:trPr>
        <w:tc>
          <w:tcPr>
            <w:tcW w:w="8960" w:type="dxa"/>
            <w:vAlign w:val="bottom"/>
            <w:gridSpan w:val="2"/>
          </w:tcPr>
          <w:p>
            <w:pPr>
              <w:jc w:val="center"/>
              <w:ind w:left="7899"/>
              <w:spacing w:after="0"/>
              <w:rPr>
                <w:sz w:val="20"/>
                <w:szCs w:val="20"/>
                <w:color w:val="auto"/>
              </w:rPr>
            </w:pPr>
            <w:r>
              <w:rPr>
                <w:rFonts w:ascii="Arial" w:cs="Arial" w:eastAsia="Arial" w:hAnsi="Arial"/>
                <w:sz w:val="16"/>
                <w:szCs w:val="16"/>
                <w:b w:val="1"/>
                <w:bCs w:val="1"/>
                <w:color w:val="auto"/>
                <w:w w:val="95"/>
              </w:rPr>
              <w:t>2017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r>
      <w:tr>
        <w:trPr>
          <w:trHeight w:val="199"/>
        </w:trPr>
        <w:tc>
          <w:tcPr>
            <w:tcW w:w="7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Ship management creditors</w:t>
            </w:r>
          </w:p>
        </w:tc>
        <w:tc>
          <w:tcPr>
            <w:tcW w:w="134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993</w:t>
            </w:r>
          </w:p>
        </w:tc>
        <w:tc>
          <w:tcPr>
            <w:tcW w:w="300" w:type="dxa"/>
            <w:vAlign w:val="bottom"/>
            <w:tcBorders>
              <w:top w:val="single" w:sz="8" w:color="E5FFFF"/>
            </w:tcBorders>
            <w:shd w:val="clear" w:color="auto" w:fill="E5FFFF"/>
          </w:tcPr>
          <w:p>
            <w:pPr>
              <w:spacing w:after="0"/>
              <w:rPr>
                <w:sz w:val="17"/>
                <w:szCs w:val="17"/>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top w:val="single" w:sz="8" w:color="E5FFFF"/>
            </w:tcBorders>
            <w:shd w:val="clear" w:color="auto" w:fill="E5FFFF"/>
          </w:tcPr>
          <w:p>
            <w:pPr>
              <w:spacing w:after="0"/>
              <w:rPr>
                <w:sz w:val="17"/>
                <w:szCs w:val="17"/>
                <w:color w:val="auto"/>
              </w:rPr>
            </w:pPr>
          </w:p>
        </w:tc>
      </w:tr>
      <w:tr>
        <w:trPr>
          <w:trHeight w:val="206"/>
        </w:trPr>
        <w:tc>
          <w:tcPr>
            <w:tcW w:w="8960" w:type="dxa"/>
            <w:vAlign w:val="bottom"/>
            <w:gridSpan w:val="2"/>
          </w:tcPr>
          <w:p>
            <w:pPr>
              <w:spacing w:after="0"/>
              <w:rPr>
                <w:sz w:val="20"/>
                <w:szCs w:val="20"/>
                <w:color w:val="auto"/>
              </w:rPr>
            </w:pPr>
            <w:r>
              <w:rPr>
                <w:rFonts w:ascii="Arial" w:cs="Arial" w:eastAsia="Arial" w:hAnsi="Arial"/>
                <w:sz w:val="16"/>
                <w:szCs w:val="16"/>
                <w:color w:val="auto"/>
              </w:rPr>
              <w:t>Amounts due to related parties</w:t>
            </w:r>
          </w:p>
        </w:tc>
        <w:tc>
          <w:tcPr>
            <w:tcW w:w="360" w:type="dxa"/>
            <w:vAlign w:val="bottom"/>
          </w:tcPr>
          <w:p>
            <w:pPr>
              <w:jc w:val="right"/>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Ship management creditors’ liability comprises cash collected from Egypt LNG Shipping Ltd. to cover the obligations of its vessel under the Group’s management.</w:t>
      </w:r>
    </w:p>
    <w:p>
      <w:pPr>
        <w:spacing w:after="0" w:line="246" w:lineRule="exact"/>
        <w:rPr>
          <w:sz w:val="20"/>
          <w:szCs w:val="20"/>
          <w:color w:val="auto"/>
        </w:rPr>
      </w:pPr>
    </w:p>
    <w:p>
      <w:pPr>
        <w:ind w:right="140" w:firstLine="436"/>
        <w:spacing w:after="0" w:line="293" w:lineRule="auto"/>
        <w:rPr>
          <w:sz w:val="20"/>
          <w:szCs w:val="20"/>
          <w:color w:val="auto"/>
        </w:rPr>
      </w:pPr>
      <w:r>
        <w:rPr>
          <w:rFonts w:ascii="Arial" w:cs="Arial" w:eastAsia="Arial" w:hAnsi="Arial"/>
          <w:sz w:val="16"/>
          <w:szCs w:val="16"/>
          <w:color w:val="auto"/>
        </w:rPr>
        <w:t>Amounts due to related parties of nil as of March 31, 2018 (December 31, 2017: $35) are expenses paid by a related party on behalf of the Group and payables to other related parties for the office lease and other operating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20"/>
                <w:szCs w:val="20"/>
                <w:color w:val="auto"/>
              </w:rPr>
            </w:pPr>
            <w:r>
              <w:rPr>
                <w:rFonts w:ascii="Arial" w:cs="Arial" w:eastAsia="Arial" w:hAnsi="Arial"/>
                <w:sz w:val="16"/>
                <w:szCs w:val="16"/>
                <w:b w:val="1"/>
                <w:bCs w:val="1"/>
                <w:color w:val="auto"/>
              </w:rPr>
              <w:t>9. Revenues from Contracts with Customers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9"/>
        </w:trPr>
        <w:tc>
          <w:tcPr>
            <w:tcW w:w="8100" w:type="dxa"/>
            <w:vAlign w:val="bottom"/>
          </w:tcPr>
          <w:p>
            <w:pPr>
              <w:ind w:left="440"/>
              <w:spacing w:after="0"/>
              <w:rPr>
                <w:sz w:val="20"/>
                <w:szCs w:val="20"/>
                <w:color w:val="auto"/>
              </w:rPr>
            </w:pPr>
            <w:r>
              <w:rPr>
                <w:rFonts w:ascii="Arial" w:cs="Arial" w:eastAsia="Arial" w:hAnsi="Arial"/>
                <w:sz w:val="16"/>
                <w:szCs w:val="16"/>
                <w:color w:val="auto"/>
              </w:rPr>
              <w:t>The Group has recognized the following amounts relating to revenues: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8100" w:type="dxa"/>
            <w:vAlign w:val="bottom"/>
          </w:tcPr>
          <w:p>
            <w:pPr>
              <w:spacing w:after="0"/>
              <w:rPr>
                <w:sz w:val="24"/>
                <w:szCs w:val="24"/>
                <w:color w:val="auto"/>
              </w:rPr>
            </w:pPr>
          </w:p>
        </w:tc>
        <w:tc>
          <w:tcPr>
            <w:tcW w:w="3320" w:type="dxa"/>
            <w:vAlign w:val="bottom"/>
            <w:gridSpan w:val="4"/>
          </w:tcPr>
          <w:p>
            <w:pPr>
              <w:ind w:left="64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810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2017</w:t>
            </w: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2018</w:t>
            </w:r>
          </w:p>
        </w:tc>
      </w:tr>
      <w:tr>
        <w:trPr>
          <w:trHeight w:val="199"/>
        </w:trPr>
        <w:tc>
          <w:tcPr>
            <w:tcW w:w="8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 from time charters</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120,702</w:t>
            </w:r>
          </w:p>
        </w:tc>
        <w:tc>
          <w:tcPr>
            <w:tcW w:w="200" w:type="dxa"/>
            <w:vAlign w:val="bottom"/>
            <w:tcBorders>
              <w:top w:val="single" w:sz="8" w:color="E5FFFF"/>
            </w:tcBorders>
            <w:shd w:val="clear" w:color="auto" w:fill="E5FFFF"/>
          </w:tcPr>
          <w:p>
            <w:pPr>
              <w:spacing w:after="0"/>
              <w:rPr>
                <w:sz w:val="17"/>
                <w:szCs w:val="17"/>
                <w:color w:val="auto"/>
              </w:rPr>
            </w:pP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124,894</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8100" w:type="dxa"/>
            <w:vAlign w:val="bottom"/>
          </w:tcPr>
          <w:p>
            <w:pPr>
              <w:spacing w:after="0"/>
              <w:rPr>
                <w:sz w:val="20"/>
                <w:szCs w:val="20"/>
                <w:color w:val="auto"/>
              </w:rPr>
            </w:pPr>
            <w:r>
              <w:rPr>
                <w:rFonts w:ascii="Arial" w:cs="Arial" w:eastAsia="Arial" w:hAnsi="Arial"/>
                <w:sz w:val="16"/>
                <w:szCs w:val="16"/>
                <w:color w:val="auto"/>
              </w:rPr>
              <w:t>Revenues from Cool Pool (GasLog vessels)</w:t>
            </w:r>
          </w:p>
        </w:tc>
        <w:tc>
          <w:tcPr>
            <w:tcW w:w="1700" w:type="dxa"/>
            <w:vAlign w:val="bottom"/>
            <w:gridSpan w:val="2"/>
          </w:tcPr>
          <w:p>
            <w:pPr>
              <w:jc w:val="right"/>
              <w:ind w:right="200"/>
              <w:spacing w:after="0"/>
              <w:rPr>
                <w:sz w:val="20"/>
                <w:szCs w:val="20"/>
                <w:color w:val="auto"/>
              </w:rPr>
            </w:pPr>
            <w:r>
              <w:rPr>
                <w:rFonts w:ascii="Arial" w:cs="Arial" w:eastAsia="Arial" w:hAnsi="Arial"/>
                <w:sz w:val="16"/>
                <w:szCs w:val="16"/>
                <w:color w:val="auto"/>
              </w:rPr>
              <w:t>7,355</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13,405</w:t>
            </w:r>
          </w:p>
        </w:tc>
      </w:tr>
      <w:tr>
        <w:trPr>
          <w:trHeight w:val="203"/>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Revenues from vessel management services</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228</w:t>
            </w:r>
          </w:p>
        </w:tc>
        <w:tc>
          <w:tcPr>
            <w:tcW w:w="200" w:type="dxa"/>
            <w:vAlign w:val="bottom"/>
            <w:shd w:val="clear" w:color="auto" w:fill="E5FFFF"/>
          </w:tcPr>
          <w:p>
            <w:pPr>
              <w:spacing w:after="0"/>
              <w:rPr>
                <w:sz w:val="17"/>
                <w:szCs w:val="17"/>
                <w:color w:val="auto"/>
              </w:rPr>
            </w:pPr>
          </w:p>
        </w:tc>
        <w:tc>
          <w:tcPr>
            <w:tcW w:w="1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E5FFFF"/>
          </w:tcPr>
          <w:p>
            <w:pPr>
              <w:spacing w:after="0"/>
              <w:rPr>
                <w:sz w:val="17"/>
                <w:szCs w:val="17"/>
                <w:color w:val="auto"/>
              </w:rPr>
            </w:pPr>
          </w:p>
        </w:tc>
      </w:tr>
    </w:tbl>
    <w:p>
      <w:pPr>
        <w:sectPr>
          <w:pgSz w:w="11900" w:h="16838" w:orient="portrait"/>
          <w:cols w:equalWidth="0" w:num="1">
            <w:col w:w="11420"/>
          </w:cols>
          <w:pgMar w:left="240" w:top="130"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128,285</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138,478</w:t>
            </w:r>
          </w:p>
        </w:tc>
      </w:tr>
      <w:tr>
        <w:trPr>
          <w:trHeight w:val="20"/>
        </w:trPr>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520" w:firstLine="383"/>
        <w:spacing w:after="0" w:line="293" w:lineRule="auto"/>
        <w:rPr>
          <w:sz w:val="20"/>
          <w:szCs w:val="20"/>
          <w:color w:val="auto"/>
        </w:rPr>
      </w:pPr>
      <w:r>
        <w:rPr>
          <w:rFonts w:ascii="Arial" w:cs="Arial" w:eastAsia="Arial" w:hAnsi="Arial"/>
          <w:sz w:val="16"/>
          <w:szCs w:val="16"/>
          <w:color w:val="auto"/>
        </w:rPr>
        <w:t>Revenues from Cool Pool relate only to the pool revenues received from GasLog’s vessels operating in the Cool Pool and do not include the net pool allocation to GasLog of $8,653 for the three months ended March 31, 2018 ($828 for the three months ended March 31,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20"/>
                <w:szCs w:val="20"/>
                <w:color w:val="auto"/>
              </w:rPr>
            </w:pPr>
            <w:r>
              <w:rPr>
                <w:rFonts w:ascii="Arial" w:cs="Arial" w:eastAsia="Arial" w:hAnsi="Arial"/>
                <w:sz w:val="16"/>
                <w:szCs w:val="16"/>
                <w:b w:val="1"/>
                <w:bCs w:val="1"/>
                <w:color w:val="auto"/>
              </w:rPr>
              <w:t>10. General and Administrative Expenses</w:t>
            </w:r>
          </w:p>
        </w:tc>
        <w:tc>
          <w:tcPr>
            <w:tcW w:w="2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9"/>
        </w:trPr>
        <w:tc>
          <w:tcPr>
            <w:tcW w:w="5120" w:type="dxa"/>
            <w:vAlign w:val="bottom"/>
          </w:tcPr>
          <w:p>
            <w:pPr>
              <w:ind w:left="440"/>
              <w:spacing w:after="0"/>
              <w:rPr>
                <w:sz w:val="20"/>
                <w:szCs w:val="20"/>
                <w:color w:val="auto"/>
              </w:rPr>
            </w:pPr>
            <w:r>
              <w:rPr>
                <w:rFonts w:ascii="Arial" w:cs="Arial" w:eastAsia="Arial" w:hAnsi="Arial"/>
                <w:sz w:val="16"/>
                <w:szCs w:val="16"/>
                <w:color w:val="auto"/>
              </w:rPr>
              <w:t>An analysis of general and administrative expenses is as follows:</w:t>
            </w:r>
          </w:p>
        </w:tc>
        <w:tc>
          <w:tcPr>
            <w:tcW w:w="2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5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32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For the three months ended</w:t>
            </w:r>
          </w:p>
        </w:tc>
        <w:tc>
          <w:tcPr>
            <w:tcW w:w="40" w:type="dxa"/>
            <w:vAlign w:val="bottom"/>
          </w:tcPr>
          <w:p>
            <w:pPr>
              <w:spacing w:after="0"/>
              <w:rPr>
                <w:sz w:val="24"/>
                <w:szCs w:val="24"/>
                <w:color w:val="auto"/>
              </w:rPr>
            </w:pPr>
          </w:p>
        </w:tc>
      </w:tr>
      <w:tr>
        <w:trPr>
          <w:trHeight w:val="213"/>
        </w:trPr>
        <w:tc>
          <w:tcPr>
            <w:tcW w:w="5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March 31, 2017</w:t>
            </w: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March 31, 2018</w:t>
            </w:r>
          </w:p>
        </w:tc>
        <w:tc>
          <w:tcPr>
            <w:tcW w:w="40" w:type="dxa"/>
            <w:vAlign w:val="bottom"/>
          </w:tcPr>
          <w:p>
            <w:pPr>
              <w:spacing w:after="0"/>
              <w:rPr>
                <w:sz w:val="18"/>
                <w:szCs w:val="18"/>
                <w:color w:val="auto"/>
              </w:rPr>
            </w:pPr>
          </w:p>
        </w:tc>
      </w:tr>
      <w:tr>
        <w:trPr>
          <w:trHeight w:val="199"/>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Employee costs</w:t>
            </w:r>
          </w:p>
        </w:tc>
        <w:tc>
          <w:tcPr>
            <w:tcW w:w="298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5,211</w:t>
            </w:r>
          </w:p>
        </w:tc>
        <w:tc>
          <w:tcPr>
            <w:tcW w:w="200" w:type="dxa"/>
            <w:vAlign w:val="bottom"/>
            <w:tcBorders>
              <w:top w:val="single" w:sz="8" w:color="E5FFFF"/>
            </w:tcBorders>
            <w:shd w:val="clear" w:color="auto" w:fill="E5FFFF"/>
          </w:tcPr>
          <w:p>
            <w:pPr>
              <w:spacing w:after="0"/>
              <w:rPr>
                <w:sz w:val="17"/>
                <w:szCs w:val="17"/>
                <w:color w:val="auto"/>
              </w:rPr>
            </w:pP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6,951</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Board of directors’ fees</w:t>
            </w:r>
          </w:p>
        </w:tc>
        <w:tc>
          <w:tcPr>
            <w:tcW w:w="4680" w:type="dxa"/>
            <w:vAlign w:val="bottom"/>
            <w:gridSpan w:val="3"/>
          </w:tcPr>
          <w:p>
            <w:pPr>
              <w:jc w:val="right"/>
              <w:ind w:right="200"/>
              <w:spacing w:after="0"/>
              <w:rPr>
                <w:sz w:val="20"/>
                <w:szCs w:val="20"/>
                <w:color w:val="auto"/>
              </w:rPr>
            </w:pPr>
            <w:r>
              <w:rPr>
                <w:rFonts w:ascii="Arial" w:cs="Arial" w:eastAsia="Arial" w:hAnsi="Arial"/>
                <w:sz w:val="16"/>
                <w:szCs w:val="16"/>
                <w:color w:val="auto"/>
              </w:rPr>
              <w:t>561</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722</w:t>
            </w:r>
          </w:p>
        </w:tc>
        <w:tc>
          <w:tcPr>
            <w:tcW w:w="40" w:type="dxa"/>
            <w:vAlign w:val="bottom"/>
          </w:tcPr>
          <w:p>
            <w:pPr>
              <w:spacing w:after="0"/>
              <w:rPr>
                <w:sz w:val="17"/>
                <w:szCs w:val="17"/>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46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1,012</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1,186</w:t>
            </w:r>
          </w:p>
        </w:tc>
        <w:tc>
          <w:tcPr>
            <w:tcW w:w="40" w:type="dxa"/>
            <w:vAlign w:val="bottom"/>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Rent and utilities</w:t>
            </w:r>
          </w:p>
        </w:tc>
        <w:tc>
          <w:tcPr>
            <w:tcW w:w="4680" w:type="dxa"/>
            <w:vAlign w:val="bottom"/>
            <w:gridSpan w:val="3"/>
          </w:tcPr>
          <w:p>
            <w:pPr>
              <w:jc w:val="right"/>
              <w:ind w:right="200"/>
              <w:spacing w:after="0"/>
              <w:rPr>
                <w:sz w:val="20"/>
                <w:szCs w:val="20"/>
                <w:color w:val="auto"/>
              </w:rPr>
            </w:pPr>
            <w:r>
              <w:rPr>
                <w:rFonts w:ascii="Arial" w:cs="Arial" w:eastAsia="Arial" w:hAnsi="Arial"/>
                <w:sz w:val="16"/>
                <w:szCs w:val="16"/>
                <w:color w:val="auto"/>
              </w:rPr>
              <w:t>603</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516</w:t>
            </w:r>
          </w:p>
        </w:tc>
        <w:tc>
          <w:tcPr>
            <w:tcW w:w="40" w:type="dxa"/>
            <w:vAlign w:val="bottom"/>
          </w:tcPr>
          <w:p>
            <w:pPr>
              <w:spacing w:after="0"/>
              <w:rPr>
                <w:sz w:val="17"/>
                <w:szCs w:val="17"/>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Travel and accommodation</w:t>
            </w:r>
          </w:p>
        </w:tc>
        <w:tc>
          <w:tcPr>
            <w:tcW w:w="46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495</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332</w:t>
            </w:r>
          </w:p>
        </w:tc>
        <w:tc>
          <w:tcPr>
            <w:tcW w:w="40" w:type="dxa"/>
            <w:vAlign w:val="bottom"/>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Legal and professional fees</w:t>
            </w:r>
          </w:p>
        </w:tc>
        <w:tc>
          <w:tcPr>
            <w:tcW w:w="4680" w:type="dxa"/>
            <w:vAlign w:val="bottom"/>
            <w:gridSpan w:val="3"/>
          </w:tcPr>
          <w:p>
            <w:pPr>
              <w:jc w:val="right"/>
              <w:ind w:right="200"/>
              <w:spacing w:after="0"/>
              <w:rPr>
                <w:sz w:val="20"/>
                <w:szCs w:val="20"/>
                <w:color w:val="auto"/>
              </w:rPr>
            </w:pPr>
            <w:r>
              <w:rPr>
                <w:rFonts w:ascii="Arial" w:cs="Arial" w:eastAsia="Arial" w:hAnsi="Arial"/>
                <w:sz w:val="16"/>
                <w:szCs w:val="16"/>
                <w:color w:val="auto"/>
              </w:rPr>
              <w:t>1,562</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1,622</w:t>
            </w:r>
          </w:p>
        </w:tc>
        <w:tc>
          <w:tcPr>
            <w:tcW w:w="40" w:type="dxa"/>
            <w:vAlign w:val="bottom"/>
          </w:tcPr>
          <w:p>
            <w:pPr>
              <w:spacing w:after="0"/>
              <w:rPr>
                <w:sz w:val="17"/>
                <w:szCs w:val="17"/>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differences, net</w:t>
            </w:r>
          </w:p>
        </w:tc>
        <w:tc>
          <w:tcPr>
            <w:tcW w:w="46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211</w:t>
            </w:r>
          </w:p>
        </w:tc>
        <w:tc>
          <w:tcPr>
            <w:tcW w:w="16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(304)</w:t>
            </w:r>
          </w:p>
        </w:tc>
        <w:tc>
          <w:tcPr>
            <w:tcW w:w="40" w:type="dxa"/>
            <w:vAlign w:val="bottom"/>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Other expenses</w:t>
            </w:r>
          </w:p>
        </w:tc>
        <w:tc>
          <w:tcPr>
            <w:tcW w:w="4680" w:type="dxa"/>
            <w:vAlign w:val="bottom"/>
            <w:gridSpan w:val="3"/>
          </w:tcPr>
          <w:p>
            <w:pPr>
              <w:jc w:val="right"/>
              <w:ind w:right="200"/>
              <w:spacing w:after="0"/>
              <w:rPr>
                <w:sz w:val="20"/>
                <w:szCs w:val="20"/>
                <w:color w:val="auto"/>
              </w:rPr>
            </w:pPr>
            <w:r>
              <w:rPr>
                <w:rFonts w:ascii="Arial" w:cs="Arial" w:eastAsia="Arial" w:hAnsi="Arial"/>
                <w:sz w:val="16"/>
                <w:szCs w:val="16"/>
                <w:color w:val="auto"/>
              </w:rPr>
              <w:t>490</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988</w:t>
            </w:r>
          </w:p>
        </w:tc>
        <w:tc>
          <w:tcPr>
            <w:tcW w:w="40" w:type="dxa"/>
            <w:vAlign w:val="bottom"/>
          </w:tcPr>
          <w:p>
            <w:pPr>
              <w:spacing w:after="0"/>
              <w:rPr>
                <w:sz w:val="17"/>
                <w:szCs w:val="17"/>
                <w:color w:val="auto"/>
              </w:rPr>
            </w:pPr>
          </w:p>
        </w:tc>
      </w:tr>
      <w:tr>
        <w:trPr>
          <w:trHeight w:val="196"/>
        </w:trPr>
        <w:tc>
          <w:tcPr>
            <w:tcW w:w="51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980" w:type="dxa"/>
            <w:vAlign w:val="bottom"/>
            <w:tcBorders>
              <w:top w:val="single" w:sz="8" w:color="E5FFFF"/>
              <w:bottom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10,145</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12,013</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3"/>
        </w:trPr>
        <w:tc>
          <w:tcPr>
            <w:tcW w:w="5120" w:type="dxa"/>
            <w:vAlign w:val="bottom"/>
          </w:tcPr>
          <w:p>
            <w:pPr>
              <w:spacing w:after="0"/>
              <w:rPr>
                <w:sz w:val="24"/>
                <w:szCs w:val="24"/>
                <w:color w:val="auto"/>
              </w:rPr>
            </w:pPr>
          </w:p>
        </w:tc>
        <w:tc>
          <w:tcPr>
            <w:tcW w:w="4680" w:type="dxa"/>
            <w:vAlign w:val="bottom"/>
            <w:gridSpan w:val="3"/>
          </w:tcPr>
          <w:p>
            <w:pPr>
              <w:ind w:left="440"/>
              <w:spacing w:after="0"/>
              <w:rPr>
                <w:sz w:val="20"/>
                <w:szCs w:val="20"/>
                <w:color w:val="auto"/>
              </w:rPr>
            </w:pPr>
            <w:r>
              <w:rPr>
                <w:rFonts w:ascii="Arial" w:cs="Arial" w:eastAsia="Arial" w:hAnsi="Arial"/>
                <w:sz w:val="16"/>
                <w:szCs w:val="16"/>
                <w:color w:val="auto"/>
              </w:rPr>
              <w:t>F-12</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8"/>
        </w:trPr>
        <w:tc>
          <w:tcPr>
            <w:tcW w:w="512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1"/>
        </w:trPr>
        <w:tc>
          <w:tcPr>
            <w:tcW w:w="5120" w:type="dxa"/>
            <w:vAlign w:val="bottom"/>
          </w:tcPr>
          <w:p>
            <w:pPr>
              <w:spacing w:after="0"/>
              <w:rPr>
                <w:sz w:val="20"/>
                <w:szCs w:val="20"/>
                <w:color w:val="auto"/>
              </w:rPr>
            </w:pPr>
            <w:r>
              <w:rPr>
                <w:rFonts w:ascii="Arial" w:cs="Arial" w:eastAsia="Arial" w:hAnsi="Arial"/>
                <w:sz w:val="16"/>
                <w:szCs w:val="16"/>
                <w:b w:val="1"/>
                <w:bCs w:val="1"/>
                <w:color w:val="auto"/>
              </w:rPr>
              <w:t>11. Other Payables and Accruals</w:t>
            </w:r>
          </w:p>
        </w:tc>
        <w:tc>
          <w:tcPr>
            <w:tcW w:w="2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5120" w:type="dxa"/>
            <w:vAlign w:val="bottom"/>
          </w:tcPr>
          <w:p>
            <w:pPr>
              <w:ind w:left="440"/>
              <w:spacing w:after="0"/>
              <w:rPr>
                <w:sz w:val="20"/>
                <w:szCs w:val="20"/>
                <w:color w:val="auto"/>
              </w:rPr>
            </w:pPr>
            <w:r>
              <w:rPr>
                <w:rFonts w:ascii="Arial" w:cs="Arial" w:eastAsia="Arial" w:hAnsi="Arial"/>
                <w:sz w:val="16"/>
                <w:szCs w:val="16"/>
                <w:color w:val="auto"/>
              </w:rPr>
              <w:t>An analysis of other payables and accruals is as follows:</w:t>
            </w:r>
          </w:p>
        </w:tc>
        <w:tc>
          <w:tcPr>
            <w:tcW w:w="2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1"/>
        </w:trPr>
        <w:tc>
          <w:tcPr>
            <w:tcW w:w="5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March 31,</w:t>
            </w:r>
          </w:p>
        </w:tc>
        <w:tc>
          <w:tcPr>
            <w:tcW w:w="40" w:type="dxa"/>
            <w:vAlign w:val="bottom"/>
          </w:tcPr>
          <w:p>
            <w:pPr>
              <w:spacing w:after="0"/>
              <w:rPr>
                <w:sz w:val="24"/>
                <w:szCs w:val="24"/>
                <w:color w:val="auto"/>
              </w:rPr>
            </w:pPr>
          </w:p>
        </w:tc>
      </w:tr>
      <w:tr>
        <w:trPr>
          <w:trHeight w:val="210"/>
        </w:trPr>
        <w:tc>
          <w:tcPr>
            <w:tcW w:w="5120" w:type="dxa"/>
            <w:vAlign w:val="bottom"/>
          </w:tcPr>
          <w:p>
            <w:pPr>
              <w:spacing w:after="0"/>
              <w:rPr>
                <w:sz w:val="18"/>
                <w:szCs w:val="18"/>
                <w:color w:val="auto"/>
              </w:rPr>
            </w:pPr>
          </w:p>
        </w:tc>
        <w:tc>
          <w:tcPr>
            <w:tcW w:w="4480" w:type="dxa"/>
            <w:vAlign w:val="bottom"/>
            <w:gridSpan w:val="2"/>
          </w:tcPr>
          <w:p>
            <w:pPr>
              <w:jc w:val="center"/>
              <w:ind w:left="2879"/>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1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Social contributions</w:t>
            </w:r>
          </w:p>
        </w:tc>
        <w:tc>
          <w:tcPr>
            <w:tcW w:w="2980" w:type="dxa"/>
            <w:vAlign w:val="bottom"/>
            <w:tcBorders>
              <w:top w:val="single" w:sz="8" w:color="E5FFFF"/>
            </w:tcBorders>
            <w:shd w:val="clear" w:color="auto" w:fill="E5FFFF"/>
          </w:tcPr>
          <w:p>
            <w:pPr>
              <w:spacing w:after="0"/>
              <w:rPr>
                <w:sz w:val="17"/>
                <w:szCs w:val="17"/>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1,244</w:t>
            </w:r>
          </w:p>
        </w:tc>
        <w:tc>
          <w:tcPr>
            <w:tcW w:w="200" w:type="dxa"/>
            <w:vAlign w:val="bottom"/>
            <w:tcBorders>
              <w:top w:val="single" w:sz="8" w:color="E5FFFF"/>
            </w:tcBorders>
            <w:shd w:val="clear" w:color="auto" w:fill="E5FFFF"/>
          </w:tcPr>
          <w:p>
            <w:pPr>
              <w:spacing w:after="0"/>
              <w:rPr>
                <w:sz w:val="17"/>
                <w:szCs w:val="17"/>
                <w:color w:val="auto"/>
              </w:rPr>
            </w:pP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Unearned revenue</w:t>
            </w:r>
          </w:p>
        </w:tc>
        <w:tc>
          <w:tcPr>
            <w:tcW w:w="4680" w:type="dxa"/>
            <w:vAlign w:val="bottom"/>
            <w:gridSpan w:val="3"/>
          </w:tcPr>
          <w:p>
            <w:pPr>
              <w:jc w:val="right"/>
              <w:ind w:right="200"/>
              <w:spacing w:after="0"/>
              <w:rPr>
                <w:sz w:val="20"/>
                <w:szCs w:val="20"/>
                <w:color w:val="auto"/>
              </w:rPr>
            </w:pPr>
            <w:r>
              <w:rPr>
                <w:rFonts w:ascii="Arial" w:cs="Arial" w:eastAsia="Arial" w:hAnsi="Arial"/>
                <w:sz w:val="16"/>
                <w:szCs w:val="16"/>
                <w:color w:val="auto"/>
              </w:rPr>
              <w:t>34,926</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22,089</w:t>
            </w:r>
          </w:p>
        </w:tc>
        <w:tc>
          <w:tcPr>
            <w:tcW w:w="40" w:type="dxa"/>
            <w:vAlign w:val="bottom"/>
          </w:tcPr>
          <w:p>
            <w:pPr>
              <w:spacing w:after="0"/>
              <w:rPr>
                <w:sz w:val="17"/>
                <w:szCs w:val="17"/>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Accrued legal and professional fees</w:t>
            </w:r>
          </w:p>
        </w:tc>
        <w:tc>
          <w:tcPr>
            <w:tcW w:w="46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1,567</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1,555</w:t>
            </w:r>
          </w:p>
        </w:tc>
        <w:tc>
          <w:tcPr>
            <w:tcW w:w="40" w:type="dxa"/>
            <w:vAlign w:val="bottom"/>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Accrued board of directors’ fees</w:t>
            </w:r>
          </w:p>
        </w:tc>
        <w:tc>
          <w:tcPr>
            <w:tcW w:w="4680" w:type="dxa"/>
            <w:vAlign w:val="bottom"/>
            <w:gridSpan w:val="3"/>
          </w:tcPr>
          <w:p>
            <w:pPr>
              <w:jc w:val="right"/>
              <w:ind w:right="200"/>
              <w:spacing w:after="0"/>
              <w:rPr>
                <w:sz w:val="20"/>
                <w:szCs w:val="20"/>
                <w:color w:val="auto"/>
              </w:rPr>
            </w:pPr>
            <w:r>
              <w:rPr>
                <w:rFonts w:ascii="Arial" w:cs="Arial" w:eastAsia="Arial" w:hAnsi="Arial"/>
                <w:sz w:val="16"/>
                <w:szCs w:val="16"/>
                <w:color w:val="auto"/>
              </w:rPr>
              <w:t>577</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722</w:t>
            </w:r>
          </w:p>
        </w:tc>
        <w:tc>
          <w:tcPr>
            <w:tcW w:w="40" w:type="dxa"/>
            <w:vAlign w:val="bottom"/>
          </w:tcPr>
          <w:p>
            <w:pPr>
              <w:spacing w:after="0"/>
              <w:rPr>
                <w:sz w:val="17"/>
                <w:szCs w:val="17"/>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Accrued employee costs</w:t>
            </w:r>
          </w:p>
        </w:tc>
        <w:tc>
          <w:tcPr>
            <w:tcW w:w="46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5,494</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4,506</w:t>
            </w:r>
          </w:p>
        </w:tc>
        <w:tc>
          <w:tcPr>
            <w:tcW w:w="40" w:type="dxa"/>
            <w:vAlign w:val="bottom"/>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Accrued off-hire</w:t>
            </w:r>
          </w:p>
        </w:tc>
        <w:tc>
          <w:tcPr>
            <w:tcW w:w="4680" w:type="dxa"/>
            <w:vAlign w:val="bottom"/>
            <w:gridSpan w:val="3"/>
          </w:tcPr>
          <w:p>
            <w:pPr>
              <w:jc w:val="right"/>
              <w:ind w:right="200"/>
              <w:spacing w:after="0"/>
              <w:rPr>
                <w:sz w:val="20"/>
                <w:szCs w:val="20"/>
                <w:color w:val="auto"/>
              </w:rPr>
            </w:pPr>
            <w:r>
              <w:rPr>
                <w:rFonts w:ascii="Arial" w:cs="Arial" w:eastAsia="Arial" w:hAnsi="Arial"/>
                <w:sz w:val="16"/>
                <w:szCs w:val="16"/>
                <w:color w:val="auto"/>
              </w:rPr>
              <w:t>5,456</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5,429</w:t>
            </w:r>
          </w:p>
        </w:tc>
        <w:tc>
          <w:tcPr>
            <w:tcW w:w="40" w:type="dxa"/>
            <w:vAlign w:val="bottom"/>
          </w:tcPr>
          <w:p>
            <w:pPr>
              <w:spacing w:after="0"/>
              <w:rPr>
                <w:sz w:val="17"/>
                <w:szCs w:val="17"/>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Accrued crew costs</w:t>
            </w:r>
          </w:p>
        </w:tc>
        <w:tc>
          <w:tcPr>
            <w:tcW w:w="46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4,027</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4,574</w:t>
            </w:r>
          </w:p>
        </w:tc>
        <w:tc>
          <w:tcPr>
            <w:tcW w:w="40" w:type="dxa"/>
            <w:vAlign w:val="bottom"/>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Accrued purchases</w:t>
            </w:r>
          </w:p>
        </w:tc>
        <w:tc>
          <w:tcPr>
            <w:tcW w:w="4680" w:type="dxa"/>
            <w:vAlign w:val="bottom"/>
            <w:gridSpan w:val="3"/>
          </w:tcPr>
          <w:p>
            <w:pPr>
              <w:jc w:val="right"/>
              <w:ind w:right="200"/>
              <w:spacing w:after="0"/>
              <w:rPr>
                <w:sz w:val="20"/>
                <w:szCs w:val="20"/>
                <w:color w:val="auto"/>
              </w:rPr>
            </w:pPr>
            <w:r>
              <w:rPr>
                <w:rFonts w:ascii="Arial" w:cs="Arial" w:eastAsia="Arial" w:hAnsi="Arial"/>
                <w:sz w:val="16"/>
                <w:szCs w:val="16"/>
                <w:color w:val="auto"/>
              </w:rPr>
              <w:t>4,227</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8,558</w:t>
            </w:r>
          </w:p>
        </w:tc>
        <w:tc>
          <w:tcPr>
            <w:tcW w:w="40" w:type="dxa"/>
            <w:vAlign w:val="bottom"/>
          </w:tcPr>
          <w:p>
            <w:pPr>
              <w:spacing w:after="0"/>
              <w:rPr>
                <w:sz w:val="17"/>
                <w:szCs w:val="17"/>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Accrued financing costs</w:t>
            </w:r>
          </w:p>
        </w:tc>
        <w:tc>
          <w:tcPr>
            <w:tcW w:w="46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1,984</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525</w:t>
            </w:r>
          </w:p>
        </w:tc>
        <w:tc>
          <w:tcPr>
            <w:tcW w:w="40" w:type="dxa"/>
            <w:vAlign w:val="bottom"/>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Accrued interest</w:t>
            </w:r>
          </w:p>
        </w:tc>
        <w:tc>
          <w:tcPr>
            <w:tcW w:w="4680" w:type="dxa"/>
            <w:vAlign w:val="bottom"/>
            <w:gridSpan w:val="3"/>
          </w:tcPr>
          <w:p>
            <w:pPr>
              <w:jc w:val="right"/>
              <w:ind w:right="200"/>
              <w:spacing w:after="0"/>
              <w:rPr>
                <w:sz w:val="20"/>
                <w:szCs w:val="20"/>
                <w:color w:val="auto"/>
              </w:rPr>
            </w:pPr>
            <w:r>
              <w:rPr>
                <w:rFonts w:ascii="Arial" w:cs="Arial" w:eastAsia="Arial" w:hAnsi="Arial"/>
                <w:sz w:val="16"/>
                <w:szCs w:val="16"/>
                <w:color w:val="auto"/>
              </w:rPr>
              <w:t>27,851</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20,732</w:t>
            </w:r>
          </w:p>
        </w:tc>
        <w:tc>
          <w:tcPr>
            <w:tcW w:w="40" w:type="dxa"/>
            <w:vAlign w:val="bottom"/>
          </w:tcPr>
          <w:p>
            <w:pPr>
              <w:spacing w:after="0"/>
              <w:rPr>
                <w:sz w:val="17"/>
                <w:szCs w:val="17"/>
                <w:color w:val="auto"/>
              </w:rPr>
            </w:pPr>
          </w:p>
        </w:tc>
      </w:tr>
      <w:tr>
        <w:trPr>
          <w:trHeight w:val="203"/>
        </w:trPr>
        <w:tc>
          <w:tcPr>
            <w:tcW w:w="5120" w:type="dxa"/>
            <w:vAlign w:val="bottom"/>
            <w:shd w:val="clear" w:color="auto" w:fill="E5FFFF"/>
          </w:tcPr>
          <w:p>
            <w:pPr>
              <w:spacing w:after="0"/>
              <w:rPr>
                <w:sz w:val="20"/>
                <w:szCs w:val="20"/>
                <w:color w:val="auto"/>
              </w:rPr>
            </w:pPr>
            <w:r>
              <w:rPr>
                <w:rFonts w:ascii="Arial" w:cs="Arial" w:eastAsia="Arial" w:hAnsi="Arial"/>
                <w:sz w:val="16"/>
                <w:szCs w:val="16"/>
                <w:color w:val="auto"/>
              </w:rPr>
              <w:t>Accrued payable to charterers</w:t>
            </w:r>
          </w:p>
        </w:tc>
        <w:tc>
          <w:tcPr>
            <w:tcW w:w="46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4,007</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3,981</w:t>
            </w:r>
          </w:p>
        </w:tc>
        <w:tc>
          <w:tcPr>
            <w:tcW w:w="40" w:type="dxa"/>
            <w:vAlign w:val="bottom"/>
          </w:tcPr>
          <w:p>
            <w:pPr>
              <w:spacing w:after="0"/>
              <w:rPr>
                <w:sz w:val="17"/>
                <w:szCs w:val="17"/>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Other accruals</w:t>
            </w:r>
          </w:p>
        </w:tc>
        <w:tc>
          <w:tcPr>
            <w:tcW w:w="4680" w:type="dxa"/>
            <w:vAlign w:val="bottom"/>
            <w:gridSpan w:val="3"/>
          </w:tcPr>
          <w:p>
            <w:pPr>
              <w:jc w:val="right"/>
              <w:ind w:right="200"/>
              <w:spacing w:after="0"/>
              <w:rPr>
                <w:sz w:val="20"/>
                <w:szCs w:val="20"/>
                <w:color w:val="auto"/>
              </w:rPr>
            </w:pPr>
            <w:r>
              <w:rPr>
                <w:rFonts w:ascii="Arial" w:cs="Arial" w:eastAsia="Arial" w:hAnsi="Arial"/>
                <w:sz w:val="16"/>
                <w:szCs w:val="16"/>
                <w:color w:val="auto"/>
              </w:rPr>
              <w:t>2,058</w:t>
            </w:r>
          </w:p>
        </w:tc>
        <w:tc>
          <w:tcPr>
            <w:tcW w:w="1620" w:type="dxa"/>
            <w:vAlign w:val="bottom"/>
            <w:gridSpan w:val="2"/>
          </w:tcPr>
          <w:p>
            <w:pPr>
              <w:jc w:val="right"/>
              <w:ind w:right="100"/>
              <w:spacing w:after="0"/>
              <w:rPr>
                <w:sz w:val="20"/>
                <w:szCs w:val="20"/>
                <w:color w:val="auto"/>
              </w:rPr>
            </w:pPr>
            <w:r>
              <w:rPr>
                <w:rFonts w:ascii="Arial" w:cs="Arial" w:eastAsia="Arial" w:hAnsi="Arial"/>
                <w:sz w:val="16"/>
                <w:szCs w:val="16"/>
                <w:color w:val="auto"/>
              </w:rPr>
              <w:t>3,396</w:t>
            </w:r>
          </w:p>
        </w:tc>
        <w:tc>
          <w:tcPr>
            <w:tcW w:w="40" w:type="dxa"/>
            <w:vAlign w:val="bottom"/>
          </w:tcPr>
          <w:p>
            <w:pPr>
              <w:spacing w:after="0"/>
              <w:rPr>
                <w:sz w:val="17"/>
                <w:szCs w:val="17"/>
                <w:color w:val="auto"/>
              </w:rPr>
            </w:pPr>
          </w:p>
        </w:tc>
      </w:tr>
      <w:tr>
        <w:trPr>
          <w:trHeight w:val="196"/>
        </w:trPr>
        <w:tc>
          <w:tcPr>
            <w:tcW w:w="51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980" w:type="dxa"/>
            <w:vAlign w:val="bottom"/>
            <w:tcBorders>
              <w:top w:val="single" w:sz="8" w:color="E5FFFF"/>
              <w:bottom w:val="single" w:sz="8" w:color="E5FFFF"/>
            </w:tcBorders>
            <w:shd w:val="clear" w:color="auto" w:fill="E5FFFF"/>
          </w:tcPr>
          <w:p>
            <w:pPr>
              <w:spacing w:after="0"/>
              <w:rPr>
                <w:sz w:val="17"/>
                <w:szCs w:val="17"/>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93,418</w:t>
            </w:r>
          </w:p>
        </w:tc>
        <w:tc>
          <w:tcPr>
            <w:tcW w:w="200" w:type="dxa"/>
            <w:vAlign w:val="bottom"/>
            <w:tcBorders>
              <w:top w:val="single" w:sz="8" w:color="E5FFFF"/>
              <w:bottom w:val="single" w:sz="8" w:color="E5FFFF"/>
            </w:tcBorders>
            <w:shd w:val="clear" w:color="auto" w:fill="E5FFFF"/>
          </w:tcPr>
          <w:p>
            <w:pPr>
              <w:spacing w:after="0"/>
              <w:rPr>
                <w:sz w:val="17"/>
                <w:szCs w:val="17"/>
                <w:color w:val="auto"/>
              </w:rPr>
            </w:pP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78,137</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-2891790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-2891790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12. Share Capital and Preference Shares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GasLog’s authorized share capital consists of 500,000,000 shares with a par value of $0.01 per share.</w:t>
      </w:r>
    </w:p>
    <w:p>
      <w:pPr>
        <w:spacing w:after="0" w:line="235" w:lineRule="exact"/>
        <w:rPr>
          <w:sz w:val="20"/>
          <w:szCs w:val="20"/>
          <w:color w:val="auto"/>
        </w:rPr>
      </w:pPr>
    </w:p>
    <w:p>
      <w:pPr>
        <w:ind w:right="280" w:firstLine="396"/>
        <w:spacing w:after="0" w:line="278" w:lineRule="auto"/>
        <w:rPr>
          <w:sz w:val="20"/>
          <w:szCs w:val="20"/>
          <w:color w:val="auto"/>
        </w:rPr>
      </w:pPr>
      <w:r>
        <w:rPr>
          <w:rFonts w:ascii="Arial" w:cs="Arial" w:eastAsia="Arial" w:hAnsi="Arial"/>
          <w:sz w:val="16"/>
          <w:szCs w:val="16"/>
          <w:color w:val="auto"/>
        </w:rPr>
        <w:t>As of March 31, 2018, the share capital consisted of 80,715,067 issued and outstanding common shares, par value $0.01 per share, 278,059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95"/>
              </w:rPr>
              <w:t>Number of Shares</w:t>
            </w:r>
          </w:p>
        </w:tc>
        <w:tc>
          <w:tcPr>
            <w:tcW w:w="1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6"/>
                <w:szCs w:val="16"/>
                <w:b w:val="1"/>
                <w:bCs w:val="1"/>
                <w:color w:val="auto"/>
              </w:rPr>
              <w:t>Amounts</w:t>
            </w: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Number of</w:t>
            </w:r>
          </w:p>
        </w:tc>
        <w:tc>
          <w:tcPr>
            <w:tcW w:w="1440" w:type="dxa"/>
            <w:vAlign w:val="bottom"/>
            <w:gridSpan w:val="2"/>
          </w:tcPr>
          <w:p>
            <w:pPr>
              <w:ind w:left="240"/>
              <w:spacing w:after="0"/>
              <w:rPr>
                <w:sz w:val="20"/>
                <w:szCs w:val="20"/>
                <w:color w:val="auto"/>
              </w:rPr>
            </w:pPr>
            <w:r>
              <w:rPr>
                <w:rFonts w:ascii="Arial" w:cs="Arial" w:eastAsia="Arial" w:hAnsi="Arial"/>
                <w:sz w:val="16"/>
                <w:szCs w:val="16"/>
                <w:b w:val="1"/>
                <w:bCs w:val="1"/>
                <w:color w:val="auto"/>
              </w:rPr>
              <w:t>Number of</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Preference</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4"/>
              </w:rPr>
              <w:t>Contributed</w:t>
            </w:r>
          </w:p>
        </w:tc>
        <w:tc>
          <w:tcPr>
            <w:tcW w:w="9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Treasury</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common shares</w:t>
            </w: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treasury shares</w:t>
            </w:r>
          </w:p>
        </w:tc>
        <w:tc>
          <w:tcPr>
            <w:tcW w:w="16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Preference Shares</w:t>
            </w: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Share capital</w:t>
            </w: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shares</w:t>
            </w:r>
          </w:p>
        </w:tc>
        <w:tc>
          <w:tcPr>
            <w:tcW w:w="11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surplus</w:t>
            </w:r>
          </w:p>
        </w:tc>
        <w:tc>
          <w:tcPr>
            <w:tcW w:w="9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75"/>
        </w:trPr>
        <w:tc>
          <w:tcPr>
            <w:tcW w:w="2360" w:type="dxa"/>
            <w:vAlign w:val="bottom"/>
            <w:tcBorders>
              <w:top w:val="single" w:sz="8" w:color="E5FFFF"/>
            </w:tcBorders>
            <w:shd w:val="clear" w:color="auto" w:fill="E5FFFF"/>
          </w:tcPr>
          <w:p>
            <w:pPr>
              <w:spacing w:after="0" w:line="175" w:lineRule="exact"/>
              <w:rPr>
                <w:sz w:val="20"/>
                <w:szCs w:val="20"/>
                <w:color w:val="auto"/>
              </w:rPr>
            </w:pPr>
            <w:r>
              <w:rPr>
                <w:rFonts w:ascii="Arial" w:cs="Arial" w:eastAsia="Arial" w:hAnsi="Arial"/>
                <w:sz w:val="16"/>
                <w:szCs w:val="16"/>
                <w:b w:val="1"/>
                <w:bCs w:val="1"/>
                <w:color w:val="auto"/>
              </w:rPr>
              <w:t>Outstanding as of January 1,</w:t>
            </w:r>
          </w:p>
        </w:tc>
        <w:tc>
          <w:tcPr>
            <w:tcW w:w="12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2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440" w:type="dxa"/>
            <w:vAlign w:val="bottom"/>
            <w:tcBorders>
              <w:top w:val="single" w:sz="8" w:color="auto"/>
            </w:tcBorders>
            <w:shd w:val="clear" w:color="auto" w:fill="E5FFFF"/>
          </w:tcPr>
          <w:p>
            <w:pPr>
              <w:spacing w:after="0"/>
              <w:rPr>
                <w:sz w:val="15"/>
                <w:szCs w:val="15"/>
                <w:color w:val="auto"/>
              </w:rPr>
            </w:pPr>
          </w:p>
        </w:tc>
        <w:tc>
          <w:tcPr>
            <w:tcW w:w="160" w:type="dxa"/>
            <w:vAlign w:val="bottom"/>
            <w:tcBorders>
              <w:top w:val="single" w:sz="8" w:color="E5FFFF"/>
            </w:tcBorders>
            <w:shd w:val="clear" w:color="auto" w:fill="E5FFFF"/>
          </w:tcPr>
          <w:p>
            <w:pPr>
              <w:spacing w:after="0"/>
              <w:rPr>
                <w:sz w:val="15"/>
                <w:szCs w:val="15"/>
                <w:color w:val="auto"/>
              </w:rPr>
            </w:pPr>
          </w:p>
        </w:tc>
        <w:tc>
          <w:tcPr>
            <w:tcW w:w="120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860" w:type="dxa"/>
            <w:vAlign w:val="bottom"/>
            <w:tcBorders>
              <w:top w:val="single" w:sz="8" w:color="auto"/>
            </w:tcBorders>
            <w:shd w:val="clear" w:color="auto" w:fill="E5FFFF"/>
          </w:tcPr>
          <w:p>
            <w:pPr>
              <w:spacing w:after="0"/>
              <w:rPr>
                <w:sz w:val="15"/>
                <w:szCs w:val="15"/>
                <w:color w:val="auto"/>
              </w:rPr>
            </w:pPr>
          </w:p>
        </w:tc>
        <w:tc>
          <w:tcPr>
            <w:tcW w:w="2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E5FFFF"/>
          </w:tcPr>
          <w:p>
            <w:pPr>
              <w:ind w:left="180"/>
              <w:spacing w:after="0"/>
              <w:rPr>
                <w:sz w:val="20"/>
                <w:szCs w:val="20"/>
                <w:color w:val="auto"/>
              </w:rPr>
            </w:pPr>
            <w:r>
              <w:rPr>
                <w:rFonts w:ascii="Arial" w:cs="Arial" w:eastAsia="Arial" w:hAnsi="Arial"/>
                <w:sz w:val="16"/>
                <w:szCs w:val="16"/>
                <w:b w:val="1"/>
                <w:bCs w:val="1"/>
                <w:color w:val="auto"/>
              </w:rPr>
              <w:t>2018</w:t>
            </w: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80,717,885</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275,241</w:t>
            </w:r>
          </w:p>
        </w:tc>
        <w:tc>
          <w:tcPr>
            <w:tcW w:w="22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4,600,000</w:t>
            </w:r>
          </w:p>
        </w:tc>
        <w:tc>
          <w:tcPr>
            <w:tcW w:w="16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810</w:t>
            </w:r>
          </w:p>
        </w:tc>
        <w:tc>
          <w:tcPr>
            <w:tcW w:w="200" w:type="dxa"/>
            <w:vAlign w:val="bottom"/>
            <w:shd w:val="clear" w:color="auto" w:fill="E5FFFF"/>
          </w:tcPr>
          <w:p>
            <w:pPr>
              <w:spacing w:after="0"/>
              <w:rPr>
                <w:sz w:val="18"/>
                <w:szCs w:val="18"/>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46</w:t>
            </w:r>
          </w:p>
        </w:tc>
        <w:tc>
          <w:tcPr>
            <w:tcW w:w="22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911,766</w:t>
            </w:r>
          </w:p>
        </w:tc>
        <w:tc>
          <w:tcPr>
            <w:tcW w:w="9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b w:val="1"/>
                <w:bCs w:val="1"/>
                <w:color w:val="auto"/>
              </w:rPr>
              <w:t>(6,960)</w:t>
            </w:r>
          </w:p>
        </w:tc>
        <w:tc>
          <w:tcPr>
            <w:tcW w:w="0" w:type="dxa"/>
            <w:vAlign w:val="bottom"/>
          </w:tcPr>
          <w:p>
            <w:pPr>
              <w:spacing w:after="0"/>
              <w:rPr>
                <w:sz w:val="1"/>
                <w:szCs w:val="1"/>
                <w:color w:val="auto"/>
              </w:rPr>
            </w:pPr>
          </w:p>
        </w:tc>
      </w:tr>
      <w:tr>
        <w:trPr>
          <w:trHeight w:val="196"/>
        </w:trPr>
        <w:tc>
          <w:tcPr>
            <w:tcW w:w="2360" w:type="dxa"/>
            <w:vAlign w:val="bottom"/>
          </w:tcPr>
          <w:p>
            <w:pPr>
              <w:spacing w:after="0"/>
              <w:rPr>
                <w:sz w:val="20"/>
                <w:szCs w:val="20"/>
                <w:color w:val="auto"/>
              </w:rPr>
            </w:pPr>
            <w:r>
              <w:rPr>
                <w:rFonts w:ascii="Arial" w:cs="Arial" w:eastAsia="Arial" w:hAnsi="Arial"/>
                <w:sz w:val="16"/>
                <w:szCs w:val="16"/>
                <w:color w:val="auto"/>
              </w:rPr>
              <w:t>Treasury shares, net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22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60" w:type="dxa"/>
            <w:vAlign w:val="bottom"/>
            <w:shd w:val="clear" w:color="auto" w:fill="E5FFFF"/>
          </w:tcPr>
          <w:p>
            <w:pPr>
              <w:spacing w:after="0"/>
              <w:rPr>
                <w:sz w:val="20"/>
                <w:szCs w:val="20"/>
                <w:color w:val="auto"/>
              </w:rPr>
            </w:pPr>
            <w:r>
              <w:rPr>
                <w:rFonts w:ascii="Arial" w:cs="Arial" w:eastAsia="Arial" w:hAnsi="Arial"/>
                <w:sz w:val="16"/>
                <w:szCs w:val="16"/>
                <w:color w:val="auto"/>
              </w:rPr>
              <w:t>Dividends declared deducted</w:t>
            </w:r>
          </w:p>
        </w:tc>
        <w:tc>
          <w:tcPr>
            <w:tcW w:w="12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44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120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from Contributed surplus due</w:t>
            </w:r>
          </w:p>
        </w:tc>
        <w:tc>
          <w:tcPr>
            <w:tcW w:w="1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60" w:type="dxa"/>
            <w:vAlign w:val="bottom"/>
            <w:shd w:val="clear" w:color="auto" w:fill="E5FFFF"/>
          </w:tcPr>
          <w:p>
            <w:pPr>
              <w:ind w:left="180"/>
              <w:spacing w:after="0"/>
              <w:rPr>
                <w:sz w:val="20"/>
                <w:szCs w:val="20"/>
                <w:color w:val="auto"/>
              </w:rPr>
            </w:pPr>
            <w:r>
              <w:rPr>
                <w:rFonts w:ascii="Arial" w:cs="Arial" w:eastAsia="Arial" w:hAnsi="Arial"/>
                <w:sz w:val="16"/>
                <w:szCs w:val="16"/>
                <w:color w:val="auto"/>
              </w:rPr>
              <w:t>to accumulated deficit</w:t>
            </w: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18"/>
                <w:szCs w:val="18"/>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5FFFF"/>
          </w:tcPr>
          <w:p>
            <w:pPr>
              <w:spacing w:after="0"/>
              <w:rPr>
                <w:sz w:val="18"/>
                <w:szCs w:val="18"/>
                <w:color w:val="auto"/>
              </w:rPr>
            </w:pPr>
          </w:p>
        </w:tc>
        <w:tc>
          <w:tcPr>
            <w:tcW w:w="112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(13,816)</w:t>
            </w:r>
          </w:p>
        </w:tc>
        <w:tc>
          <w:tcPr>
            <w:tcW w:w="96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6"/>
                <w:szCs w:val="16"/>
                <w:b w:val="1"/>
                <w:bCs w:val="1"/>
                <w:color w:val="auto"/>
              </w:rPr>
              <w:t>Outstanding as of March 31,</w:t>
            </w: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60" w:type="dxa"/>
            <w:vAlign w:val="bottom"/>
            <w:vMerge w:val="continue"/>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80,715,067</w:t>
            </w:r>
          </w:p>
        </w:tc>
        <w:tc>
          <w:tcPr>
            <w:tcW w:w="220" w:type="dxa"/>
            <w:vAlign w:val="bottom"/>
            <w:vMerge w:val="restart"/>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278,059</w:t>
            </w:r>
          </w:p>
        </w:tc>
        <w:tc>
          <w:tcPr>
            <w:tcW w:w="2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4,600,000</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810</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46</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897,950</w:t>
            </w:r>
          </w:p>
        </w:tc>
        <w:tc>
          <w:tcPr>
            <w:tcW w:w="220" w:type="dxa"/>
            <w:vAlign w:val="bottom"/>
          </w:tcPr>
          <w:p>
            <w:pPr>
              <w:spacing w:after="0"/>
              <w:rPr>
                <w:sz w:val="14"/>
                <w:szCs w:val="14"/>
                <w:color w:val="auto"/>
              </w:rPr>
            </w:pP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rPr>
              <w:t>(7,022)</w:t>
            </w:r>
          </w:p>
        </w:tc>
        <w:tc>
          <w:tcPr>
            <w:tcW w:w="0" w:type="dxa"/>
            <w:vAlign w:val="bottom"/>
          </w:tcPr>
          <w:p>
            <w:pPr>
              <w:spacing w:after="0"/>
              <w:rPr>
                <w:sz w:val="1"/>
                <w:szCs w:val="1"/>
                <w:color w:val="auto"/>
              </w:rPr>
            </w:pPr>
          </w:p>
        </w:tc>
      </w:tr>
      <w:tr>
        <w:trPr>
          <w:trHeight w:val="203"/>
        </w:trPr>
        <w:tc>
          <w:tcPr>
            <w:tcW w:w="2360" w:type="dxa"/>
            <w:vAlign w:val="bottom"/>
          </w:tcPr>
          <w:p>
            <w:pPr>
              <w:ind w:left="180"/>
              <w:spacing w:after="0"/>
              <w:rPr>
                <w:sz w:val="20"/>
                <w:szCs w:val="20"/>
                <w:color w:val="auto"/>
              </w:rPr>
            </w:pPr>
            <w:r>
              <w:rPr>
                <w:rFonts w:ascii="Arial" w:cs="Arial" w:eastAsia="Arial" w:hAnsi="Arial"/>
                <w:sz w:val="16"/>
                <w:szCs w:val="16"/>
                <w:b w:val="1"/>
                <w:bCs w:val="1"/>
                <w:color w:val="auto"/>
              </w:rPr>
              <w:t>2018</w:t>
            </w:r>
          </w:p>
        </w:tc>
        <w:tc>
          <w:tcPr>
            <w:tcW w:w="12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treasury shares were acquired by GasLog in 2014 and 2018 in relation to the share-based compensation (Note 17).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distribution</w:t>
      </w:r>
    </w:p>
    <w:p>
      <w:pPr>
        <w:spacing w:after="0" w:line="235" w:lineRule="exact"/>
        <w:rPr>
          <w:sz w:val="20"/>
          <w:szCs w:val="20"/>
          <w:color w:val="auto"/>
        </w:rPr>
      </w:pPr>
    </w:p>
    <w:p>
      <w:pPr>
        <w:jc w:val="both"/>
        <w:ind w:right="60" w:firstLine="383"/>
        <w:spacing w:after="0" w:line="293" w:lineRule="auto"/>
        <w:rPr>
          <w:sz w:val="20"/>
          <w:szCs w:val="20"/>
          <w:color w:val="auto"/>
        </w:rPr>
      </w:pPr>
      <w:r>
        <w:rPr>
          <w:rFonts w:ascii="Arial" w:cs="Arial" w:eastAsia="Arial" w:hAnsi="Arial"/>
          <w:sz w:val="16"/>
          <w:szCs w:val="16"/>
          <w:color w:val="auto"/>
        </w:rPr>
        <w:t>On February 15, 2018, the board of directors declared a quarterly cash dividend of $0.14 per common share, which was paid on March 15, 2018 to shareholders of record as of March 5, 2018 for a total amount of $11,300.</w:t>
      </w:r>
    </w:p>
    <w:p>
      <w:pPr>
        <w:spacing w:after="0" w:line="172" w:lineRule="exact"/>
        <w:rPr>
          <w:sz w:val="20"/>
          <w:szCs w:val="20"/>
          <w:color w:val="auto"/>
        </w:rPr>
      </w:pPr>
    </w:p>
    <w:p>
      <w:pPr>
        <w:ind w:right="100" w:firstLine="383"/>
        <w:spacing w:after="0" w:line="293" w:lineRule="auto"/>
        <w:rPr>
          <w:sz w:val="20"/>
          <w:szCs w:val="20"/>
          <w:color w:val="auto"/>
        </w:rPr>
      </w:pPr>
      <w:r>
        <w:rPr>
          <w:rFonts w:ascii="Arial" w:cs="Arial" w:eastAsia="Arial" w:hAnsi="Arial"/>
          <w:sz w:val="16"/>
          <w:szCs w:val="16"/>
          <w:color w:val="auto"/>
        </w:rPr>
        <w:t>On March 8, 2018, the board of directors declared a dividend on the Series A Preference Shares of $0.546875 per share, or $2,516 in aggregate, payable on April 2, 2018 to holders of record as of March 29, 2018. GasLog paid the declared dividend to the transfer agent on March 29,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 As of March 31, 2018, the Group had the following commitments as lessee relating to buildings under operating leases:</w:t>
      </w:r>
    </w:p>
    <w:p>
      <w:pPr>
        <w:sectPr>
          <w:pgSz w:w="11900" w:h="16838" w:orient="portrait"/>
          <w:cols w:equalWidth="0" w:num="1">
            <w:col w:w="11460"/>
          </w:cols>
          <w:pgMar w:left="240" w:top="126" w:right="19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0"/>
        </w:trPr>
        <w:tc>
          <w:tcPr>
            <w:tcW w:w="9620" w:type="dxa"/>
            <w:vAlign w:val="bottom"/>
          </w:tcPr>
          <w:p>
            <w:pPr>
              <w:spacing w:after="0"/>
              <w:rPr>
                <w:sz w:val="18"/>
                <w:szCs w:val="18"/>
                <w:color w:val="auto"/>
              </w:rPr>
            </w:pPr>
          </w:p>
        </w:tc>
        <w:tc>
          <w:tcPr>
            <w:tcW w:w="1800" w:type="dxa"/>
            <w:vAlign w:val="bottom"/>
            <w:gridSpan w:val="3"/>
          </w:tcPr>
          <w:p>
            <w:pPr>
              <w:ind w:left="300"/>
              <w:spacing w:after="0"/>
              <w:rPr>
                <w:sz w:val="20"/>
                <w:szCs w:val="20"/>
                <w:color w:val="auto"/>
              </w:rPr>
            </w:pPr>
            <w:r>
              <w:rPr>
                <w:rFonts w:ascii="Arial" w:cs="Arial" w:eastAsia="Arial" w:hAnsi="Arial"/>
                <w:sz w:val="16"/>
                <w:szCs w:val="16"/>
                <w:b w:val="1"/>
                <w:bCs w:val="1"/>
                <w:color w:val="auto"/>
              </w:rPr>
              <w:t>March 31, 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70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2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1,301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three years</w:t>
            </w: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1,575</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tcPr>
          <w:p>
            <w:pPr>
              <w:spacing w:after="0"/>
              <w:rPr>
                <w:sz w:val="20"/>
                <w:szCs w:val="20"/>
                <w:color w:val="auto"/>
              </w:rPr>
            </w:pPr>
            <w:r>
              <w:rPr>
                <w:rFonts w:ascii="Arial" w:cs="Arial" w:eastAsia="Arial" w:hAnsi="Arial"/>
                <w:sz w:val="16"/>
                <w:szCs w:val="16"/>
                <w:color w:val="auto"/>
              </w:rPr>
              <w:t>Later than three years and not later than five years</w:t>
            </w: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710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shd w:val="clear" w:color="auto" w:fill="E5FFFF"/>
          </w:tcPr>
          <w:p>
            <w:pPr>
              <w:spacing w:after="0"/>
              <w:rPr>
                <w:sz w:val="20"/>
                <w:szCs w:val="20"/>
                <w:color w:val="auto"/>
              </w:rPr>
            </w:pPr>
            <w:r>
              <w:rPr>
                <w:rFonts w:ascii="Arial" w:cs="Arial" w:eastAsia="Arial" w:hAnsi="Arial"/>
                <w:sz w:val="16"/>
                <w:szCs w:val="16"/>
                <w:color w:val="auto"/>
              </w:rPr>
              <w:t>More than five years</w:t>
            </w: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24</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ind w:left="5560"/>
              <w:spacing w:after="0"/>
              <w:rPr>
                <w:sz w:val="20"/>
                <w:szCs w:val="20"/>
                <w:color w:val="auto"/>
              </w:rPr>
            </w:pPr>
            <w:r>
              <w:rPr>
                <w:rFonts w:ascii="Arial" w:cs="Arial" w:eastAsia="Arial" w:hAnsi="Arial"/>
                <w:sz w:val="16"/>
                <w:szCs w:val="16"/>
                <w:color w:val="auto"/>
              </w:rPr>
              <w:t>F-13</w:t>
            </w: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6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7"/>
        </w:trPr>
        <w:tc>
          <w:tcPr>
            <w:tcW w:w="9620" w:type="dxa"/>
            <w:vAlign w:val="bottom"/>
          </w:tcPr>
          <w:p>
            <w:pPr>
              <w:spacing w:after="0"/>
              <w:rPr>
                <w:sz w:val="20"/>
                <w:szCs w:val="20"/>
                <w:color w:val="auto"/>
              </w:rPr>
            </w:pPr>
            <w:r>
              <w:rPr>
                <w:rFonts w:ascii="Arial" w:cs="Arial" w:eastAsia="Arial" w:hAnsi="Arial"/>
                <w:sz w:val="16"/>
                <w:szCs w:val="16"/>
                <w:color w:val="auto"/>
              </w:rPr>
              <w:t>(b) Commitments relating to the vessels under construction (Note 5) as of March 31, 2018 payable to Samsung were as follows: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620" w:type="dxa"/>
            <w:vAlign w:val="bottom"/>
          </w:tcPr>
          <w:p>
            <w:pPr>
              <w:spacing w:after="0"/>
              <w:rPr>
                <w:sz w:val="24"/>
                <w:szCs w:val="24"/>
                <w:color w:val="auto"/>
              </w:rPr>
            </w:pPr>
          </w:p>
        </w:tc>
        <w:tc>
          <w:tcPr>
            <w:tcW w:w="1800" w:type="dxa"/>
            <w:vAlign w:val="bottom"/>
            <w:gridSpan w:val="3"/>
          </w:tcPr>
          <w:p>
            <w:pPr>
              <w:ind w:left="300"/>
              <w:spacing w:after="0"/>
              <w:rPr>
                <w:sz w:val="20"/>
                <w:szCs w:val="20"/>
                <w:color w:val="auto"/>
              </w:rPr>
            </w:pPr>
            <w:r>
              <w:rPr>
                <w:rFonts w:ascii="Arial" w:cs="Arial" w:eastAsia="Arial" w:hAnsi="Arial"/>
                <w:sz w:val="16"/>
                <w:szCs w:val="16"/>
                <w:b w:val="1"/>
                <w:bCs w:val="1"/>
                <w:color w:val="auto"/>
              </w:rPr>
              <w:t>March 31, 2018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70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62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255,728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2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three years</w:t>
            </w: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464,040</w:t>
            </w:r>
          </w:p>
        </w:tc>
        <w:tc>
          <w:tcPr>
            <w:tcW w:w="8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719,768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-1322070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-1322070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6" w:lineRule="exact"/>
        <w:rPr>
          <w:sz w:val="20"/>
          <w:szCs w:val="20"/>
          <w:color w:val="auto"/>
        </w:rPr>
      </w:pPr>
    </w:p>
    <w:p>
      <w:pPr>
        <w:ind w:right="40" w:firstLine="383"/>
        <w:spacing w:after="0" w:line="293" w:lineRule="auto"/>
        <w:rPr>
          <w:sz w:val="20"/>
          <w:szCs w:val="20"/>
          <w:color w:val="auto"/>
        </w:rPr>
      </w:pPr>
      <w:r>
        <w:rPr>
          <w:rFonts w:ascii="Arial" w:cs="Arial" w:eastAsia="Arial" w:hAnsi="Arial"/>
          <w:sz w:val="15"/>
          <w:szCs w:val="15"/>
          <w:color w:val="auto"/>
        </w:rPr>
        <w:t>Also, pursuant to a Heads of Agreement entered into by GAS-twenty two Ltd. and GAS-twenty three Ltd. with Methane Services Limited (“MSL”), a subsidiary of Shell, on March 8, 2016, the GasLog entities declared their options with Samsung to install reliquefaction plants on board the vessels. MSL agreed to reimburse 50% of such cost per vessel, resulting in an aggregate commitment to pay $3,200 per vessel to GasLog after the installation has been completed. In the event the reliquefaction plants do not meet certain specified performance criteria during operation, GasLog will have an obligation to pay to MSL a daily compensation amount per vessel, which obligation will in whole or in part be satisfied by certain obligations of the manufacturers incurred for failure to meet the specified performance criteria.</w:t>
      </w:r>
    </w:p>
    <w:p>
      <w:pPr>
        <w:spacing w:after="0" w:line="190" w:lineRule="exact"/>
        <w:rPr>
          <w:sz w:val="20"/>
          <w:szCs w:val="20"/>
          <w:color w:val="auto"/>
        </w:rPr>
      </w:pPr>
    </w:p>
    <w:p>
      <w:pPr>
        <w:ind w:left="260" w:right="180" w:hanging="252"/>
        <w:spacing w:after="0" w:line="263" w:lineRule="auto"/>
        <w:tabs>
          <w:tab w:leader="none" w:pos="272" w:val="left"/>
        </w:tabs>
        <w:numPr>
          <w:ilvl w:val="0"/>
          <w:numId w:val="16"/>
        </w:numPr>
        <w:rPr>
          <w:rFonts w:ascii="Arial" w:cs="Arial" w:eastAsia="Arial" w:hAnsi="Arial"/>
          <w:sz w:val="18"/>
          <w:szCs w:val="18"/>
          <w:color w:val="auto"/>
        </w:rPr>
      </w:pPr>
      <w:r>
        <w:rPr>
          <w:rFonts w:ascii="Arial" w:cs="Arial" w:eastAsia="Arial" w:hAnsi="Arial"/>
          <w:sz w:val="16"/>
          <w:szCs w:val="16"/>
          <w:color w:val="auto"/>
        </w:rPr>
        <w:t>Future gross minimum lease payments receivable in relation to non-cancellable time charter agreements for vessels in operation, including a vessel under a finance lease (Note 6), as of March 31, 2018 are as follows (30 off-hire days are assumed when each vessel will undergo scheduled dry-docking and ten additional days per vessel after the dry-docking for the vessel enhancements mentioned further below; in addition, early delivery of the vessels by the charterers or any exercise of the charterers’ options to extend the terms of the charters are not accounted for):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20" w:type="dxa"/>
            <w:vAlign w:val="bottom"/>
          </w:tcPr>
          <w:p>
            <w:pPr>
              <w:spacing w:after="0"/>
              <w:rPr>
                <w:sz w:val="18"/>
                <w:szCs w:val="18"/>
                <w:color w:val="auto"/>
              </w:rPr>
            </w:pPr>
          </w:p>
        </w:tc>
        <w:tc>
          <w:tcPr>
            <w:tcW w:w="1800" w:type="dxa"/>
            <w:vAlign w:val="bottom"/>
            <w:gridSpan w:val="3"/>
          </w:tcPr>
          <w:p>
            <w:pPr>
              <w:ind w:left="300"/>
              <w:spacing w:after="0"/>
              <w:rPr>
                <w:sz w:val="20"/>
                <w:szCs w:val="20"/>
                <w:color w:val="auto"/>
              </w:rPr>
            </w:pPr>
            <w:r>
              <w:rPr>
                <w:rFonts w:ascii="Arial" w:cs="Arial" w:eastAsia="Arial" w:hAnsi="Arial"/>
                <w:sz w:val="16"/>
                <w:szCs w:val="16"/>
                <w:b w:val="1"/>
                <w:bCs w:val="1"/>
                <w:color w:val="auto"/>
              </w:rPr>
              <w:t>March 31, 2018</w:t>
            </w:r>
          </w:p>
        </w:tc>
      </w:tr>
      <w:tr>
        <w:trPr>
          <w:trHeight w:val="189"/>
        </w:trPr>
        <w:tc>
          <w:tcPr>
            <w:tcW w:w="96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Period</w:t>
            </w:r>
          </w:p>
        </w:tc>
        <w:tc>
          <w:tcPr>
            <w:tcW w:w="170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r>
      <w:tr>
        <w:trPr>
          <w:trHeight w:val="203"/>
        </w:trPr>
        <w:tc>
          <w:tcPr>
            <w:tcW w:w="9620" w:type="dxa"/>
            <w:vAlign w:val="bottom"/>
          </w:tcPr>
          <w:p>
            <w:pPr>
              <w:spacing w:after="0"/>
              <w:rPr>
                <w:sz w:val="20"/>
                <w:szCs w:val="20"/>
                <w:color w:val="auto"/>
              </w:rPr>
            </w:pPr>
            <w:r>
              <w:rPr>
                <w:rFonts w:ascii="Arial" w:cs="Arial" w:eastAsia="Arial" w:hAnsi="Arial"/>
                <w:sz w:val="16"/>
                <w:szCs w:val="16"/>
                <w:color w:val="auto"/>
              </w:rPr>
              <w:t>Not later than one year</w:t>
            </w: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386,706</w:t>
            </w:r>
          </w:p>
        </w:tc>
        <w:tc>
          <w:tcPr>
            <w:tcW w:w="80" w:type="dxa"/>
            <w:vAlign w:val="bottom"/>
          </w:tcPr>
          <w:p>
            <w:pPr>
              <w:spacing w:after="0"/>
              <w:rPr>
                <w:sz w:val="17"/>
                <w:szCs w:val="17"/>
                <w:color w:val="auto"/>
              </w:rPr>
            </w:pPr>
          </w:p>
        </w:tc>
      </w:tr>
      <w:tr>
        <w:trPr>
          <w:trHeight w:val="203"/>
        </w:trPr>
        <w:tc>
          <w:tcPr>
            <w:tcW w:w="9620" w:type="dxa"/>
            <w:vAlign w:val="bottom"/>
            <w:shd w:val="clear" w:color="auto" w:fill="E5FFFF"/>
          </w:tcPr>
          <w:p>
            <w:pPr>
              <w:spacing w:after="0"/>
              <w:rPr>
                <w:sz w:val="20"/>
                <w:szCs w:val="20"/>
                <w:color w:val="auto"/>
              </w:rPr>
            </w:pPr>
            <w:r>
              <w:rPr>
                <w:rFonts w:ascii="Arial" w:cs="Arial" w:eastAsia="Arial" w:hAnsi="Arial"/>
                <w:sz w:val="16"/>
                <w:szCs w:val="16"/>
                <w:color w:val="auto"/>
              </w:rPr>
              <w:t>Later than one year and not later than three years</w:t>
            </w: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663,371</w:t>
            </w:r>
          </w:p>
        </w:tc>
        <w:tc>
          <w:tcPr>
            <w:tcW w:w="80" w:type="dxa"/>
            <w:vAlign w:val="bottom"/>
            <w:shd w:val="clear" w:color="auto" w:fill="E5FFFF"/>
          </w:tcPr>
          <w:p>
            <w:pPr>
              <w:spacing w:after="0"/>
              <w:rPr>
                <w:sz w:val="17"/>
                <w:szCs w:val="17"/>
                <w:color w:val="auto"/>
              </w:rPr>
            </w:pPr>
          </w:p>
        </w:tc>
      </w:tr>
      <w:tr>
        <w:trPr>
          <w:trHeight w:val="203"/>
        </w:trPr>
        <w:tc>
          <w:tcPr>
            <w:tcW w:w="9620" w:type="dxa"/>
            <w:vAlign w:val="bottom"/>
          </w:tcPr>
          <w:p>
            <w:pPr>
              <w:spacing w:after="0"/>
              <w:rPr>
                <w:sz w:val="20"/>
                <w:szCs w:val="20"/>
                <w:color w:val="auto"/>
              </w:rPr>
            </w:pPr>
            <w:r>
              <w:rPr>
                <w:rFonts w:ascii="Arial" w:cs="Arial" w:eastAsia="Arial" w:hAnsi="Arial"/>
                <w:sz w:val="16"/>
                <w:szCs w:val="16"/>
                <w:color w:val="auto"/>
              </w:rPr>
              <w:t>Later than three years and not later than five years</w:t>
            </w: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432,438</w:t>
            </w:r>
          </w:p>
        </w:tc>
        <w:tc>
          <w:tcPr>
            <w:tcW w:w="80" w:type="dxa"/>
            <w:vAlign w:val="bottom"/>
          </w:tcPr>
          <w:p>
            <w:pPr>
              <w:spacing w:after="0"/>
              <w:rPr>
                <w:sz w:val="17"/>
                <w:szCs w:val="17"/>
                <w:color w:val="auto"/>
              </w:rPr>
            </w:pPr>
          </w:p>
        </w:tc>
      </w:tr>
      <w:tr>
        <w:trPr>
          <w:trHeight w:val="203"/>
        </w:trPr>
        <w:tc>
          <w:tcPr>
            <w:tcW w:w="9620" w:type="dxa"/>
            <w:vAlign w:val="bottom"/>
            <w:shd w:val="clear" w:color="auto" w:fill="E5FFFF"/>
          </w:tcPr>
          <w:p>
            <w:pPr>
              <w:spacing w:after="0"/>
              <w:rPr>
                <w:sz w:val="20"/>
                <w:szCs w:val="20"/>
                <w:color w:val="auto"/>
              </w:rPr>
            </w:pPr>
            <w:r>
              <w:rPr>
                <w:rFonts w:ascii="Arial" w:cs="Arial" w:eastAsia="Arial" w:hAnsi="Arial"/>
                <w:sz w:val="16"/>
                <w:szCs w:val="16"/>
                <w:color w:val="auto"/>
              </w:rPr>
              <w:t>More than five years</w:t>
            </w:r>
          </w:p>
        </w:tc>
        <w:tc>
          <w:tcPr>
            <w:tcW w:w="17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550,295</w:t>
            </w:r>
          </w:p>
        </w:tc>
        <w:tc>
          <w:tcPr>
            <w:tcW w:w="80" w:type="dxa"/>
            <w:vAlign w:val="bottom"/>
            <w:shd w:val="clear" w:color="auto" w:fill="E5FFFF"/>
          </w:tcPr>
          <w:p>
            <w:pPr>
              <w:spacing w:after="0"/>
              <w:rPr>
                <w:sz w:val="17"/>
                <w:szCs w:val="17"/>
                <w:color w:val="auto"/>
              </w:rPr>
            </w:pPr>
          </w:p>
        </w:tc>
      </w:tr>
      <w:tr>
        <w:trPr>
          <w:trHeight w:val="196"/>
        </w:trPr>
        <w:tc>
          <w:tcPr>
            <w:tcW w:w="96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2,032,810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Future gross minimum lease payments disclosed in the above table excludes the lease payments of the vessels that are under construction.</w:t>
      </w:r>
    </w:p>
    <w:p>
      <w:pPr>
        <w:spacing w:after="0" w:line="235" w:lineRule="exact"/>
        <w:rPr>
          <w:sz w:val="20"/>
          <w:szCs w:val="20"/>
          <w:color w:val="auto"/>
        </w:rPr>
      </w:pPr>
    </w:p>
    <w:p>
      <w:pPr>
        <w:ind w:left="240" w:right="60" w:hanging="232"/>
        <w:spacing w:after="0" w:line="278" w:lineRule="auto"/>
        <w:tabs>
          <w:tab w:leader="none" w:pos="23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April and May 2017, GasLog LNG Services Ltd. entered into agreements in relation to some of the Group’s vessels, with the aim of enhancing their operational performance. Commitments relating to these agreements, without including additional estimated costs for which no agreement had been signed as of March 31, 2018, are as follows:</w:t>
      </w:r>
    </w:p>
    <w:p>
      <w:pPr>
        <w:sectPr>
          <w:pgSz w:w="11900" w:h="16838" w:orient="portrait"/>
          <w:cols w:equalWidth="0" w:num="1">
            <w:col w:w="11460"/>
          </w:cols>
          <w:pgMar w:left="240" w:top="342" w:right="199" w:bottom="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Not later than one year</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-6293485</wp:posOffset>
            </wp:positionH>
            <wp:positionV relativeFrom="paragraph">
              <wp:posOffset>20320</wp:posOffset>
            </wp:positionV>
            <wp:extent cx="72466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28,371</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b w:val="1"/>
          <w:bCs w:val="1"/>
          <w:color w:val="auto"/>
        </w:rPr>
        <w:t>28,371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-6293485</wp:posOffset>
            </wp:positionH>
            <wp:positionV relativeFrom="paragraph">
              <wp:posOffset>-116205</wp:posOffset>
            </wp:positionV>
            <wp:extent cx="72466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200" w:space="720"/>
            <w:col w:w="1540"/>
          </w:cols>
          <w:pgMar w:left="240" w:top="342" w:right="199" w:bottom="0" w:gutter="0" w:footer="0" w:header="0"/>
          <w:type w:val="continuous"/>
        </w:sectPr>
      </w:pPr>
    </w:p>
    <w:p>
      <w:pPr>
        <w:spacing w:after="0" w:line="79" w:lineRule="exact"/>
        <w:rPr>
          <w:sz w:val="20"/>
          <w:szCs w:val="20"/>
          <w:color w:val="auto"/>
        </w:rPr>
      </w:pPr>
    </w:p>
    <w:p>
      <w:pPr>
        <w:ind w:left="260" w:right="200" w:hanging="252"/>
        <w:spacing w:after="0" w:line="286" w:lineRule="auto"/>
        <w:tabs>
          <w:tab w:leader="none" w:pos="272" w:val="left"/>
        </w:tabs>
        <w:numPr>
          <w:ilvl w:val="0"/>
          <w:numId w:val="18"/>
        </w:numPr>
        <w:rPr>
          <w:rFonts w:ascii="Arial" w:cs="Arial" w:eastAsia="Arial" w:hAnsi="Arial"/>
          <w:sz w:val="17"/>
          <w:szCs w:val="17"/>
          <w:color w:val="auto"/>
        </w:rPr>
      </w:pPr>
      <w:r>
        <w:rPr>
          <w:rFonts w:ascii="Arial" w:cs="Arial" w:eastAsia="Arial" w:hAnsi="Arial"/>
          <w:sz w:val="15"/>
          <w:szCs w:val="15"/>
          <w:color w:val="auto"/>
        </w:rPr>
        <w:t>Related to the acquisition of six vessels from a subsidiary of MSL in 2014 and another two vessels in 2015, the Group is committed to purchase depot spares from MSL with an aggregate value of $8,000 of which depot spares with value of $660 have been purchased and paid as of March 31, 2018 and are included in Tangible fixed assets (Note 5). The remaining spares are expected to be acquired before the end of the initial term of the charter party agreements.</w:t>
      </w:r>
    </w:p>
    <w:p>
      <w:pPr>
        <w:spacing w:after="0" w:line="193" w:lineRule="exact"/>
        <w:rPr>
          <w:rFonts w:ascii="Arial" w:cs="Arial" w:eastAsia="Arial" w:hAnsi="Arial"/>
          <w:sz w:val="17"/>
          <w:szCs w:val="17"/>
          <w:color w:val="auto"/>
        </w:rPr>
      </w:pPr>
    </w:p>
    <w:p>
      <w:pPr>
        <w:ind w:left="260" w:right="60" w:hanging="252"/>
        <w:spacing w:after="0" w:line="263"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6"/>
          <w:szCs w:val="16"/>
          <w:color w:val="auto"/>
        </w:rPr>
        <w:t>On November 2, 2015, a letter agreement between GasLog and MSL was signed reimbursing MSL the sum of $2,654 for value as of November 1, 2015, adjusted for future value through January 2020 up to $3,801, allowing for the future use of the reimbursement amount against the funding of specific MSL projects, such as costs associated with change orders on LNG newbuildings and/or modifications of existing vessels as agreed between the parties. As of March 31, 2018, the outstanding commitment is $1,321.</w:t>
      </w:r>
    </w:p>
    <w:p>
      <w:pPr>
        <w:spacing w:after="0" w:line="208" w:lineRule="exact"/>
        <w:rPr>
          <w:rFonts w:ascii="Arial" w:cs="Arial" w:eastAsia="Arial" w:hAnsi="Arial"/>
          <w:sz w:val="18"/>
          <w:szCs w:val="18"/>
          <w:color w:val="auto"/>
        </w:rPr>
      </w:pPr>
    </w:p>
    <w:p>
      <w:pPr>
        <w:ind w:left="260" w:right="80" w:hanging="252"/>
        <w:spacing w:after="0" w:line="284" w:lineRule="auto"/>
        <w:tabs>
          <w:tab w:leader="none" w:pos="282" w:val="left"/>
        </w:tabs>
        <w:numPr>
          <w:ilvl w:val="0"/>
          <w:numId w:val="18"/>
        </w:numPr>
        <w:rPr>
          <w:rFonts w:ascii="Arial" w:cs="Arial" w:eastAsia="Arial" w:hAnsi="Arial"/>
          <w:sz w:val="17"/>
          <w:szCs w:val="17"/>
          <w:color w:val="auto"/>
        </w:rPr>
      </w:pPr>
      <w:r>
        <w:rPr>
          <w:rFonts w:ascii="Arial" w:cs="Arial" w:eastAsia="Arial" w:hAnsi="Arial"/>
          <w:sz w:val="15"/>
          <w:szCs w:val="15"/>
          <w:color w:val="auto"/>
        </w:rPr>
        <w:t>On October 11, 2016, GasLog LNG Services Ltd. entered into an arrangement whereby it has access to all long lead items (“LLIs”) necessary for the conversion of a GasLog LNG carrier vessel into an FSRU whereby such conversion work would be undertaken by Keppel. GasLog is only obligated to pay for such LLIs if utilized for a GasLog vessel conversion or, if the same have not been utilized in a GasLog vessel conversion within three years from November 2016, the items may be put to GasLog at 110% of the original cost, or GasLog may call for the purchase of such LLIs at a discounted price of 85% of the original cost.</w:t>
      </w:r>
    </w:p>
    <w:p>
      <w:pPr>
        <w:spacing w:after="0" w:line="182" w:lineRule="exact"/>
        <w:rPr>
          <w:rFonts w:ascii="Arial" w:cs="Arial" w:eastAsia="Arial" w:hAnsi="Arial"/>
          <w:sz w:val="17"/>
          <w:szCs w:val="17"/>
          <w:color w:val="auto"/>
        </w:rPr>
      </w:pPr>
    </w:p>
    <w:p>
      <w:pPr>
        <w:ind w:right="60" w:firstLine="8"/>
        <w:spacing w:after="0" w:line="293" w:lineRule="auto"/>
        <w:tabs>
          <w:tab w:leader="none" w:pos="23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July 10, 2017, GasLog entered into an agreement with Keppel for the detailed engineering in relation to an FSRU conversion of one vessel. Commitment relating to this agreement as of March 31, 2018 is as follows:</w:t>
      </w:r>
    </w:p>
    <w:p>
      <w:pPr>
        <w:sectPr>
          <w:pgSz w:w="11900" w:h="16838" w:orient="portrait"/>
          <w:cols w:equalWidth="0" w:num="1">
            <w:col w:w="11460"/>
          </w:cols>
          <w:pgMar w:left="240" w:top="342" w:right="199" w:bottom="0" w:gutter="0" w:footer="0" w:header="0"/>
          <w:type w:val="continuous"/>
        </w:sect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Not later than one year</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-6293485</wp:posOffset>
            </wp:positionH>
            <wp:positionV relativeFrom="paragraph">
              <wp:posOffset>20320</wp:posOffset>
            </wp:positionV>
            <wp:extent cx="72466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5" w:lineRule="exact"/>
        <w:rPr>
          <w:sz w:val="20"/>
          <w:szCs w:val="20"/>
          <w:color w:val="auto"/>
        </w:rPr>
      </w:pPr>
    </w:p>
    <w:p>
      <w:pPr>
        <w:jc w:val="right"/>
        <w:ind w:right="140"/>
        <w:spacing w:after="0"/>
        <w:rPr>
          <w:sz w:val="20"/>
          <w:szCs w:val="20"/>
          <w:color w:val="auto"/>
        </w:rPr>
      </w:pPr>
      <w:r>
        <w:rPr>
          <w:rFonts w:ascii="Arial" w:cs="Arial" w:eastAsia="Arial" w:hAnsi="Arial"/>
          <w:sz w:val="16"/>
          <w:szCs w:val="16"/>
          <w:color w:val="auto"/>
        </w:rPr>
        <w:t>3,787</w:t>
      </w:r>
    </w:p>
    <w:p>
      <w:pPr>
        <w:spacing w:after="0" w:line="28" w:lineRule="exact"/>
        <w:rPr>
          <w:sz w:val="20"/>
          <w:szCs w:val="20"/>
          <w:color w:val="auto"/>
        </w:rPr>
      </w:pPr>
    </w:p>
    <w:p>
      <w:pPr>
        <w:jc w:val="right"/>
        <w:ind w:right="140"/>
        <w:spacing w:after="0"/>
        <w:rPr>
          <w:sz w:val="20"/>
          <w:szCs w:val="20"/>
          <w:color w:val="auto"/>
        </w:rPr>
      </w:pPr>
      <w:r>
        <w:rPr>
          <w:rFonts w:ascii="Arial" w:cs="Arial" w:eastAsia="Arial" w:hAnsi="Arial"/>
          <w:sz w:val="16"/>
          <w:szCs w:val="16"/>
          <w:b w:val="1"/>
          <w:bCs w:val="1"/>
          <w:color w:val="auto"/>
        </w:rPr>
        <w:t>3,787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-6293485</wp:posOffset>
            </wp:positionH>
            <wp:positionV relativeFrom="paragraph">
              <wp:posOffset>-116205</wp:posOffset>
            </wp:positionV>
            <wp:extent cx="72466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200" w:space="720"/>
            <w:col w:w="1540"/>
          </w:cols>
          <w:pgMar w:left="240" w:top="342" w:right="199" w:bottom="0" w:gutter="0" w:footer="0" w:header="0"/>
          <w:type w:val="continuous"/>
        </w:sectPr>
      </w:pPr>
    </w:p>
    <w:p>
      <w:pPr>
        <w:spacing w:after="0" w:line="79" w:lineRule="exact"/>
        <w:rPr>
          <w:sz w:val="20"/>
          <w:szCs w:val="20"/>
          <w:color w:val="auto"/>
        </w:rPr>
      </w:pPr>
    </w:p>
    <w:p>
      <w:pPr>
        <w:ind w:left="260" w:right="200" w:hanging="252"/>
        <w:spacing w:after="0" w:line="263" w:lineRule="auto"/>
        <w:tabs>
          <w:tab w:leader="none" w:pos="282" w:val="left"/>
        </w:tabs>
        <w:numPr>
          <w:ilvl w:val="0"/>
          <w:numId w:val="19"/>
        </w:numPr>
        <w:rPr>
          <w:rFonts w:ascii="Arial" w:cs="Arial" w:eastAsia="Arial" w:hAnsi="Arial"/>
          <w:sz w:val="18"/>
          <w:szCs w:val="18"/>
          <w:color w:val="auto"/>
        </w:rPr>
      </w:pPr>
      <w:r>
        <w:rPr>
          <w:rFonts w:ascii="Arial" w:cs="Arial" w:eastAsia="Arial" w:hAnsi="Arial"/>
          <w:sz w:val="16"/>
          <w:szCs w:val="16"/>
          <w:color w:val="auto"/>
        </w:rPr>
        <w:t>On September 27, 2017 (and in addition to the seven existing maintenance agreements signed in 2014 in relation to GasLog vessels), GasLog LNG Services Ltd. entered into further maintenance agreements with Wartsila Greece S.A. in respect of eight GasLog LNG carriers. The agreements cover the renewal of existing maintenance agreements on four GasLog vessels and extend the servicing to four additional LNG carriers. The agreements ensure dynamic maintenance planning, technical support, security of spare parts supply, specialist technical personnel and performance monitoring.</w:t>
      </w:r>
    </w:p>
    <w:p>
      <w:pPr>
        <w:sectPr>
          <w:pgSz w:w="11900" w:h="16838" w:orient="portrait"/>
          <w:cols w:equalWidth="0" w:num="1">
            <w:col w:w="11460"/>
          </w:cols>
          <w:pgMar w:left="240" w:top="342" w:right="199" w:bottom="0" w:gutter="0" w:footer="0" w:header="0"/>
          <w:type w:val="continuous"/>
        </w:sectPr>
      </w:pPr>
    </w:p>
    <w:bookmarkStart w:id="28" w:name="page29"/>
    <w:bookmarkEnd w:id="28"/>
    <w:p>
      <w:pPr>
        <w:jc w:val="center"/>
        <w:ind w:right="40"/>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20" w:firstLine="436"/>
        <w:spacing w:after="0" w:line="305" w:lineRule="auto"/>
        <w:rPr>
          <w:sz w:val="20"/>
          <w:szCs w:val="20"/>
          <w:color w:val="auto"/>
        </w:rPr>
      </w:pPr>
      <w:r>
        <w:rPr>
          <w:rFonts w:ascii="Arial" w:cs="Arial" w:eastAsia="Arial" w:hAnsi="Arial"/>
          <w:sz w:val="15"/>
          <w:szCs w:val="15"/>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gridSpan w:val="2"/>
          </w:tcPr>
          <w:p>
            <w:pPr>
              <w:spacing w:after="0"/>
              <w:rPr>
                <w:sz w:val="20"/>
                <w:szCs w:val="20"/>
                <w:color w:val="auto"/>
              </w:rPr>
            </w:pPr>
            <w:r>
              <w:rPr>
                <w:rFonts w:ascii="Arial" w:cs="Arial" w:eastAsia="Arial" w:hAnsi="Arial"/>
                <w:sz w:val="16"/>
                <w:szCs w:val="16"/>
                <w:b w:val="1"/>
                <w:bCs w:val="1"/>
                <w:color w:val="auto"/>
              </w:rPr>
              <w:t>14. Derivative Financial Instruments</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8200" w:type="dxa"/>
            <w:vAlign w:val="bottom"/>
            <w:gridSpan w:val="2"/>
          </w:tcPr>
          <w:p>
            <w:pPr>
              <w:ind w:left="380"/>
              <w:spacing w:after="0"/>
              <w:rPr>
                <w:sz w:val="20"/>
                <w:szCs w:val="20"/>
                <w:color w:val="auto"/>
              </w:rPr>
            </w:pPr>
            <w:r>
              <w:rPr>
                <w:rFonts w:ascii="Arial" w:cs="Arial" w:eastAsia="Arial" w:hAnsi="Arial"/>
                <w:sz w:val="16"/>
                <w:szCs w:val="16"/>
                <w:color w:val="auto"/>
              </w:rPr>
              <w:t>The fair value of the derivative assets is as follows: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78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Borders>
              <w:bottom w:val="single" w:sz="8" w:color="E5FFFF"/>
            </w:tcBorders>
          </w:tcPr>
          <w:p>
            <w:pPr>
              <w:spacing w:after="0"/>
              <w:rPr>
                <w:sz w:val="18"/>
                <w:szCs w:val="18"/>
                <w:color w:val="auto"/>
              </w:rPr>
            </w:pPr>
          </w:p>
        </w:tc>
        <w:tc>
          <w:tcPr>
            <w:tcW w:w="28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assets carried at fair value through profit or loss (FVTPL)</w:t>
            </w:r>
          </w:p>
        </w:tc>
        <w:tc>
          <w:tcPr>
            <w:tcW w:w="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3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Interest rate swaps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11,535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26,638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color w:val="auto"/>
              </w:rPr>
              <w:t>Forward foreign exchange contracts</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2,123</w:t>
            </w: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2,971</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6"/>
                <w:szCs w:val="16"/>
                <w:b w:val="1"/>
                <w:bCs w:val="1"/>
                <w:color w:val="auto"/>
              </w:rPr>
              <w:t>Derivative assets designated and effective as hedging instruments carried at fair value</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color w:val="auto"/>
              </w:rPr>
              <w:t>Cross currency swaps</w:t>
            </w:r>
          </w:p>
        </w:tc>
        <w:tc>
          <w:tcPr>
            <w:tcW w:w="13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4,553</w:t>
            </w: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9,944</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0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18,211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7820" w:type="dxa"/>
            <w:vAlign w:val="bottom"/>
            <w:tcBorders>
              <w:top w:val="single" w:sz="8" w:color="E5FFFF"/>
            </w:tcBorders>
            <w:shd w:val="clear" w:color="auto" w:fill="E5FFFF"/>
          </w:tcPr>
          <w:p>
            <w:pPr>
              <w:spacing w:after="0" w:line="177" w:lineRule="exact"/>
              <w:rPr>
                <w:sz w:val="20"/>
                <w:szCs w:val="20"/>
                <w:color w:val="auto"/>
              </w:rPr>
            </w:pPr>
            <w:r>
              <w:rPr>
                <w:rFonts w:ascii="Arial" w:cs="Arial" w:eastAsia="Arial" w:hAnsi="Arial"/>
                <w:sz w:val="16"/>
                <w:szCs w:val="16"/>
                <w:color w:val="auto"/>
              </w:rPr>
              <w:t>Derivative financial instruments, current assets</w:t>
            </w:r>
          </w:p>
        </w:tc>
        <w:tc>
          <w:tcPr>
            <w:tcW w:w="136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2,199</w:t>
            </w:r>
          </w:p>
        </w:tc>
        <w:tc>
          <w:tcPr>
            <w:tcW w:w="20" w:type="dxa"/>
            <w:vAlign w:val="bottom"/>
            <w:tcBorders>
              <w:top w:val="single" w:sz="8" w:color="E5FFFF"/>
            </w:tcBorders>
            <w:shd w:val="clear" w:color="auto" w:fill="E5FFFF"/>
          </w:tcPr>
          <w:p>
            <w:pPr>
              <w:spacing w:after="0"/>
              <w:rPr>
                <w:sz w:val="15"/>
                <w:szCs w:val="15"/>
                <w:color w:val="auto"/>
              </w:rPr>
            </w:pPr>
          </w:p>
        </w:tc>
        <w:tc>
          <w:tcPr>
            <w:tcW w:w="280" w:type="dxa"/>
            <w:vAlign w:val="bottom"/>
            <w:tcBorders>
              <w:top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7,195</w:t>
            </w:r>
          </w:p>
        </w:tc>
        <w:tc>
          <w:tcPr>
            <w:tcW w:w="20" w:type="dxa"/>
            <w:vAlign w:val="bottom"/>
            <w:tcBorders>
              <w:top w:val="single" w:sz="8" w:color="E5FFFF"/>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Derivative financial instruments, non-current assets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16,012</w:t>
            </w:r>
          </w:p>
        </w:tc>
        <w:tc>
          <w:tcPr>
            <w:tcW w:w="20" w:type="dxa"/>
            <w:vAlign w:val="bottom"/>
            <w:tcBorders>
              <w:bottom w:val="single" w:sz="8" w:color="E5FFFF"/>
            </w:tcBorders>
          </w:tcPr>
          <w:p>
            <w:pPr>
              <w:spacing w:after="0"/>
              <w:rPr>
                <w:sz w:val="17"/>
                <w:szCs w:val="17"/>
                <w:color w:val="auto"/>
              </w:rPr>
            </w:pPr>
          </w:p>
        </w:tc>
        <w:tc>
          <w:tcPr>
            <w:tcW w:w="280" w:type="dxa"/>
            <w:vAlign w:val="bottom"/>
            <w:tcBorders>
              <w:bottom w:val="single" w:sz="8" w:color="E5FFFF"/>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32,358</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8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18,211</w:t>
            </w:r>
          </w:p>
        </w:tc>
        <w:tc>
          <w:tcPr>
            <w:tcW w:w="2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39,553</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20" w:type="dxa"/>
            <w:vAlign w:val="bottom"/>
            <w:vMerge w:val="restart"/>
          </w:tcPr>
          <w:p>
            <w:pPr>
              <w:ind w:left="20"/>
              <w:spacing w:after="0"/>
              <w:rPr>
                <w:sz w:val="20"/>
                <w:szCs w:val="20"/>
                <w:color w:val="auto"/>
              </w:rPr>
            </w:pPr>
            <w:r>
              <w:rPr>
                <w:rFonts w:ascii="Arial" w:cs="Arial" w:eastAsia="Arial" w:hAnsi="Arial"/>
                <w:sz w:val="16"/>
                <w:szCs w:val="16"/>
                <w:color w:val="auto"/>
              </w:rPr>
              <w:t>The fair value of the derivative liabilities is as follows:</w:t>
            </w: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8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December 31,</w:t>
            </w:r>
          </w:p>
        </w:tc>
        <w:tc>
          <w:tcPr>
            <w:tcW w:w="14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78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Derivative liabilities designated and effective as hedging instruments carried at fair value</w:t>
            </w:r>
          </w:p>
        </w:tc>
        <w:tc>
          <w:tcPr>
            <w:tcW w:w="2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Cross currency swaps</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605</w:t>
            </w:r>
          </w:p>
        </w:tc>
        <w:tc>
          <w:tcPr>
            <w:tcW w:w="280" w:type="dxa"/>
            <w:vAlign w:val="bottom"/>
          </w:tcPr>
          <w:p>
            <w:pPr>
              <w:spacing w:after="0"/>
              <w:rPr>
                <w:sz w:val="17"/>
                <w:szCs w:val="17"/>
                <w:color w:val="auto"/>
              </w:rPr>
            </w:pPr>
          </w:p>
        </w:tc>
        <w:tc>
          <w:tcPr>
            <w:tcW w:w="1460" w:type="dxa"/>
            <w:vAlign w:val="bottom"/>
            <w:gridSpan w:val="3"/>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Derivative liabilities carried at fair value through profit or loss (FVTPL)</w:t>
            </w:r>
          </w:p>
        </w:tc>
        <w:tc>
          <w:tcPr>
            <w:tcW w:w="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Interest rate swaps</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1,210</w:t>
            </w:r>
          </w:p>
        </w:tc>
        <w:tc>
          <w:tcPr>
            <w:tcW w:w="280" w:type="dxa"/>
            <w:vAlign w:val="bottom"/>
          </w:tcPr>
          <w:p>
            <w:pPr>
              <w:spacing w:after="0"/>
              <w:rPr>
                <w:sz w:val="17"/>
                <w:szCs w:val="17"/>
                <w:color w:val="auto"/>
              </w:rPr>
            </w:pPr>
          </w:p>
        </w:tc>
        <w:tc>
          <w:tcPr>
            <w:tcW w:w="1460" w:type="dxa"/>
            <w:vAlign w:val="bottom"/>
            <w:gridSpan w:val="3"/>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82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w:t>
            </w: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1,815</w:t>
            </w:r>
          </w:p>
        </w:tc>
        <w:tc>
          <w:tcPr>
            <w:tcW w:w="280" w:type="dxa"/>
            <w:vAlign w:val="bottom"/>
            <w:tcBorders>
              <w:top w:val="single" w:sz="8" w:color="E5FFFF"/>
              <w:bottom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gridSpan w:val="2"/>
            <w:shd w:val="clear" w:color="auto" w:fill="E5FFFF"/>
          </w:tcPr>
          <w:p>
            <w:pPr>
              <w:ind w:left="1200"/>
              <w:spacing w:after="0"/>
              <w:rPr>
                <w:sz w:val="20"/>
                <w:szCs w:val="20"/>
                <w:color w:val="auto"/>
              </w:rPr>
            </w:pPr>
            <w:r>
              <w:rPr>
                <w:rFonts w:ascii="Arial" w:cs="Arial" w:eastAsia="Arial" w:hAnsi="Arial"/>
                <w:sz w:val="16"/>
                <w:szCs w:val="16"/>
                <w:color w:val="auto"/>
                <w:w w:val="99"/>
              </w:rPr>
              <w:t>—</w:t>
            </w:r>
          </w:p>
        </w:tc>
        <w:tc>
          <w:tcPr>
            <w:tcW w:w="8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ind w:left="380"/>
              <w:spacing w:after="0"/>
              <w:rPr>
                <w:sz w:val="20"/>
                <w:szCs w:val="20"/>
                <w:color w:val="auto"/>
              </w:rPr>
            </w:pPr>
            <w:r>
              <w:rPr>
                <w:rFonts w:ascii="Arial" w:cs="Arial" w:eastAsia="Arial" w:hAnsi="Arial"/>
                <w:sz w:val="16"/>
                <w:szCs w:val="16"/>
                <w:color w:val="auto"/>
              </w:rPr>
              <w:t>Derivative financial instruments, current liability</w:t>
            </w:r>
          </w:p>
        </w:tc>
        <w:tc>
          <w:tcPr>
            <w:tcW w:w="1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1,815</w:t>
            </w:r>
          </w:p>
        </w:tc>
        <w:tc>
          <w:tcPr>
            <w:tcW w:w="280" w:type="dxa"/>
            <w:vAlign w:val="bottom"/>
          </w:tcPr>
          <w:p>
            <w:pPr>
              <w:spacing w:after="0"/>
              <w:rPr>
                <w:sz w:val="15"/>
                <w:szCs w:val="15"/>
                <w:color w:val="auto"/>
              </w:rPr>
            </w:pPr>
          </w:p>
        </w:tc>
        <w:tc>
          <w:tcPr>
            <w:tcW w:w="1380" w:type="dxa"/>
            <w:vAlign w:val="bottom"/>
            <w:tcBorders>
              <w:top w:val="single" w:sz="8" w:color="auto"/>
            </w:tcBorders>
            <w:gridSpan w:val="2"/>
          </w:tcPr>
          <w:p>
            <w:pPr>
              <w:ind w:left="12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78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liability</w:t>
            </w:r>
          </w:p>
        </w:tc>
        <w:tc>
          <w:tcPr>
            <w:tcW w:w="20" w:type="dxa"/>
            <w:vAlign w:val="bottom"/>
            <w:shd w:val="clear" w:color="auto" w:fill="E5FFFF"/>
          </w:tcPr>
          <w:p>
            <w:pPr>
              <w:spacing w:after="0"/>
              <w:rPr>
                <w:sz w:val="17"/>
                <w:szCs w:val="17"/>
                <w:color w:val="auto"/>
              </w:rPr>
            </w:pPr>
          </w:p>
        </w:tc>
        <w:tc>
          <w:tcPr>
            <w:tcW w:w="1640" w:type="dxa"/>
            <w:vAlign w:val="bottom"/>
            <w:gridSpan w:val="3"/>
            <w:shd w:val="clear" w:color="auto" w:fill="E5FFFF"/>
          </w:tcPr>
          <w:p>
            <w:pPr>
              <w:jc w:val="right"/>
              <w:ind w:right="280"/>
              <w:spacing w:after="0"/>
              <w:rPr>
                <w:sz w:val="20"/>
                <w:szCs w:val="20"/>
                <w:color w:val="auto"/>
              </w:rPr>
            </w:pPr>
            <w:r>
              <w:rPr>
                <w:rFonts w:ascii="Arial" w:cs="Arial" w:eastAsia="Arial" w:hAnsi="Arial"/>
                <w:sz w:val="16"/>
                <w:szCs w:val="16"/>
                <w:b w:val="1"/>
                <w:bCs w:val="1"/>
                <w:color w:val="auto"/>
              </w:rPr>
              <w:t>—</w:t>
            </w:r>
          </w:p>
        </w:tc>
        <w:tc>
          <w:tcPr>
            <w:tcW w:w="1460" w:type="dxa"/>
            <w:vAlign w:val="bottom"/>
            <w:gridSpan w:val="3"/>
            <w:shd w:val="clear" w:color="auto" w:fill="E5FF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820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7"/>
                <w:szCs w:val="17"/>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1,815</w:t>
            </w:r>
          </w:p>
        </w:tc>
        <w:tc>
          <w:tcPr>
            <w:tcW w:w="280" w:type="dxa"/>
            <w:vAlign w:val="bottom"/>
          </w:tcPr>
          <w:p>
            <w:pPr>
              <w:spacing w:after="0"/>
              <w:rPr>
                <w:sz w:val="17"/>
                <w:szCs w:val="17"/>
                <w:color w:val="auto"/>
              </w:rPr>
            </w:pPr>
          </w:p>
        </w:tc>
        <w:tc>
          <w:tcPr>
            <w:tcW w:w="1380" w:type="dxa"/>
            <w:vAlign w:val="bottom"/>
            <w:tcBorders>
              <w:top w:val="single" w:sz="8" w:color="auto"/>
              <w:bottom w:val="single" w:sz="8" w:color="auto"/>
            </w:tcBorders>
            <w:gridSpan w:val="2"/>
          </w:tcPr>
          <w:p>
            <w:pPr>
              <w:ind w:left="12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agreements</w:t>
      </w:r>
    </w:p>
    <w:p>
      <w:pPr>
        <w:spacing w:after="0" w:line="239" w:lineRule="exact"/>
        <w:rPr>
          <w:sz w:val="20"/>
          <w:szCs w:val="20"/>
          <w:color w:val="auto"/>
        </w:rPr>
      </w:pPr>
    </w:p>
    <w:p>
      <w:pPr>
        <w:ind w:right="100" w:firstLine="356"/>
        <w:spacing w:after="0" w:line="335" w:lineRule="auto"/>
        <w:rPr>
          <w:sz w:val="20"/>
          <w:szCs w:val="20"/>
          <w:color w:val="auto"/>
        </w:rPr>
      </w:pPr>
      <w:r>
        <w:rPr>
          <w:rFonts w:ascii="Arial" w:cs="Arial" w:eastAsia="Arial" w:hAnsi="Arial"/>
          <w:sz w:val="14"/>
          <w:szCs w:val="14"/>
          <w:color w:val="auto"/>
        </w:rPr>
        <w:t>The Group enters into interest rate swap agreements which convert the floating interest rate exposure into a fixed interest rate in order to economically hedge a portion of the Group’s exposure to fluctuations in prevailing market interest rates. Under the interest rate swaps, the bank counterparty effects quarterly floating-rate payments to the Group for the notional amount based on the U.S. dollar LIBOR, and the Group effects quarterly payments to the bank on the notional amounts at the respective fixed rates.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swaps held for trading</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interest rate swaps held for trading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Trade</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Termination</w:t>
            </w: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Fixed Interest</w:t>
            </w:r>
          </w:p>
        </w:tc>
        <w:tc>
          <w:tcPr>
            <w:tcW w:w="322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19"/>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8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Counterparty</w:t>
            </w:r>
          </w:p>
        </w:tc>
        <w:tc>
          <w:tcPr>
            <w:tcW w:w="102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660" w:type="dxa"/>
            <w:vAlign w:val="bottom"/>
            <w:tcBorders>
              <w:top w:val="single" w:sz="8" w:color="auto"/>
            </w:tcBorders>
            <w:gridSpan w:val="2"/>
          </w:tcPr>
          <w:p>
            <w:pPr>
              <w:ind w:left="360"/>
              <w:spacing w:after="0" w:line="119" w:lineRule="exact"/>
              <w:rPr>
                <w:sz w:val="20"/>
                <w:szCs w:val="20"/>
                <w:color w:val="auto"/>
              </w:rPr>
            </w:pPr>
            <w:r>
              <w:rPr>
                <w:rFonts w:ascii="Arial" w:cs="Arial" w:eastAsia="Arial" w:hAnsi="Arial"/>
                <w:sz w:val="13"/>
                <w:szCs w:val="13"/>
                <w:b w:val="1"/>
                <w:bCs w:val="1"/>
                <w:color w:val="auto"/>
              </w:rPr>
              <w:t>December 31,</w:t>
            </w:r>
          </w:p>
        </w:tc>
        <w:tc>
          <w:tcPr>
            <w:tcW w:w="1520" w:type="dxa"/>
            <w:vAlign w:val="bottom"/>
            <w:tcBorders>
              <w:top w:val="single" w:sz="8" w:color="auto"/>
            </w:tcBorders>
          </w:tcPr>
          <w:p>
            <w:pPr>
              <w:jc w:val="right"/>
              <w:ind w:right="360"/>
              <w:spacing w:after="0" w:line="119"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8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Date</w:t>
            </w: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Date</w:t>
            </w:r>
          </w:p>
        </w:tc>
        <w:tc>
          <w:tcPr>
            <w:tcW w:w="13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Rate</w:t>
            </w:r>
          </w:p>
        </w:tc>
        <w:tc>
          <w:tcPr>
            <w:tcW w:w="1560" w:type="dxa"/>
            <w:vAlign w:val="bottom"/>
          </w:tcPr>
          <w:p>
            <w:pPr>
              <w:jc w:val="right"/>
              <w:ind w:right="560"/>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520" w:type="dxa"/>
            <w:vAlign w:val="bottom"/>
          </w:tcPr>
          <w:p>
            <w:pPr>
              <w:jc w:val="right"/>
              <w:ind w:right="540"/>
              <w:spacing w:after="0" w:line="158"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880" w:type="dxa"/>
            <w:vAlign w:val="bottom"/>
            <w:tcBorders>
              <w:top w:val="single" w:sz="8" w:color="E5FFFF"/>
            </w:tcBorders>
            <w:shd w:val="clear" w:color="auto" w:fill="E5FFFF"/>
          </w:tcPr>
          <w:p>
            <w:pPr>
              <w:spacing w:after="0"/>
              <w:rPr>
                <w:sz w:val="16"/>
                <w:szCs w:val="16"/>
                <w:color w:val="auto"/>
              </w:rPr>
            </w:pPr>
          </w:p>
        </w:tc>
        <w:tc>
          <w:tcPr>
            <w:tcW w:w="17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100" w:type="dxa"/>
            <w:vAlign w:val="bottom"/>
            <w:tcBorders>
              <w:top w:val="single" w:sz="8" w:color="E5FFFF"/>
            </w:tcBorders>
            <w:shd w:val="clear" w:color="auto" w:fill="E5FFFF"/>
          </w:tcPr>
          <w:p>
            <w:pPr>
              <w:spacing w:after="0"/>
              <w:rPr>
                <w:sz w:val="16"/>
                <w:szCs w:val="16"/>
                <w:color w:val="auto"/>
              </w:rPr>
            </w:pPr>
          </w:p>
        </w:tc>
        <w:tc>
          <w:tcPr>
            <w:tcW w:w="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2016</w:t>
            </w:r>
          </w:p>
        </w:tc>
        <w:tc>
          <w:tcPr>
            <w:tcW w:w="100" w:type="dxa"/>
            <w:vAlign w:val="bottom"/>
            <w:tcBorders>
              <w:top w:val="single" w:sz="8" w:color="E5FFFF"/>
            </w:tcBorders>
            <w:shd w:val="clear" w:color="auto" w:fill="E5FFFF"/>
          </w:tcPr>
          <w:p>
            <w:pPr>
              <w:spacing w:after="0"/>
              <w:rPr>
                <w:sz w:val="16"/>
                <w:szCs w:val="16"/>
                <w:color w:val="auto"/>
              </w:rPr>
            </w:pPr>
          </w:p>
        </w:tc>
        <w:tc>
          <w:tcPr>
            <w:tcW w:w="10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0"/>
              </w:rPr>
              <w:t>July 2016</w:t>
            </w:r>
          </w:p>
        </w:tc>
        <w:tc>
          <w:tcPr>
            <w:tcW w:w="10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July 2020</w:t>
            </w:r>
          </w:p>
        </w:tc>
        <w:tc>
          <w:tcPr>
            <w:tcW w:w="100" w:type="dxa"/>
            <w:vAlign w:val="bottom"/>
            <w:tcBorders>
              <w:top w:val="single" w:sz="8" w:color="E5FFFF"/>
            </w:tcBorders>
            <w:shd w:val="clear" w:color="auto" w:fill="E5FFFF"/>
          </w:tcPr>
          <w:p>
            <w:pPr>
              <w:spacing w:after="0"/>
              <w:rPr>
                <w:sz w:val="16"/>
                <w:szCs w:val="16"/>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100" w:type="dxa"/>
            <w:vAlign w:val="bottom"/>
            <w:tcBorders>
              <w:top w:val="single" w:sz="8" w:color="E5FFFF"/>
            </w:tcBorders>
            <w:shd w:val="clear" w:color="auto" w:fill="E5FFFF"/>
          </w:tcPr>
          <w:p>
            <w:pPr>
              <w:spacing w:after="0"/>
              <w:rPr>
                <w:sz w:val="16"/>
                <w:szCs w:val="16"/>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100" w:type="dxa"/>
            <w:vAlign w:val="bottom"/>
            <w:tcBorders>
              <w:top w:val="single" w:sz="8" w:color="E5FFFF"/>
            </w:tcBorders>
            <w:shd w:val="clear" w:color="auto" w:fill="E5FFFF"/>
          </w:tcPr>
          <w:p>
            <w:pPr>
              <w:spacing w:after="0"/>
              <w:rPr>
                <w:sz w:val="16"/>
                <w:szCs w:val="16"/>
                <w:color w:val="auto"/>
              </w:rPr>
            </w:pP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Deutsche Bank AG</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1.98%</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66,667</w:t>
            </w:r>
          </w:p>
        </w:tc>
        <w:tc>
          <w:tcPr>
            <w:tcW w:w="1520" w:type="dxa"/>
            <w:vAlign w:val="bottom"/>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Deutsche Bank AG</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2022</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1.98%</w:t>
            </w:r>
          </w:p>
        </w:tc>
        <w:tc>
          <w:tcPr>
            <w:tcW w:w="10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66,667</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DNB Bank ASA</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73,333</w:t>
            </w:r>
          </w:p>
        </w:tc>
        <w:tc>
          <w:tcPr>
            <w:tcW w:w="1520" w:type="dxa"/>
            <w:vAlign w:val="bottom"/>
          </w:tcPr>
          <w:p>
            <w:pPr>
              <w:jc w:val="right"/>
              <w:spacing w:after="0"/>
              <w:rPr>
                <w:sz w:val="20"/>
                <w:szCs w:val="20"/>
                <w:color w:val="auto"/>
              </w:rPr>
            </w:pPr>
            <w:r>
              <w:rPr>
                <w:rFonts w:ascii="Arial" w:cs="Arial" w:eastAsia="Arial" w:hAnsi="Arial"/>
                <w:sz w:val="16"/>
                <w:szCs w:val="16"/>
                <w:color w:val="auto"/>
              </w:rPr>
              <w:t>73,333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(“DNB”)</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2020</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1.784%</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DNB</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2021</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1.729%</w:t>
            </w:r>
          </w:p>
        </w:tc>
        <w:tc>
          <w:tcPr>
            <w:tcW w:w="10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73,333</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DNB</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1.719%</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73,333</w:t>
            </w:r>
          </w:p>
        </w:tc>
        <w:tc>
          <w:tcPr>
            <w:tcW w:w="1520" w:type="dxa"/>
            <w:vAlign w:val="bottom"/>
          </w:tcPr>
          <w:p>
            <w:pPr>
              <w:jc w:val="right"/>
              <w:spacing w:after="0"/>
              <w:rPr>
                <w:sz w:val="20"/>
                <w:szCs w:val="20"/>
                <w:color w:val="auto"/>
              </w:rPr>
            </w:pPr>
            <w:r>
              <w:rPr>
                <w:rFonts w:ascii="Arial" w:cs="Arial" w:eastAsia="Arial" w:hAnsi="Arial"/>
                <w:sz w:val="16"/>
                <w:szCs w:val="16"/>
                <w:color w:val="auto"/>
              </w:rPr>
              <w:t>73,333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0" w:type="dxa"/>
            <w:vAlign w:val="bottom"/>
            <w:shd w:val="clear" w:color="auto" w:fill="E5FFFF"/>
          </w:tcPr>
          <w:p>
            <w:pPr>
              <w:spacing w:after="0"/>
              <w:rPr>
                <w:sz w:val="16"/>
                <w:szCs w:val="16"/>
                <w:color w:val="auto"/>
              </w:rPr>
            </w:pPr>
          </w:p>
        </w:tc>
        <w:tc>
          <w:tcPr>
            <w:tcW w:w="880" w:type="dxa"/>
            <w:vAlign w:val="bottom"/>
            <w:shd w:val="clear" w:color="auto" w:fill="E5FFFF"/>
          </w:tcPr>
          <w:p>
            <w:pPr>
              <w:spacing w:after="0"/>
              <w:rPr>
                <w:sz w:val="16"/>
                <w:szCs w:val="16"/>
                <w:color w:val="auto"/>
              </w:rPr>
            </w:pP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 Bank plc</w:t>
            </w:r>
          </w:p>
        </w:tc>
        <w:tc>
          <w:tcPr>
            <w:tcW w:w="9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2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1.896%</w:t>
            </w:r>
          </w:p>
        </w:tc>
        <w:tc>
          <w:tcPr>
            <w:tcW w:w="10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33,333</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HSBC</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1.818%</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33,333</w:t>
            </w:r>
          </w:p>
        </w:tc>
        <w:tc>
          <w:tcPr>
            <w:tcW w:w="1520" w:type="dxa"/>
            <w:vAlign w:val="bottom"/>
          </w:tcPr>
          <w:p>
            <w:pPr>
              <w:jc w:val="right"/>
              <w:spacing w:after="0"/>
              <w:rPr>
                <w:sz w:val="20"/>
                <w:szCs w:val="20"/>
                <w:color w:val="auto"/>
              </w:rPr>
            </w:pPr>
            <w:r>
              <w:rPr>
                <w:rFonts w:ascii="Arial" w:cs="Arial" w:eastAsia="Arial" w:hAnsi="Arial"/>
                <w:sz w:val="16"/>
                <w:szCs w:val="16"/>
                <w:color w:val="auto"/>
              </w:rPr>
              <w:t>33,333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HSBC</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2022</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1.79%</w:t>
            </w:r>
          </w:p>
        </w:tc>
        <w:tc>
          <w:tcPr>
            <w:tcW w:w="10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33,333</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Nordea Bank Finland</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2020</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1.905%</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66,667</w:t>
            </w:r>
          </w:p>
        </w:tc>
        <w:tc>
          <w:tcPr>
            <w:tcW w:w="1520" w:type="dxa"/>
            <w:vAlign w:val="bottom"/>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 Bank Finland</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2021</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1.84%</w:t>
            </w:r>
          </w:p>
        </w:tc>
        <w:tc>
          <w:tcPr>
            <w:tcW w:w="10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66,667</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Nordea Bank Finland</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1.815%</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66,667</w:t>
            </w:r>
          </w:p>
        </w:tc>
        <w:tc>
          <w:tcPr>
            <w:tcW w:w="1520" w:type="dxa"/>
            <w:vAlign w:val="bottom"/>
          </w:tcPr>
          <w:p>
            <w:pPr>
              <w:jc w:val="right"/>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0" w:type="dxa"/>
            <w:vAlign w:val="bottom"/>
            <w:shd w:val="clear" w:color="auto" w:fill="E5FFFF"/>
          </w:tcPr>
          <w:p>
            <w:pPr>
              <w:spacing w:after="0"/>
              <w:rPr>
                <w:sz w:val="16"/>
                <w:szCs w:val="16"/>
                <w:color w:val="auto"/>
              </w:rPr>
            </w:pPr>
          </w:p>
        </w:tc>
        <w:tc>
          <w:tcPr>
            <w:tcW w:w="880" w:type="dxa"/>
            <w:vAlign w:val="bottom"/>
            <w:shd w:val="clear" w:color="auto" w:fill="E5FFFF"/>
          </w:tcPr>
          <w:p>
            <w:pPr>
              <w:spacing w:after="0"/>
              <w:rPr>
                <w:sz w:val="16"/>
                <w:szCs w:val="16"/>
                <w:color w:val="auto"/>
              </w:rPr>
            </w:pP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Skandinavinska Enskilda</w:t>
            </w:r>
          </w:p>
        </w:tc>
        <w:tc>
          <w:tcPr>
            <w:tcW w:w="9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6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2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Banken AB (“SEB”)</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1.928%</w:t>
            </w:r>
          </w:p>
        </w:tc>
        <w:tc>
          <w:tcPr>
            <w:tcW w:w="10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50,000</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SEB</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July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1"/>
              </w:rPr>
              <w:t>1.8405%</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50,000</w:t>
            </w:r>
          </w:p>
        </w:tc>
        <w:tc>
          <w:tcPr>
            <w:tcW w:w="15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SEB</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July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July 2016</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3"/>
              </w:rPr>
              <w:t>July 2022</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1.814%</w:t>
            </w:r>
          </w:p>
        </w:tc>
        <w:tc>
          <w:tcPr>
            <w:tcW w:w="10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50,000</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color w:val="auto"/>
              </w:rPr>
              <w:t>F-15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gridSpan w:val="2"/>
          </w:tcPr>
          <w:p>
            <w:pPr>
              <w:spacing w:after="0"/>
              <w:rPr>
                <w:sz w:val="11"/>
                <w:szCs w:val="11"/>
                <w:color w:val="auto"/>
              </w:rPr>
            </w:pPr>
          </w:p>
        </w:tc>
        <w:tc>
          <w:tcPr>
            <w:tcW w:w="1020" w:type="dxa"/>
            <w:vAlign w:val="bottom"/>
            <w:tcBorders>
              <w:bottom w:val="single" w:sz="8" w:color="808080"/>
            </w:tcBorders>
            <w:gridSpan w:val="2"/>
          </w:tcPr>
          <w:p>
            <w:pPr>
              <w:spacing w:after="0"/>
              <w:rPr>
                <w:sz w:val="11"/>
                <w:szCs w:val="11"/>
                <w:color w:val="auto"/>
              </w:rPr>
            </w:pPr>
          </w:p>
        </w:tc>
        <w:tc>
          <w:tcPr>
            <w:tcW w:w="1160" w:type="dxa"/>
            <w:vAlign w:val="bottom"/>
            <w:tcBorders>
              <w:bottom w:val="single" w:sz="8" w:color="808080"/>
            </w:tcBorders>
            <w:gridSpan w:val="2"/>
          </w:tcPr>
          <w:p>
            <w:pPr>
              <w:spacing w:after="0"/>
              <w:rPr>
                <w:sz w:val="11"/>
                <w:szCs w:val="11"/>
                <w:color w:val="auto"/>
              </w:rPr>
            </w:pPr>
          </w:p>
        </w:tc>
        <w:tc>
          <w:tcPr>
            <w:tcW w:w="1440" w:type="dxa"/>
            <w:vAlign w:val="bottom"/>
            <w:tcBorders>
              <w:bottom w:val="single" w:sz="8" w:color="808080"/>
            </w:tcBorders>
            <w:gridSpan w:val="2"/>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gridSpan w:val="2"/>
          </w:tcPr>
          <w:p>
            <w:pPr>
              <w:spacing w:after="0"/>
              <w:rPr>
                <w:sz w:val="11"/>
                <w:szCs w:val="11"/>
                <w:color w:val="auto"/>
              </w:rPr>
            </w:pPr>
          </w:p>
        </w:tc>
        <w:tc>
          <w:tcPr>
            <w:tcW w:w="156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761"/>
        </w:trPr>
        <w:tc>
          <w:tcPr>
            <w:tcW w:w="14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HSBC</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 2017</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2017</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2.005%</w:t>
            </w:r>
          </w:p>
        </w:tc>
        <w:tc>
          <w:tcPr>
            <w:tcW w:w="100" w:type="dxa"/>
            <w:vAlign w:val="bottom"/>
          </w:tcPr>
          <w:p>
            <w:pPr>
              <w:spacing w:after="0"/>
              <w:rPr>
                <w:sz w:val="24"/>
                <w:szCs w:val="24"/>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100,000</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9"/>
        </w:trPr>
        <w:tc>
          <w:tcPr>
            <w:tcW w:w="1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 Bank Finland</w:t>
            </w:r>
          </w:p>
        </w:tc>
        <w:tc>
          <w:tcPr>
            <w:tcW w:w="10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Feb 2017</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1"/>
              </w:rPr>
              <w:t>Feb 2017</w:t>
            </w:r>
          </w:p>
        </w:tc>
        <w:tc>
          <w:tcPr>
            <w:tcW w:w="144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4"/>
              </w:rPr>
              <w:t>Mar 2022</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1"/>
              </w:rPr>
              <w:t>2.0145%</w:t>
            </w:r>
          </w:p>
        </w:tc>
        <w:tc>
          <w:tcPr>
            <w:tcW w:w="10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100,000</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ABN Amro Bank NV</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(“ABN”)</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Feb 2017</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2017</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Mar 2022</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2.003%</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100,000</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2"/>
        </w:trPr>
        <w:tc>
          <w:tcPr>
            <w:tcW w:w="600" w:type="dxa"/>
            <w:vAlign w:val="bottom"/>
            <w:tcBorders>
              <w:top w:val="single" w:sz="8" w:color="E5FFFF"/>
              <w:bottom w:val="single" w:sz="8" w:color="E5FFFF"/>
            </w:tcBorders>
            <w:shd w:val="clear" w:color="auto" w:fill="E5FFFF"/>
          </w:tcPr>
          <w:p>
            <w:pPr>
              <w:spacing w:after="0"/>
              <w:rPr>
                <w:sz w:val="17"/>
                <w:szCs w:val="17"/>
                <w:color w:val="auto"/>
              </w:rPr>
            </w:pPr>
          </w:p>
        </w:tc>
        <w:tc>
          <w:tcPr>
            <w:tcW w:w="880" w:type="dxa"/>
            <w:vAlign w:val="bottom"/>
            <w:tcBorders>
              <w:top w:val="single" w:sz="8" w:color="E5FFFF"/>
              <w:bottom w:val="single" w:sz="8" w:color="E5FFFF"/>
            </w:tcBorders>
            <w:shd w:val="clear" w:color="auto" w:fill="E5FFFF"/>
          </w:tcPr>
          <w:p>
            <w:pPr>
              <w:spacing w:after="0"/>
              <w:rPr>
                <w:sz w:val="17"/>
                <w:szCs w:val="17"/>
                <w:color w:val="auto"/>
              </w:rPr>
            </w:pPr>
          </w:p>
        </w:tc>
        <w:tc>
          <w:tcPr>
            <w:tcW w:w="170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9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06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1,170,000</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1,170,000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-1064895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-1064895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0" w:right="199" w:bottom="0" w:gutter="0" w:footer="0" w:header="0"/>
        </w:sectPr>
      </w:pPr>
    </w:p>
    <w:bookmarkStart w:id="29" w:name="page30"/>
    <w:bookmarkEnd w:id="29"/>
    <w:p>
      <w:pPr>
        <w:spacing w:after="0" w:line="62" w:lineRule="exact"/>
        <w:rPr>
          <w:sz w:val="20"/>
          <w:szCs w:val="20"/>
          <w:color w:val="auto"/>
        </w:rPr>
      </w:pPr>
    </w:p>
    <w:p>
      <w:pPr>
        <w:ind w:right="80" w:firstLine="383"/>
        <w:spacing w:after="0" w:line="271" w:lineRule="auto"/>
        <w:rPr>
          <w:sz w:val="20"/>
          <w:szCs w:val="20"/>
          <w:color w:val="auto"/>
        </w:rPr>
      </w:pPr>
      <w:r>
        <w:rPr>
          <w:rFonts w:ascii="Arial" w:cs="Arial" w:eastAsia="Arial" w:hAnsi="Arial"/>
          <w:sz w:val="16"/>
          <w:szCs w:val="16"/>
          <w:color w:val="auto"/>
        </w:rPr>
        <w:t>The derivative instruments listed above were not designated as cash flow hedging instruments. The change in the fair value of these contracts for the three months ended March 31, 2018 amounted to a net gain of $16,313 (for the three months ended March 31, 2017: a net gain of $1,838), which was recognized against profit or loss in the period incurred and is included in Gain on swaps. During the three months ended March 31, 2018, the net gain of $16,313 derived mainly from the fact that the LIBOR yield curve, which was used to calculate the present value of the estimated future cash flows, was higher than the agreed fixed interest rates resulting in a decrease in net derivative liabilities from interest rate swaps held for trading.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Cross currency swap agreements</w:t>
      </w:r>
    </w:p>
    <w:p>
      <w:pPr>
        <w:spacing w:after="0" w:line="239" w:lineRule="exact"/>
        <w:rPr>
          <w:sz w:val="20"/>
          <w:szCs w:val="20"/>
          <w:color w:val="auto"/>
        </w:rPr>
      </w:pPr>
    </w:p>
    <w:p>
      <w:pPr>
        <w:ind w:right="40" w:firstLine="356"/>
        <w:spacing w:after="0" w:line="293" w:lineRule="auto"/>
        <w:rPr>
          <w:sz w:val="20"/>
          <w:szCs w:val="20"/>
          <w:color w:val="auto"/>
        </w:rPr>
      </w:pPr>
      <w:r>
        <w:rPr>
          <w:rFonts w:ascii="Arial" w:cs="Arial" w:eastAsia="Arial" w:hAnsi="Arial"/>
          <w:sz w:val="16"/>
          <w:szCs w:val="16"/>
          <w:color w:val="auto"/>
        </w:rPr>
        <w:t>The Group enters into CCSs which convert the floating interest rate exposure and the variability of the USD functional currency equivalent cash flows into a fixed interest rate and principal on maturity, in order to hedge the Group’s exposure to fluctuations deriving from its NOK 2021 Bonds.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principal terms of the CCSs designated as cash flow hedging instruments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Effective</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Termination</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Fixed Interest</w:t>
            </w:r>
          </w:p>
        </w:tc>
        <w:tc>
          <w:tcPr>
            <w:tcW w:w="318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rPr>
              <w:t>Notional Amount</w:t>
            </w: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60" w:type="dxa"/>
            <w:vAlign w:val="bottom"/>
            <w:gridSpan w:val="2"/>
          </w:tcPr>
          <w:p>
            <w:pPr>
              <w:ind w:left="320"/>
              <w:spacing w:after="0" w:line="182" w:lineRule="exact"/>
              <w:rPr>
                <w:sz w:val="20"/>
                <w:szCs w:val="20"/>
                <w:color w:val="auto"/>
              </w:rPr>
            </w:pPr>
            <w:r>
              <w:rPr>
                <w:rFonts w:ascii="Arial" w:cs="Arial" w:eastAsia="Arial" w:hAnsi="Arial"/>
                <w:sz w:val="16"/>
                <w:szCs w:val="16"/>
                <w:b w:val="1"/>
                <w:bCs w:val="1"/>
                <w:color w:val="auto"/>
              </w:rPr>
              <w:t>December 31,</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Company</w:t>
            </w:r>
          </w:p>
        </w:tc>
        <w:tc>
          <w:tcPr>
            <w:tcW w:w="1800" w:type="dxa"/>
            <w:vAlign w:val="bottom"/>
            <w:gridSpan w:val="2"/>
          </w:tcPr>
          <w:p>
            <w:pPr>
              <w:ind w:left="380"/>
              <w:spacing w:after="0" w:line="176" w:lineRule="exact"/>
              <w:rPr>
                <w:sz w:val="20"/>
                <w:szCs w:val="20"/>
                <w:color w:val="auto"/>
              </w:rPr>
            </w:pPr>
            <w:r>
              <w:rPr>
                <w:rFonts w:ascii="Arial" w:cs="Arial" w:eastAsia="Arial" w:hAnsi="Arial"/>
                <w:sz w:val="16"/>
                <w:szCs w:val="16"/>
                <w:b w:val="1"/>
                <w:bCs w:val="1"/>
                <w:color w:val="auto"/>
              </w:rPr>
              <w:t>Counterparty</w:t>
            </w:r>
          </w:p>
        </w:tc>
        <w:tc>
          <w:tcPr>
            <w:tcW w:w="1020" w:type="dxa"/>
            <w:vAlign w:val="bottom"/>
            <w:gridSpan w:val="2"/>
          </w:tcPr>
          <w:p>
            <w:pPr>
              <w:jc w:val="center"/>
              <w:ind w:right="80"/>
              <w:spacing w:after="0" w:line="176" w:lineRule="exact"/>
              <w:rPr>
                <w:sz w:val="20"/>
                <w:szCs w:val="20"/>
                <w:color w:val="auto"/>
              </w:rPr>
            </w:pPr>
            <w:r>
              <w:rPr>
                <w:rFonts w:ascii="Arial" w:cs="Arial" w:eastAsia="Arial" w:hAnsi="Arial"/>
                <w:sz w:val="16"/>
                <w:szCs w:val="16"/>
                <w:b w:val="1"/>
                <w:bCs w:val="1"/>
                <w:color w:val="auto"/>
                <w:w w:val="94"/>
              </w:rPr>
              <w:t>Trade Date</w:t>
            </w:r>
          </w:p>
        </w:tc>
        <w:tc>
          <w:tcPr>
            <w:tcW w:w="116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7"/>
              </w:rPr>
              <w:t>Date</w:t>
            </w:r>
          </w:p>
        </w:tc>
        <w:tc>
          <w:tcPr>
            <w:tcW w:w="1440" w:type="dxa"/>
            <w:vAlign w:val="bottom"/>
            <w:gridSpan w:val="2"/>
          </w:tcPr>
          <w:p>
            <w:pPr>
              <w:jc w:val="center"/>
              <w:ind w:right="80"/>
              <w:spacing w:after="0" w:line="176" w:lineRule="exact"/>
              <w:rPr>
                <w:sz w:val="20"/>
                <w:szCs w:val="20"/>
                <w:color w:val="auto"/>
              </w:rPr>
            </w:pPr>
            <w:r>
              <w:rPr>
                <w:rFonts w:ascii="Arial" w:cs="Arial" w:eastAsia="Arial" w:hAnsi="Arial"/>
                <w:sz w:val="16"/>
                <w:szCs w:val="16"/>
                <w:b w:val="1"/>
                <w:bCs w:val="1"/>
                <w:color w:val="auto"/>
                <w:w w:val="92"/>
              </w:rPr>
              <w:t>Date</w:t>
            </w:r>
          </w:p>
        </w:tc>
        <w:tc>
          <w:tcPr>
            <w:tcW w:w="1340" w:type="dxa"/>
            <w:vAlign w:val="bottom"/>
            <w:gridSpan w:val="2"/>
          </w:tcPr>
          <w:p>
            <w:pPr>
              <w:jc w:val="center"/>
              <w:ind w:right="100"/>
              <w:spacing w:after="0" w:line="176" w:lineRule="exact"/>
              <w:rPr>
                <w:sz w:val="20"/>
                <w:szCs w:val="20"/>
                <w:color w:val="auto"/>
              </w:rPr>
            </w:pPr>
            <w:r>
              <w:rPr>
                <w:rFonts w:ascii="Arial" w:cs="Arial" w:eastAsia="Arial" w:hAnsi="Arial"/>
                <w:sz w:val="16"/>
                <w:szCs w:val="16"/>
                <w:b w:val="1"/>
                <w:bCs w:val="1"/>
                <w:color w:val="auto"/>
                <w:w w:val="92"/>
              </w:rPr>
              <w:t>Rate</w:t>
            </w:r>
          </w:p>
        </w:tc>
        <w:tc>
          <w:tcPr>
            <w:tcW w:w="1560" w:type="dxa"/>
            <w:vAlign w:val="bottom"/>
          </w:tcPr>
          <w:p>
            <w:pPr>
              <w:jc w:val="right"/>
              <w:ind w:right="540"/>
              <w:spacing w:after="0" w:line="176" w:lineRule="exact"/>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5"/>
                <w:szCs w:val="15"/>
                <w:color w:val="auto"/>
              </w:rPr>
            </w:pPr>
          </w:p>
        </w:tc>
        <w:tc>
          <w:tcPr>
            <w:tcW w:w="1520" w:type="dxa"/>
            <w:vAlign w:val="bottom"/>
          </w:tcPr>
          <w:p>
            <w:pPr>
              <w:jc w:val="right"/>
              <w:ind w:right="139"/>
              <w:spacing w:after="0" w:line="176" w:lineRule="exact"/>
              <w:rPr>
                <w:sz w:val="20"/>
                <w:szCs w:val="20"/>
                <w:color w:val="auto"/>
              </w:rPr>
            </w:pPr>
            <w:r>
              <w:rPr>
                <w:rFonts w:ascii="Arial" w:cs="Arial" w:eastAsia="Arial" w:hAnsi="Arial"/>
                <w:sz w:val="16"/>
                <w:szCs w:val="16"/>
                <w:b w:val="1"/>
                <w:bCs w:val="1"/>
                <w:color w:val="auto"/>
              </w:rPr>
              <w:t>March 31, 2018</w:t>
            </w:r>
          </w:p>
        </w:tc>
        <w:tc>
          <w:tcPr>
            <w:tcW w:w="0" w:type="dxa"/>
            <w:vAlign w:val="bottom"/>
          </w:tcPr>
          <w:p>
            <w:pPr>
              <w:spacing w:after="0"/>
              <w:rPr>
                <w:sz w:val="1"/>
                <w:szCs w:val="1"/>
                <w:color w:val="auto"/>
              </w:rPr>
            </w:pPr>
          </w:p>
        </w:tc>
      </w:tr>
      <w:tr>
        <w:trPr>
          <w:trHeight w:val="21"/>
        </w:trPr>
        <w:tc>
          <w:tcPr>
            <w:tcW w:w="680" w:type="dxa"/>
            <w:vAlign w:val="bottom"/>
            <w:tcBorders>
              <w:top w:val="single" w:sz="8" w:color="auto"/>
              <w:bottom w:val="single" w:sz="8" w:color="E5FFFF"/>
            </w:tcBorders>
          </w:tcPr>
          <w:p>
            <w:pPr>
              <w:spacing w:after="0" w:line="20" w:lineRule="exact"/>
              <w:rPr>
                <w:sz w:val="1"/>
                <w:szCs w:val="1"/>
                <w:color w:val="auto"/>
              </w:rPr>
            </w:pPr>
          </w:p>
        </w:tc>
        <w:tc>
          <w:tcPr>
            <w:tcW w:w="800" w:type="dxa"/>
            <w:vAlign w:val="bottom"/>
            <w:tcBorders>
              <w:bottom w:val="single" w:sz="8" w:color="E5FF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700" w:type="dxa"/>
            <w:vAlign w:val="bottom"/>
            <w:shd w:val="clear" w:color="auto" w:fill="E5FFFF"/>
          </w:tcPr>
          <w:p>
            <w:pPr>
              <w:spacing w:after="0"/>
              <w:rPr>
                <w:sz w:val="20"/>
                <w:szCs w:val="20"/>
                <w:color w:val="auto"/>
              </w:rPr>
            </w:pPr>
            <w:r>
              <w:rPr>
                <w:rFonts w:ascii="Arial" w:cs="Arial" w:eastAsia="Arial" w:hAnsi="Arial"/>
                <w:sz w:val="16"/>
                <w:szCs w:val="16"/>
                <w:color w:val="auto"/>
              </w:rPr>
              <w:t>DNB</w:t>
            </w:r>
          </w:p>
        </w:tc>
        <w:tc>
          <w:tcPr>
            <w:tcW w:w="100" w:type="dxa"/>
            <w:vAlign w:val="bottom"/>
            <w:shd w:val="clear" w:color="auto" w:fill="E5FFFF"/>
          </w:tcPr>
          <w:p>
            <w:pPr>
              <w:spacing w:after="0"/>
              <w:rPr>
                <w:sz w:val="17"/>
                <w:szCs w:val="17"/>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June 2016</w:t>
            </w:r>
          </w:p>
        </w:tc>
        <w:tc>
          <w:tcPr>
            <w:tcW w:w="100" w:type="dxa"/>
            <w:vAlign w:val="bottom"/>
            <w:shd w:val="clear" w:color="auto" w:fill="E5FFFF"/>
          </w:tcPr>
          <w:p>
            <w:pPr>
              <w:spacing w:after="0"/>
              <w:rPr>
                <w:sz w:val="17"/>
                <w:szCs w:val="17"/>
                <w:color w:val="auto"/>
              </w:rPr>
            </w:pPr>
          </w:p>
        </w:tc>
        <w:tc>
          <w:tcPr>
            <w:tcW w:w="106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June 2016</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May 2021</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8.59%</w:t>
            </w:r>
          </w:p>
        </w:tc>
        <w:tc>
          <w:tcPr>
            <w:tcW w:w="100" w:type="dxa"/>
            <w:vAlign w:val="bottom"/>
            <w:shd w:val="clear" w:color="auto" w:fill="E5FFFF"/>
          </w:tcPr>
          <w:p>
            <w:pPr>
              <w:spacing w:after="0"/>
              <w:rPr>
                <w:sz w:val="17"/>
                <w:szCs w:val="17"/>
                <w:color w:val="auto"/>
              </w:rPr>
            </w:pPr>
          </w:p>
        </w:tc>
        <w:tc>
          <w:tcPr>
            <w:tcW w:w="15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100" w:type="dxa"/>
            <w:vAlign w:val="bottom"/>
            <w:shd w:val="clear" w:color="auto" w:fill="E5FFFF"/>
          </w:tcPr>
          <w:p>
            <w:pPr>
              <w:spacing w:after="0"/>
              <w:rPr>
                <w:sz w:val="17"/>
                <w:szCs w:val="17"/>
                <w:color w:val="auto"/>
              </w:rPr>
            </w:pP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0" w:type="dxa"/>
            <w:vAlign w:val="bottom"/>
          </w:tcPr>
          <w:p>
            <w:pPr>
              <w:spacing w:after="0"/>
              <w:rPr>
                <w:sz w:val="1"/>
                <w:szCs w:val="1"/>
                <w:color w:val="auto"/>
              </w:rPr>
            </w:pPr>
          </w:p>
        </w:tc>
      </w:tr>
      <w:tr>
        <w:trPr>
          <w:trHeight w:val="203"/>
        </w:trPr>
        <w:tc>
          <w:tcPr>
            <w:tcW w:w="148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tcPr>
          <w:p>
            <w:pPr>
              <w:spacing w:after="0"/>
              <w:rPr>
                <w:sz w:val="20"/>
                <w:szCs w:val="20"/>
                <w:color w:val="auto"/>
              </w:rPr>
            </w:pPr>
            <w:r>
              <w:rPr>
                <w:rFonts w:ascii="Arial" w:cs="Arial" w:eastAsia="Arial" w:hAnsi="Arial"/>
                <w:sz w:val="16"/>
                <w:szCs w:val="16"/>
                <w:color w:val="auto"/>
              </w:rPr>
              <w:t>SEB</w:t>
            </w:r>
          </w:p>
        </w:tc>
        <w:tc>
          <w:tcPr>
            <w:tcW w:w="102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June 2016</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2016</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May 2021</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8.59%</w:t>
            </w:r>
          </w:p>
        </w:tc>
        <w:tc>
          <w:tcPr>
            <w:tcW w:w="100" w:type="dxa"/>
            <w:vAlign w:val="bottom"/>
          </w:tcPr>
          <w:p>
            <w:pPr>
              <w:spacing w:after="0"/>
              <w:rPr>
                <w:sz w:val="17"/>
                <w:szCs w:val="17"/>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6"/>
                <w:szCs w:val="16"/>
                <w:color w:val="auto"/>
              </w:rPr>
              <w:t>30,050</w:t>
            </w:r>
          </w:p>
        </w:tc>
        <w:tc>
          <w:tcPr>
            <w:tcW w:w="1520" w:type="dxa"/>
            <w:vAlign w:val="bottom"/>
          </w:tcPr>
          <w:p>
            <w:pPr>
              <w:jc w:val="right"/>
              <w:spacing w:after="0"/>
              <w:rPr>
                <w:sz w:val="20"/>
                <w:szCs w:val="20"/>
                <w:color w:val="auto"/>
              </w:rPr>
            </w:pPr>
            <w:r>
              <w:rPr>
                <w:rFonts w:ascii="Arial" w:cs="Arial" w:eastAsia="Arial" w:hAnsi="Arial"/>
                <w:sz w:val="16"/>
                <w:szCs w:val="16"/>
                <w:color w:val="auto"/>
              </w:rPr>
              <w:t>30,050</w:t>
            </w:r>
          </w:p>
        </w:tc>
        <w:tc>
          <w:tcPr>
            <w:tcW w:w="0" w:type="dxa"/>
            <w:vAlign w:val="bottom"/>
          </w:tcPr>
          <w:p>
            <w:pPr>
              <w:spacing w:after="0"/>
              <w:rPr>
                <w:sz w:val="1"/>
                <w:szCs w:val="1"/>
                <w:color w:val="auto"/>
              </w:rPr>
            </w:pPr>
          </w:p>
        </w:tc>
      </w:tr>
      <w:tr>
        <w:trPr>
          <w:trHeight w:val="203"/>
        </w:trPr>
        <w:tc>
          <w:tcPr>
            <w:tcW w:w="148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8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Nordea Bank Finland</w:t>
            </w:r>
          </w:p>
        </w:tc>
        <w:tc>
          <w:tcPr>
            <w:tcW w:w="102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8"/>
              </w:rPr>
              <w:t>June 2016</w:t>
            </w:r>
          </w:p>
        </w:tc>
        <w:tc>
          <w:tcPr>
            <w:tcW w:w="11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2016</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May 2021</w:t>
            </w: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8.59%</w:t>
            </w:r>
          </w:p>
        </w:tc>
        <w:tc>
          <w:tcPr>
            <w:tcW w:w="100" w:type="dxa"/>
            <w:vAlign w:val="bottom"/>
            <w:shd w:val="clear" w:color="auto" w:fill="E5FFFF"/>
          </w:tcPr>
          <w:p>
            <w:pPr>
              <w:spacing w:after="0"/>
              <w:rPr>
                <w:sz w:val="17"/>
                <w:szCs w:val="17"/>
                <w:color w:val="auto"/>
              </w:rPr>
            </w:pPr>
          </w:p>
        </w:tc>
        <w:tc>
          <w:tcPr>
            <w:tcW w:w="166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30,050</w:t>
            </w:r>
          </w:p>
        </w:tc>
        <w:tc>
          <w:tcPr>
            <w:tcW w:w="15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30,050</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90,150</w:t>
            </w:r>
          </w:p>
        </w:tc>
        <w:tc>
          <w:tcPr>
            <w:tcW w:w="10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90,150</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80" w:firstLine="356"/>
        <w:spacing w:after="0" w:line="271" w:lineRule="auto"/>
        <w:rPr>
          <w:sz w:val="20"/>
          <w:szCs w:val="20"/>
          <w:color w:val="auto"/>
        </w:rPr>
      </w:pPr>
      <w:r>
        <w:rPr>
          <w:rFonts w:ascii="Arial" w:cs="Arial" w:eastAsia="Arial" w:hAnsi="Arial"/>
          <w:sz w:val="16"/>
          <w:szCs w:val="16"/>
          <w:color w:val="auto"/>
        </w:rPr>
        <w:t>For the three months ended March 31, 2018, the effective portion of changes in the fair value of CCSs amounting to a gain of $6,190 has been recognized in Other comprehensive income (for the three months ended March 31, 2017: a gain of $368). For the three months ended March 31, 2018, a loss of $69 was recycled to profit or loss representing the realized loss on CCSs in relation to the interest expenses component of the hedge (for the three months ended March 31, 2017: a loss of $323). Additionally, for the three months ended March 31, 2018, a loss of $4,753 was recognized in Other comprehensive income in relation to the retranslation of the NOK Bonds in U.S. dollars as of March 31, 2018 (for the three months ended March 31, 2017: a loss of $735).</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foreign exchange contracts</w:t>
      </w:r>
    </w:p>
    <w:p>
      <w:pPr>
        <w:spacing w:after="0" w:line="239" w:lineRule="exact"/>
        <w:rPr>
          <w:sz w:val="20"/>
          <w:szCs w:val="20"/>
          <w:color w:val="auto"/>
        </w:rPr>
      </w:pPr>
    </w:p>
    <w:p>
      <w:pPr>
        <w:ind w:right="60" w:firstLine="383"/>
        <w:spacing w:after="0" w:line="273" w:lineRule="auto"/>
        <w:rPr>
          <w:sz w:val="20"/>
          <w:szCs w:val="20"/>
          <w:color w:val="auto"/>
        </w:rPr>
      </w:pPr>
      <w:r>
        <w:rPr>
          <w:rFonts w:ascii="Arial" w:cs="Arial" w:eastAsia="Arial" w:hAnsi="Arial"/>
          <w:sz w:val="16"/>
          <w:szCs w:val="16"/>
          <w:color w:val="auto"/>
        </w:rPr>
        <w:t>The Group uses forward foreign exchange contracts to mitigate foreign exchange transaction exposures in British Pounds Sterling (“GBP”) and Euros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principal terms of the forward foreign exchange contracts held for trading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Fixed</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Total Exchange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Company</w:t>
            </w: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Counterparty</w:t>
            </w: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Trade Date</w:t>
            </w:r>
          </w:p>
        </w:tc>
        <w:tc>
          <w:tcPr>
            <w:tcW w:w="1220" w:type="dxa"/>
            <w:vAlign w:val="bottom"/>
            <w:gridSpan w:val="2"/>
            <w:vMerge w:val="continue"/>
          </w:tcPr>
          <w:p>
            <w:pPr>
              <w:spacing w:after="0"/>
              <w:rPr>
                <w:sz w:val="12"/>
                <w:szCs w:val="12"/>
                <w:color w:val="auto"/>
              </w:rPr>
            </w:pPr>
          </w:p>
        </w:tc>
        <w:tc>
          <w:tcPr>
            <w:tcW w:w="2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Settlement Dates</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2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contracts</w:t>
            </w:r>
          </w:p>
        </w:tc>
        <w:tc>
          <w:tcPr>
            <w:tcW w:w="2180" w:type="dxa"/>
            <w:vAlign w:val="bottom"/>
            <w:gridSpan w:val="2"/>
            <w:vMerge w:val="continue"/>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(USD/GBP)</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8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SEB</w:t>
            </w:r>
          </w:p>
        </w:tc>
        <w:tc>
          <w:tcPr>
            <w:tcW w:w="2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August 2017</w:t>
            </w:r>
          </w:p>
        </w:tc>
        <w:tc>
          <w:tcPr>
            <w:tcW w:w="28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80" w:type="dxa"/>
            <w:vAlign w:val="bottom"/>
            <w:tcBorders>
              <w:top w:val="single" w:sz="8" w:color="E5FFFF"/>
            </w:tcBorders>
            <w:shd w:val="clear" w:color="auto" w:fill="E5FFFF"/>
          </w:tcPr>
          <w:p>
            <w:pPr>
              <w:spacing w:after="0"/>
              <w:rPr>
                <w:sz w:val="17"/>
                <w:szCs w:val="17"/>
                <w:color w:val="auto"/>
              </w:rPr>
            </w:pPr>
          </w:p>
        </w:tc>
        <w:tc>
          <w:tcPr>
            <w:tcW w:w="2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April-December 2018</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1.3042</w:t>
            </w:r>
          </w:p>
        </w:tc>
        <w:tc>
          <w:tcPr>
            <w:tcW w:w="280" w:type="dxa"/>
            <w:vAlign w:val="bottom"/>
            <w:tcBorders>
              <w:top w:val="single" w:sz="8" w:color="E5FFFF"/>
            </w:tcBorders>
            <w:shd w:val="clear" w:color="auto" w:fill="E5FFFF"/>
          </w:tcPr>
          <w:p>
            <w:pPr>
              <w:spacing w:after="0"/>
              <w:rPr>
                <w:sz w:val="17"/>
                <w:szCs w:val="17"/>
                <w:color w:val="auto"/>
              </w:rPr>
            </w:pPr>
          </w:p>
        </w:tc>
        <w:tc>
          <w:tcPr>
            <w:tcW w:w="2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Total</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Fixed</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Total Exchange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Company</w:t>
            </w: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Counterparty</w:t>
            </w: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Trade Date</w:t>
            </w:r>
          </w:p>
        </w:tc>
        <w:tc>
          <w:tcPr>
            <w:tcW w:w="1220" w:type="dxa"/>
            <w:vAlign w:val="bottom"/>
            <w:gridSpan w:val="2"/>
            <w:vMerge w:val="continue"/>
          </w:tcPr>
          <w:p>
            <w:pPr>
              <w:spacing w:after="0"/>
              <w:rPr>
                <w:sz w:val="12"/>
                <w:szCs w:val="12"/>
                <w:color w:val="auto"/>
              </w:rPr>
            </w:pPr>
          </w:p>
        </w:tc>
        <w:tc>
          <w:tcPr>
            <w:tcW w:w="2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Settlement Dates</w:t>
            </w: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2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contracts</w:t>
            </w:r>
          </w:p>
        </w:tc>
        <w:tc>
          <w:tcPr>
            <w:tcW w:w="2180" w:type="dxa"/>
            <w:vAlign w:val="bottom"/>
            <w:gridSpan w:val="2"/>
            <w:vMerge w:val="continue"/>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(USD/EUR)</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GasLog</w:t>
            </w:r>
          </w:p>
        </w:tc>
        <w:tc>
          <w:tcPr>
            <w:tcW w:w="18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4"/>
              </w:rPr>
              <w:t>HSBC</w:t>
            </w:r>
          </w:p>
        </w:tc>
        <w:tc>
          <w:tcPr>
            <w:tcW w:w="28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8"/>
              </w:rPr>
              <w:t>June 2017</w:t>
            </w:r>
          </w:p>
        </w:tc>
        <w:tc>
          <w:tcPr>
            <w:tcW w:w="28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280" w:type="dxa"/>
            <w:vAlign w:val="bottom"/>
            <w:tcBorders>
              <w:top w:val="single" w:sz="8" w:color="E5FFFF"/>
            </w:tcBorders>
            <w:shd w:val="clear" w:color="auto" w:fill="E5FFFF"/>
          </w:tcPr>
          <w:p>
            <w:pPr>
              <w:spacing w:after="0"/>
              <w:rPr>
                <w:sz w:val="17"/>
                <w:szCs w:val="17"/>
                <w:color w:val="auto"/>
              </w:rPr>
            </w:pPr>
          </w:p>
        </w:tc>
        <w:tc>
          <w:tcPr>
            <w:tcW w:w="20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4"/>
              </w:rPr>
              <w:t>April-June 2018</w:t>
            </w:r>
          </w:p>
        </w:tc>
        <w:tc>
          <w:tcPr>
            <w:tcW w:w="180" w:type="dxa"/>
            <w:vAlign w:val="bottom"/>
            <w:tcBorders>
              <w:top w:val="single" w:sz="8" w:color="E5FFFF"/>
            </w:tcBorders>
            <w:shd w:val="clear" w:color="auto" w:fill="E5FFFF"/>
          </w:tcPr>
          <w:p>
            <w:pPr>
              <w:spacing w:after="0"/>
              <w:rPr>
                <w:sz w:val="17"/>
                <w:szCs w:val="17"/>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1.1297</w:t>
            </w:r>
          </w:p>
        </w:tc>
        <w:tc>
          <w:tcPr>
            <w:tcW w:w="280" w:type="dxa"/>
            <w:vAlign w:val="bottom"/>
            <w:tcBorders>
              <w:top w:val="single" w:sz="8" w:color="E5FFFF"/>
            </w:tcBorders>
            <w:shd w:val="clear" w:color="auto" w:fill="E5FFFF"/>
          </w:tcPr>
          <w:p>
            <w:pPr>
              <w:spacing w:after="0"/>
              <w:rPr>
                <w:sz w:val="17"/>
                <w:szCs w:val="17"/>
                <w:color w:val="auto"/>
              </w:rPr>
            </w:pPr>
          </w:p>
        </w:tc>
        <w:tc>
          <w:tcPr>
            <w:tcW w:w="20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rPr>
              <w:t>ABN</w:t>
            </w: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June 2017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280" w:type="dxa"/>
            <w:vAlign w:val="bottom"/>
          </w:tcPr>
          <w:p>
            <w:pPr>
              <w:spacing w:after="0"/>
              <w:rPr>
                <w:sz w:val="17"/>
                <w:szCs w:val="17"/>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April-June 2018</w:t>
            </w: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1.1291</w:t>
            </w:r>
          </w:p>
        </w:tc>
        <w:tc>
          <w:tcPr>
            <w:tcW w:w="2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40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2"/>
              </w:rPr>
              <w:t>Nordea Bank</w:t>
            </w:r>
          </w:p>
        </w:tc>
        <w:tc>
          <w:tcPr>
            <w:tcW w:w="12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9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0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060" w:type="dxa"/>
            <w:vAlign w:val="bottom"/>
            <w:shd w:val="clear" w:color="auto" w:fill="E5FFFF"/>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5"/>
              </w:rPr>
              <w:t>Finland</w:t>
            </w:r>
          </w:p>
        </w:tc>
        <w:tc>
          <w:tcPr>
            <w:tcW w:w="152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3"/>
              </w:rPr>
              <w:t>July 2017</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3</w:t>
            </w:r>
          </w:p>
        </w:tc>
        <w:tc>
          <w:tcPr>
            <w:tcW w:w="280" w:type="dxa"/>
            <w:vAlign w:val="bottom"/>
            <w:shd w:val="clear" w:color="auto" w:fill="E5FFFF"/>
          </w:tcPr>
          <w:p>
            <w:pPr>
              <w:spacing w:after="0"/>
              <w:rPr>
                <w:sz w:val="18"/>
                <w:szCs w:val="18"/>
                <w:color w:val="auto"/>
              </w:rPr>
            </w:pPr>
          </w:p>
        </w:tc>
        <w:tc>
          <w:tcPr>
            <w:tcW w:w="218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4"/>
              </w:rPr>
              <w:t>April-June 2018</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1.1817</w:t>
            </w:r>
          </w:p>
        </w:tc>
        <w:tc>
          <w:tcPr>
            <w:tcW w:w="280" w:type="dxa"/>
            <w:vAlign w:val="bottom"/>
            <w:shd w:val="clear" w:color="auto" w:fill="E5FFFF"/>
          </w:tcPr>
          <w:p>
            <w:pPr>
              <w:spacing w:after="0"/>
              <w:rPr>
                <w:sz w:val="18"/>
                <w:szCs w:val="18"/>
                <w:color w:val="auto"/>
              </w:rPr>
            </w:pP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€2,250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3"/>
              </w:rPr>
              <w:t>SEB</w:t>
            </w: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July 2017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280" w:type="dxa"/>
            <w:vAlign w:val="bottom"/>
          </w:tcPr>
          <w:p>
            <w:pPr>
              <w:spacing w:after="0"/>
              <w:rPr>
                <w:sz w:val="17"/>
                <w:szCs w:val="17"/>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April-June 2018</w:t>
            </w: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1.1816</w:t>
            </w:r>
          </w:p>
        </w:tc>
        <w:tc>
          <w:tcPr>
            <w:tcW w:w="2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€2,250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40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2"/>
              </w:rPr>
              <w:t>Nordea Bank</w:t>
            </w:r>
          </w:p>
        </w:tc>
        <w:tc>
          <w:tcPr>
            <w:tcW w:w="12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94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0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13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060" w:type="dxa"/>
            <w:vAlign w:val="bottom"/>
            <w:shd w:val="clear" w:color="auto" w:fill="E5FFFF"/>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w w:val="95"/>
              </w:rPr>
              <w:t>Finland</w:t>
            </w:r>
          </w:p>
        </w:tc>
        <w:tc>
          <w:tcPr>
            <w:tcW w:w="152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3"/>
              </w:rPr>
              <w:t>August 2017</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9</w:t>
            </w:r>
          </w:p>
        </w:tc>
        <w:tc>
          <w:tcPr>
            <w:tcW w:w="280" w:type="dxa"/>
            <w:vAlign w:val="bottom"/>
            <w:shd w:val="clear" w:color="auto" w:fill="E5FFFF"/>
          </w:tcPr>
          <w:p>
            <w:pPr>
              <w:spacing w:after="0"/>
              <w:rPr>
                <w:sz w:val="18"/>
                <w:szCs w:val="18"/>
                <w:color w:val="auto"/>
              </w:rPr>
            </w:pPr>
          </w:p>
        </w:tc>
        <w:tc>
          <w:tcPr>
            <w:tcW w:w="218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3"/>
              </w:rPr>
              <w:t>April-December 2018</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1.1986</w:t>
            </w:r>
          </w:p>
        </w:tc>
        <w:tc>
          <w:tcPr>
            <w:tcW w:w="280" w:type="dxa"/>
            <w:vAlign w:val="bottom"/>
            <w:shd w:val="clear" w:color="auto" w:fill="E5FFFF"/>
          </w:tcPr>
          <w:p>
            <w:pPr>
              <w:spacing w:after="0"/>
              <w:rPr>
                <w:sz w:val="18"/>
                <w:szCs w:val="18"/>
                <w:color w:val="auto"/>
              </w:rPr>
            </w:pP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€6,750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w w:val="93"/>
              </w:rPr>
              <w:t>SEB</w:t>
            </w: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August 2017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280" w:type="dxa"/>
            <w:vAlign w:val="bottom"/>
          </w:tcPr>
          <w:p>
            <w:pPr>
              <w:spacing w:after="0"/>
              <w:rPr>
                <w:sz w:val="17"/>
                <w:szCs w:val="17"/>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April-December 2018</w:t>
            </w: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1.1966</w:t>
            </w:r>
          </w:p>
        </w:tc>
        <w:tc>
          <w:tcPr>
            <w:tcW w:w="2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€9,000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rPr>
              <w:t>DNB</w:t>
            </w:r>
          </w:p>
        </w:tc>
        <w:tc>
          <w:tcPr>
            <w:tcW w:w="152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0"/>
              </w:rPr>
              <w:t>October 2017</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80" w:type="dxa"/>
            <w:vAlign w:val="bottom"/>
            <w:shd w:val="clear" w:color="auto" w:fill="E5FFFF"/>
          </w:tcPr>
          <w:p>
            <w:pPr>
              <w:spacing w:after="0"/>
              <w:rPr>
                <w:sz w:val="17"/>
                <w:szCs w:val="17"/>
                <w:color w:val="auto"/>
              </w:rPr>
            </w:pPr>
          </w:p>
        </w:tc>
        <w:tc>
          <w:tcPr>
            <w:tcW w:w="2180" w:type="dxa"/>
            <w:vAlign w:val="bottom"/>
            <w:gridSpan w:val="2"/>
            <w:shd w:val="clear" w:color="auto" w:fill="E5FFFF"/>
          </w:tcPr>
          <w:p>
            <w:pPr>
              <w:jc w:val="center"/>
              <w:ind w:right="200"/>
              <w:spacing w:after="0"/>
              <w:rPr>
                <w:sz w:val="20"/>
                <w:szCs w:val="20"/>
                <w:color w:val="auto"/>
              </w:rPr>
            </w:pPr>
            <w:r>
              <w:rPr>
                <w:rFonts w:ascii="Arial" w:cs="Arial" w:eastAsia="Arial" w:hAnsi="Arial"/>
                <w:sz w:val="16"/>
                <w:szCs w:val="16"/>
                <w:color w:val="auto"/>
                <w:w w:val="97"/>
              </w:rPr>
              <w:t>April 2018</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1.1746</w:t>
            </w:r>
          </w:p>
        </w:tc>
        <w:tc>
          <w:tcPr>
            <w:tcW w:w="280" w:type="dxa"/>
            <w:vAlign w:val="bottom"/>
            <w:shd w:val="clear" w:color="auto" w:fill="E5FFFF"/>
          </w:tcPr>
          <w:p>
            <w:pPr>
              <w:spacing w:after="0"/>
              <w:rPr>
                <w:sz w:val="17"/>
                <w:szCs w:val="17"/>
                <w:color w:val="auto"/>
              </w:rPr>
            </w:pP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€3,990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color w:val="auto"/>
              </w:rPr>
              <w:t>DNB</w:t>
            </w: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October 2017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80" w:type="dxa"/>
            <w:vAlign w:val="bottom"/>
          </w:tcPr>
          <w:p>
            <w:pPr>
              <w:spacing w:after="0"/>
              <w:rPr>
                <w:sz w:val="17"/>
                <w:szCs w:val="17"/>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May 2018</w:t>
            </w: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1.1746</w:t>
            </w:r>
          </w:p>
        </w:tc>
        <w:tc>
          <w:tcPr>
            <w:tcW w:w="2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€1,995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2"/>
          </w:tcPr>
          <w:p>
            <w:pPr>
              <w:ind w:left="200"/>
              <w:spacing w:after="0"/>
              <w:rPr>
                <w:sz w:val="20"/>
                <w:szCs w:val="20"/>
                <w:color w:val="auto"/>
              </w:rPr>
            </w:pPr>
            <w:r>
              <w:rPr>
                <w:rFonts w:ascii="Arial" w:cs="Arial" w:eastAsia="Arial" w:hAnsi="Arial"/>
                <w:sz w:val="16"/>
                <w:szCs w:val="16"/>
                <w:color w:val="auto"/>
              </w:rPr>
              <w:t>F-16</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220" w:type="dxa"/>
            <w:vAlign w:val="bottom"/>
            <w:tcBorders>
              <w:bottom w:val="single" w:sz="8" w:color="808080"/>
            </w:tcBorders>
            <w:gridSpan w:val="3"/>
          </w:tcPr>
          <w:p>
            <w:pPr>
              <w:spacing w:after="0"/>
              <w:rPr>
                <w:sz w:val="11"/>
                <w:szCs w:val="11"/>
                <w:color w:val="auto"/>
              </w:rPr>
            </w:pPr>
          </w:p>
        </w:tc>
        <w:tc>
          <w:tcPr>
            <w:tcW w:w="1400" w:type="dxa"/>
            <w:vAlign w:val="bottom"/>
            <w:tcBorders>
              <w:bottom w:val="single" w:sz="8" w:color="808080"/>
            </w:tcBorders>
            <w:gridSpan w:val="2"/>
          </w:tcPr>
          <w:p>
            <w:pPr>
              <w:spacing w:after="0"/>
              <w:rPr>
                <w:sz w:val="11"/>
                <w:szCs w:val="11"/>
                <w:color w:val="auto"/>
              </w:rPr>
            </w:pPr>
          </w:p>
        </w:tc>
        <w:tc>
          <w:tcPr>
            <w:tcW w:w="1520" w:type="dxa"/>
            <w:vAlign w:val="bottom"/>
            <w:tcBorders>
              <w:bottom w:val="single" w:sz="8" w:color="808080"/>
            </w:tcBorders>
            <w:gridSpan w:val="2"/>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gridSpan w:val="2"/>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1200" w:type="dxa"/>
            <w:vAlign w:val="bottom"/>
            <w:gridSpan w:val="2"/>
          </w:tcPr>
          <w:p>
            <w:pPr>
              <w:spacing w:after="0"/>
              <w:rPr>
                <w:sz w:val="24"/>
                <w:szCs w:val="24"/>
                <w:color w:val="auto"/>
              </w:rPr>
            </w:pPr>
          </w:p>
        </w:tc>
        <w:tc>
          <w:tcPr>
            <w:tcW w:w="1400" w:type="dxa"/>
            <w:vAlign w:val="bottom"/>
            <w:gridSpan w:val="2"/>
          </w:tcPr>
          <w:p>
            <w:pPr>
              <w:spacing w:after="0"/>
              <w:rPr>
                <w:sz w:val="24"/>
                <w:szCs w:val="24"/>
                <w:color w:val="auto"/>
              </w:rPr>
            </w:pPr>
          </w:p>
        </w:tc>
        <w:tc>
          <w:tcPr>
            <w:tcW w:w="15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2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shd w:val="clear" w:color="auto" w:fill="E5FFFF"/>
          </w:tcPr>
          <w:p>
            <w:pPr>
              <w:jc w:val="center"/>
              <w:ind w:right="300"/>
              <w:spacing w:after="0"/>
              <w:rPr>
                <w:sz w:val="20"/>
                <w:szCs w:val="20"/>
                <w:color w:val="auto"/>
              </w:rPr>
            </w:pPr>
            <w:r>
              <w:rPr>
                <w:rFonts w:ascii="Arial" w:cs="Arial" w:eastAsia="Arial" w:hAnsi="Arial"/>
                <w:sz w:val="16"/>
                <w:szCs w:val="16"/>
                <w:color w:val="auto"/>
              </w:rPr>
              <w:t>DNB</w:t>
            </w:r>
          </w:p>
        </w:tc>
        <w:tc>
          <w:tcPr>
            <w:tcW w:w="152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0"/>
              </w:rPr>
              <w:t>October 2017</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80" w:type="dxa"/>
            <w:vAlign w:val="bottom"/>
            <w:shd w:val="clear" w:color="auto" w:fill="E5FFFF"/>
          </w:tcPr>
          <w:p>
            <w:pPr>
              <w:spacing w:after="0"/>
              <w:rPr>
                <w:sz w:val="17"/>
                <w:szCs w:val="17"/>
                <w:color w:val="auto"/>
              </w:rPr>
            </w:pPr>
          </w:p>
        </w:tc>
        <w:tc>
          <w:tcPr>
            <w:tcW w:w="218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July 2018</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1.1746</w:t>
            </w:r>
          </w:p>
        </w:tc>
        <w:tc>
          <w:tcPr>
            <w:tcW w:w="280" w:type="dxa"/>
            <w:vAlign w:val="bottom"/>
            <w:shd w:val="clear" w:color="auto" w:fill="E5FFFF"/>
          </w:tcPr>
          <w:p>
            <w:pPr>
              <w:spacing w:after="0"/>
              <w:rPr>
                <w:sz w:val="17"/>
                <w:szCs w:val="17"/>
                <w:color w:val="auto"/>
              </w:rPr>
            </w:pP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€1,995</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Citibank</w:t>
            </w: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November 2017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80" w:type="dxa"/>
            <w:vAlign w:val="bottom"/>
          </w:tcPr>
          <w:p>
            <w:pPr>
              <w:spacing w:after="0"/>
              <w:rPr>
                <w:sz w:val="17"/>
                <w:szCs w:val="17"/>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July 2018</w:t>
            </w: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1.2023</w:t>
            </w:r>
          </w:p>
        </w:tc>
        <w:tc>
          <w:tcPr>
            <w:tcW w:w="2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6"/>
              </w:rPr>
              <w:t>Citibank</w:t>
            </w:r>
          </w:p>
        </w:tc>
        <w:tc>
          <w:tcPr>
            <w:tcW w:w="152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November 2017</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80" w:type="dxa"/>
            <w:vAlign w:val="bottom"/>
            <w:shd w:val="clear" w:color="auto" w:fill="E5FFFF"/>
          </w:tcPr>
          <w:p>
            <w:pPr>
              <w:spacing w:after="0"/>
              <w:rPr>
                <w:sz w:val="17"/>
                <w:szCs w:val="17"/>
                <w:color w:val="auto"/>
              </w:rPr>
            </w:pPr>
          </w:p>
        </w:tc>
        <w:tc>
          <w:tcPr>
            <w:tcW w:w="218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3"/>
              </w:rPr>
              <w:t>August 2018</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1.2048</w:t>
            </w:r>
          </w:p>
        </w:tc>
        <w:tc>
          <w:tcPr>
            <w:tcW w:w="280" w:type="dxa"/>
            <w:vAlign w:val="bottom"/>
            <w:shd w:val="clear" w:color="auto" w:fill="E5FFFF"/>
          </w:tcPr>
          <w:p>
            <w:pPr>
              <w:spacing w:after="0"/>
              <w:rPr>
                <w:sz w:val="17"/>
                <w:szCs w:val="17"/>
                <w:color w:val="auto"/>
              </w:rPr>
            </w:pP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Citibank</w:t>
            </w: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November 2017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80" w:type="dxa"/>
            <w:vAlign w:val="bottom"/>
          </w:tcPr>
          <w:p>
            <w:pPr>
              <w:spacing w:after="0"/>
              <w:rPr>
                <w:sz w:val="17"/>
                <w:szCs w:val="17"/>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September 2018</w:t>
            </w: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1.2072</w:t>
            </w:r>
          </w:p>
        </w:tc>
        <w:tc>
          <w:tcPr>
            <w:tcW w:w="2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6"/>
              </w:rPr>
              <w:t>Citibank</w:t>
            </w:r>
          </w:p>
        </w:tc>
        <w:tc>
          <w:tcPr>
            <w:tcW w:w="152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November 2017</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80" w:type="dxa"/>
            <w:vAlign w:val="bottom"/>
            <w:shd w:val="clear" w:color="auto" w:fill="E5FFFF"/>
          </w:tcPr>
          <w:p>
            <w:pPr>
              <w:spacing w:after="0"/>
              <w:rPr>
                <w:sz w:val="17"/>
                <w:szCs w:val="17"/>
                <w:color w:val="auto"/>
              </w:rPr>
            </w:pPr>
          </w:p>
        </w:tc>
        <w:tc>
          <w:tcPr>
            <w:tcW w:w="218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0"/>
              </w:rPr>
              <w:t>October 2018</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1.2099</w:t>
            </w:r>
          </w:p>
        </w:tc>
        <w:tc>
          <w:tcPr>
            <w:tcW w:w="280" w:type="dxa"/>
            <w:vAlign w:val="bottom"/>
            <w:shd w:val="clear" w:color="auto" w:fill="E5FFFF"/>
          </w:tcPr>
          <w:p>
            <w:pPr>
              <w:spacing w:after="0"/>
              <w:rPr>
                <w:sz w:val="17"/>
                <w:szCs w:val="17"/>
                <w:color w:val="auto"/>
              </w:rPr>
            </w:pP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Citibank</w:t>
            </w: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November 2017</w:t>
            </w: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80" w:type="dxa"/>
            <w:vAlign w:val="bottom"/>
          </w:tcPr>
          <w:p>
            <w:pPr>
              <w:spacing w:after="0"/>
              <w:rPr>
                <w:sz w:val="17"/>
                <w:szCs w:val="17"/>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November 2018</w:t>
            </w: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1.2123</w:t>
            </w:r>
          </w:p>
        </w:tc>
        <w:tc>
          <w:tcPr>
            <w:tcW w:w="28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GasLog</w:t>
            </w:r>
          </w:p>
        </w:tc>
        <w:tc>
          <w:tcPr>
            <w:tcW w:w="140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6"/>
              </w:rPr>
              <w:t>Citibank</w:t>
            </w:r>
          </w:p>
        </w:tc>
        <w:tc>
          <w:tcPr>
            <w:tcW w:w="1520" w:type="dxa"/>
            <w:vAlign w:val="bottom"/>
            <w:gridSpan w:val="2"/>
            <w:shd w:val="clear" w:color="auto" w:fill="E5FFFF"/>
          </w:tcPr>
          <w:p>
            <w:pPr>
              <w:jc w:val="center"/>
              <w:ind w:right="280"/>
              <w:spacing w:after="0"/>
              <w:rPr>
                <w:sz w:val="20"/>
                <w:szCs w:val="20"/>
                <w:color w:val="auto"/>
              </w:rPr>
            </w:pPr>
            <w:r>
              <w:rPr>
                <w:rFonts w:ascii="Arial" w:cs="Arial" w:eastAsia="Arial" w:hAnsi="Arial"/>
                <w:sz w:val="16"/>
                <w:szCs w:val="16"/>
                <w:color w:val="auto"/>
                <w:w w:val="91"/>
              </w:rPr>
              <w:t>November 2017</w:t>
            </w:r>
          </w:p>
        </w:tc>
        <w:tc>
          <w:tcPr>
            <w:tcW w:w="9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w:t>
            </w:r>
          </w:p>
        </w:tc>
        <w:tc>
          <w:tcPr>
            <w:tcW w:w="280" w:type="dxa"/>
            <w:vAlign w:val="bottom"/>
            <w:shd w:val="clear" w:color="auto" w:fill="E5FFFF"/>
          </w:tcPr>
          <w:p>
            <w:pPr>
              <w:spacing w:after="0"/>
              <w:rPr>
                <w:sz w:val="17"/>
                <w:szCs w:val="17"/>
                <w:color w:val="auto"/>
              </w:rPr>
            </w:pPr>
          </w:p>
        </w:tc>
        <w:tc>
          <w:tcPr>
            <w:tcW w:w="2180" w:type="dxa"/>
            <w:vAlign w:val="bottom"/>
            <w:gridSpan w:val="2"/>
            <w:shd w:val="clear" w:color="auto" w:fill="E5FFFF"/>
          </w:tcPr>
          <w:p>
            <w:pPr>
              <w:jc w:val="center"/>
              <w:ind w:right="180"/>
              <w:spacing w:after="0"/>
              <w:rPr>
                <w:sz w:val="20"/>
                <w:szCs w:val="20"/>
                <w:color w:val="auto"/>
              </w:rPr>
            </w:pPr>
            <w:r>
              <w:rPr>
                <w:rFonts w:ascii="Arial" w:cs="Arial" w:eastAsia="Arial" w:hAnsi="Arial"/>
                <w:sz w:val="16"/>
                <w:szCs w:val="16"/>
                <w:color w:val="auto"/>
                <w:w w:val="91"/>
              </w:rPr>
              <w:t>December 2018</w:t>
            </w:r>
          </w:p>
        </w:tc>
        <w:tc>
          <w:tcPr>
            <w:tcW w:w="13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1.2148</w:t>
            </w:r>
          </w:p>
        </w:tc>
        <w:tc>
          <w:tcPr>
            <w:tcW w:w="280" w:type="dxa"/>
            <w:vAlign w:val="bottom"/>
            <w:shd w:val="clear" w:color="auto" w:fill="E5FFFF"/>
          </w:tcPr>
          <w:p>
            <w:pPr>
              <w:spacing w:after="0"/>
              <w:rPr>
                <w:sz w:val="17"/>
                <w:szCs w:val="17"/>
                <w:color w:val="auto"/>
              </w:rPr>
            </w:pPr>
          </w:p>
        </w:tc>
        <w:tc>
          <w:tcPr>
            <w:tcW w:w="20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tcBorders>
              <w:bottom w:val="single" w:sz="8" w:color="E5FFFF"/>
            </w:tcBorders>
            <w:gridSpan w:val="2"/>
          </w:tcPr>
          <w:p>
            <w:pPr>
              <w:spacing w:after="0"/>
              <w:rPr>
                <w:sz w:val="20"/>
                <w:szCs w:val="20"/>
                <w:color w:val="auto"/>
              </w:rPr>
            </w:pPr>
            <w:r>
              <w:rPr>
                <w:rFonts w:ascii="Arial" w:cs="Arial" w:eastAsia="Arial" w:hAnsi="Arial"/>
                <w:sz w:val="16"/>
                <w:szCs w:val="16"/>
                <w:color w:val="auto"/>
              </w:rPr>
              <w:t>GasLog</w:t>
            </w:r>
          </w:p>
        </w:tc>
        <w:tc>
          <w:tcPr>
            <w:tcW w:w="1400" w:type="dxa"/>
            <w:vAlign w:val="bottom"/>
            <w:tcBorders>
              <w:bottom w:val="single" w:sz="8" w:color="E5FFFF"/>
            </w:tcBorders>
            <w:gridSpan w:val="2"/>
          </w:tcPr>
          <w:p>
            <w:pPr>
              <w:jc w:val="center"/>
              <w:ind w:right="300"/>
              <w:spacing w:after="0"/>
              <w:rPr>
                <w:sz w:val="20"/>
                <w:szCs w:val="20"/>
                <w:color w:val="auto"/>
              </w:rPr>
            </w:pPr>
            <w:r>
              <w:rPr>
                <w:rFonts w:ascii="Arial" w:cs="Arial" w:eastAsia="Arial" w:hAnsi="Arial"/>
                <w:sz w:val="16"/>
                <w:szCs w:val="16"/>
                <w:color w:val="auto"/>
                <w:w w:val="93"/>
              </w:rPr>
              <w:t>SEB</w:t>
            </w:r>
          </w:p>
        </w:tc>
        <w:tc>
          <w:tcPr>
            <w:tcW w:w="1520" w:type="dxa"/>
            <w:vAlign w:val="bottom"/>
            <w:tcBorders>
              <w:bottom w:val="single" w:sz="8" w:color="E5FFFF"/>
            </w:tcBorders>
            <w:gridSpan w:val="2"/>
          </w:tcPr>
          <w:p>
            <w:pPr>
              <w:jc w:val="center"/>
              <w:ind w:right="280"/>
              <w:spacing w:after="0"/>
              <w:rPr>
                <w:sz w:val="20"/>
                <w:szCs w:val="20"/>
                <w:color w:val="auto"/>
              </w:rPr>
            </w:pPr>
            <w:r>
              <w:rPr>
                <w:rFonts w:ascii="Arial" w:cs="Arial" w:eastAsia="Arial" w:hAnsi="Arial"/>
                <w:sz w:val="16"/>
                <w:szCs w:val="16"/>
                <w:color w:val="auto"/>
                <w:w w:val="91"/>
              </w:rPr>
              <w:t>November 2017</w:t>
            </w:r>
          </w:p>
        </w:tc>
        <w:tc>
          <w:tcPr>
            <w:tcW w:w="940" w:type="dxa"/>
            <w:vAlign w:val="bottom"/>
            <w:tcBorders>
              <w:bottom w:val="single" w:sz="8" w:color="E5FFFF"/>
            </w:tcBorders>
          </w:tcPr>
          <w:p>
            <w:pPr>
              <w:jc w:val="center"/>
              <w:spacing w:after="0"/>
              <w:rPr>
                <w:sz w:val="20"/>
                <w:szCs w:val="20"/>
                <w:color w:val="auto"/>
              </w:rPr>
            </w:pPr>
            <w:r>
              <w:rPr>
                <w:rFonts w:ascii="Arial" w:cs="Arial" w:eastAsia="Arial" w:hAnsi="Arial"/>
                <w:sz w:val="16"/>
                <w:szCs w:val="16"/>
                <w:color w:val="auto"/>
                <w:w w:val="89"/>
              </w:rPr>
              <w:t>3</w:t>
            </w:r>
          </w:p>
        </w:tc>
        <w:tc>
          <w:tcPr>
            <w:tcW w:w="280" w:type="dxa"/>
            <w:vAlign w:val="bottom"/>
            <w:tcBorders>
              <w:bottom w:val="single" w:sz="8" w:color="E5FFFF"/>
            </w:tcBorders>
          </w:tcPr>
          <w:p>
            <w:pPr>
              <w:spacing w:after="0"/>
              <w:rPr>
                <w:sz w:val="17"/>
                <w:szCs w:val="17"/>
                <w:color w:val="auto"/>
              </w:rPr>
            </w:pPr>
          </w:p>
        </w:tc>
        <w:tc>
          <w:tcPr>
            <w:tcW w:w="2180" w:type="dxa"/>
            <w:vAlign w:val="bottom"/>
            <w:tcBorders>
              <w:bottom w:val="single" w:sz="8" w:color="E5FFFF"/>
            </w:tcBorders>
            <w:gridSpan w:val="2"/>
          </w:tcPr>
          <w:p>
            <w:pPr>
              <w:jc w:val="center"/>
              <w:ind w:right="200"/>
              <w:spacing w:after="0"/>
              <w:rPr>
                <w:sz w:val="20"/>
                <w:szCs w:val="20"/>
                <w:color w:val="auto"/>
              </w:rPr>
            </w:pPr>
            <w:r>
              <w:rPr>
                <w:rFonts w:ascii="Arial" w:cs="Arial" w:eastAsia="Arial" w:hAnsi="Arial"/>
                <w:sz w:val="16"/>
                <w:szCs w:val="16"/>
                <w:color w:val="auto"/>
                <w:w w:val="94"/>
              </w:rPr>
              <w:t>April-June 2018</w:t>
            </w:r>
          </w:p>
        </w:tc>
        <w:tc>
          <w:tcPr>
            <w:tcW w:w="1320" w:type="dxa"/>
            <w:vAlign w:val="bottom"/>
            <w:tcBorders>
              <w:bottom w:val="single" w:sz="8" w:color="E5FFFF"/>
            </w:tcBorders>
          </w:tcPr>
          <w:p>
            <w:pPr>
              <w:jc w:val="center"/>
              <w:spacing w:after="0"/>
              <w:rPr>
                <w:sz w:val="20"/>
                <w:szCs w:val="20"/>
                <w:color w:val="auto"/>
              </w:rPr>
            </w:pPr>
            <w:r>
              <w:rPr>
                <w:rFonts w:ascii="Arial" w:cs="Arial" w:eastAsia="Arial" w:hAnsi="Arial"/>
                <w:sz w:val="16"/>
                <w:szCs w:val="16"/>
                <w:color w:val="auto"/>
                <w:w w:val="93"/>
              </w:rPr>
              <w:t>1.19445</w:t>
            </w:r>
          </w:p>
        </w:tc>
        <w:tc>
          <w:tcPr>
            <w:tcW w:w="280" w:type="dxa"/>
            <w:vAlign w:val="bottom"/>
            <w:tcBorders>
              <w:bottom w:val="single" w:sz="8" w:color="E5FFFF"/>
            </w:tcBorders>
          </w:tcPr>
          <w:p>
            <w:pPr>
              <w:spacing w:after="0"/>
              <w:rPr>
                <w:sz w:val="17"/>
                <w:szCs w:val="17"/>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112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94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E5FFFF"/>
            </w:tcBorders>
            <w:shd w:val="clear" w:color="auto" w:fill="E5FFFF"/>
          </w:tcPr>
          <w:p>
            <w:pPr>
              <w:spacing w:after="0"/>
              <w:rPr>
                <w:sz w:val="17"/>
                <w:szCs w:val="17"/>
                <w:color w:val="auto"/>
              </w:rPr>
            </w:pPr>
          </w:p>
        </w:tc>
        <w:tc>
          <w:tcPr>
            <w:tcW w:w="200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1600" w:type="dxa"/>
            <w:vAlign w:val="bottom"/>
            <w:tcBorders>
              <w:bottom w:val="single" w:sz="8" w:color="E5FFFF"/>
            </w:tcBorders>
            <w:gridSpan w:val="2"/>
            <w:shd w:val="clear" w:color="auto" w:fill="E5FFFF"/>
          </w:tcPr>
          <w:p>
            <w:pPr>
              <w:ind w:left="300"/>
              <w:spacing w:after="0"/>
              <w:rPr>
                <w:sz w:val="20"/>
                <w:szCs w:val="20"/>
                <w:color w:val="auto"/>
              </w:rPr>
            </w:pPr>
            <w:r>
              <w:rPr>
                <w:rFonts w:ascii="Arial" w:cs="Arial" w:eastAsia="Arial" w:hAnsi="Arial"/>
                <w:sz w:val="16"/>
                <w:szCs w:val="16"/>
                <w:b w:val="1"/>
                <w:bCs w:val="1"/>
                <w:color w:val="auto"/>
              </w:rPr>
              <w:t>Total</w:t>
            </w:r>
          </w:p>
        </w:tc>
        <w:tc>
          <w:tcPr>
            <w:tcW w:w="2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6"/>
                <w:szCs w:val="16"/>
                <w:b w:val="1"/>
                <w:bCs w:val="1"/>
                <w:color w:val="auto"/>
              </w:rPr>
              <w:t>49,230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-1579245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-1579245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6" w:lineRule="exact"/>
        <w:rPr>
          <w:sz w:val="20"/>
          <w:szCs w:val="20"/>
          <w:color w:val="auto"/>
        </w:rPr>
      </w:pPr>
    </w:p>
    <w:p>
      <w:pPr>
        <w:jc w:val="both"/>
        <w:ind w:right="40" w:firstLine="356"/>
        <w:spacing w:after="0" w:line="278"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March 31, 2018. The change in the fair value of these contracts for the three months ended March 31, 2018 amounted to a net gain of $848 (for the three months ended March 31, 2017: net gain of $477), which was recognized against profit or loss in the period incurred and is included in Gain on swaps.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gridSpan w:val="2"/>
          </w:tcPr>
          <w:p>
            <w:pPr>
              <w:spacing w:after="0"/>
              <w:rPr>
                <w:sz w:val="20"/>
                <w:szCs w:val="20"/>
                <w:color w:val="auto"/>
              </w:rPr>
            </w:pPr>
            <w:r>
              <w:rPr>
                <w:rFonts w:ascii="Arial" w:cs="Arial" w:eastAsia="Arial" w:hAnsi="Arial"/>
                <w:sz w:val="16"/>
                <w:szCs w:val="16"/>
                <w:b w:val="1"/>
                <w:bCs w:val="1"/>
                <w:color w:val="auto"/>
              </w:rPr>
              <w:t>15. Financial Costs and Gain on Swaps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9"/>
        </w:trPr>
        <w:tc>
          <w:tcPr>
            <w:tcW w:w="340" w:type="dxa"/>
            <w:vAlign w:val="bottom"/>
          </w:tcPr>
          <w:p>
            <w:pPr>
              <w:spacing w:after="0"/>
              <w:rPr>
                <w:sz w:val="24"/>
                <w:szCs w:val="24"/>
                <w:color w:val="auto"/>
              </w:rPr>
            </w:pPr>
          </w:p>
        </w:tc>
        <w:tc>
          <w:tcPr>
            <w:tcW w:w="7500" w:type="dxa"/>
            <w:vAlign w:val="bottom"/>
          </w:tcPr>
          <w:p>
            <w:pPr>
              <w:ind w:left="80"/>
              <w:spacing w:after="0"/>
              <w:rPr>
                <w:sz w:val="20"/>
                <w:szCs w:val="20"/>
                <w:color w:val="auto"/>
              </w:rPr>
            </w:pPr>
            <w:r>
              <w:rPr>
                <w:rFonts w:ascii="Arial" w:cs="Arial" w:eastAsia="Arial" w:hAnsi="Arial"/>
                <w:sz w:val="16"/>
                <w:szCs w:val="16"/>
                <w:color w:val="auto"/>
              </w:rPr>
              <w:t>An analysis of financial costs and gain on swaps is as follows: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1"/>
        </w:trPr>
        <w:tc>
          <w:tcPr>
            <w:tcW w:w="3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10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For the three months ended</w:t>
            </w:r>
          </w:p>
        </w:tc>
      </w:tr>
      <w:tr>
        <w:trPr>
          <w:trHeight w:val="213"/>
        </w:trPr>
        <w:tc>
          <w:tcPr>
            <w:tcW w:w="34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March 31, 2017</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March 31, 2018</w:t>
            </w:r>
          </w:p>
        </w:tc>
      </w:tr>
      <w:tr>
        <w:trPr>
          <w:trHeight w:val="188"/>
        </w:trPr>
        <w:tc>
          <w:tcPr>
            <w:tcW w:w="340" w:type="dxa"/>
            <w:vAlign w:val="bottom"/>
          </w:tcPr>
          <w:p>
            <w:pPr>
              <w:spacing w:after="0"/>
              <w:rPr>
                <w:sz w:val="16"/>
                <w:szCs w:val="16"/>
                <w:color w:val="auto"/>
              </w:rPr>
            </w:pPr>
          </w:p>
        </w:tc>
        <w:tc>
          <w:tcPr>
            <w:tcW w:w="75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Amortization of deferred loan issuance costs and premium</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3,459</w:t>
            </w:r>
          </w:p>
        </w:tc>
        <w:tc>
          <w:tcPr>
            <w:tcW w:w="28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2,912</w:t>
            </w:r>
          </w:p>
        </w:tc>
        <w:tc>
          <w:tcPr>
            <w:tcW w:w="120" w:type="dxa"/>
            <w:vAlign w:val="bottom"/>
            <w:tcBorders>
              <w:top w:val="single" w:sz="8" w:color="E5FFFF"/>
            </w:tcBorders>
            <w:shd w:val="clear" w:color="auto" w:fill="E5FFFF"/>
          </w:tcPr>
          <w:p>
            <w:pPr>
              <w:spacing w:after="0"/>
              <w:rPr>
                <w:sz w:val="16"/>
                <w:szCs w:val="16"/>
                <w:color w:val="auto"/>
              </w:rPr>
            </w:pPr>
          </w:p>
        </w:tc>
      </w:tr>
    </w:tbl>
    <w:p>
      <w:pPr>
        <w:sectPr>
          <w:pgSz w:w="11900" w:h="16900" w:orient="portrait"/>
          <w:cols w:equalWidth="0" w:num="1">
            <w:col w:w="11460"/>
          </w:cols>
          <w:pgMar w:left="240" w:top="130" w:right="199" w:bottom="0" w:gutter="0" w:footer="0" w:header="0"/>
        </w:sectPr>
      </w:pPr>
    </w:p>
    <w:bookmarkStart w:id="30" w:name="page31"/>
    <w:bookmarkEnd w:id="30"/>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7500" w:type="dxa"/>
            <w:vAlign w:val="bottom"/>
          </w:tcPr>
          <w:p>
            <w:pPr>
              <w:spacing w:after="0"/>
              <w:rPr>
                <w:sz w:val="20"/>
                <w:szCs w:val="20"/>
                <w:color w:val="auto"/>
              </w:rPr>
            </w:pPr>
            <w:r>
              <w:rPr>
                <w:rFonts w:ascii="Arial" w:cs="Arial" w:eastAsia="Arial" w:hAnsi="Arial"/>
                <w:sz w:val="16"/>
                <w:szCs w:val="16"/>
                <w:color w:val="auto"/>
              </w:rPr>
              <w:t>Interest expense on loans</w:t>
            </w:r>
          </w:p>
        </w:tc>
        <w:tc>
          <w:tcPr>
            <w:tcW w:w="1640" w:type="dxa"/>
            <w:vAlign w:val="bottom"/>
            <w:gridSpan w:val="2"/>
          </w:tcPr>
          <w:p>
            <w:pPr>
              <w:jc w:val="right"/>
              <w:ind w:right="239"/>
              <w:spacing w:after="0"/>
              <w:rPr>
                <w:sz w:val="20"/>
                <w:szCs w:val="20"/>
                <w:color w:val="auto"/>
              </w:rPr>
            </w:pPr>
            <w:r>
              <w:rPr>
                <w:rFonts w:ascii="Arial" w:cs="Arial" w:eastAsia="Arial" w:hAnsi="Arial"/>
                <w:sz w:val="16"/>
                <w:szCs w:val="16"/>
                <w:color w:val="auto"/>
              </w:rPr>
              <w:t>22,482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23,197</w:t>
            </w:r>
          </w:p>
        </w:tc>
        <w:tc>
          <w:tcPr>
            <w:tcW w:w="100" w:type="dxa"/>
            <w:vAlign w:val="bottom"/>
          </w:tcPr>
          <w:p>
            <w:pPr>
              <w:spacing w:after="0"/>
              <w:rPr>
                <w:sz w:val="18"/>
                <w:szCs w:val="18"/>
                <w:color w:val="auto"/>
              </w:rPr>
            </w:pPr>
          </w:p>
        </w:tc>
      </w:tr>
      <w:tr>
        <w:trPr>
          <w:trHeight w:val="206"/>
        </w:trPr>
        <w:tc>
          <w:tcPr>
            <w:tcW w:w="7500" w:type="dxa"/>
            <w:vAlign w:val="bottom"/>
            <w:shd w:val="clear" w:color="auto" w:fill="E5FFFF"/>
          </w:tcPr>
          <w:p>
            <w:pPr>
              <w:spacing w:after="0"/>
              <w:rPr>
                <w:sz w:val="20"/>
                <w:szCs w:val="20"/>
                <w:color w:val="auto"/>
              </w:rPr>
            </w:pPr>
            <w:r>
              <w:rPr>
                <w:rFonts w:ascii="Arial" w:cs="Arial" w:eastAsia="Arial" w:hAnsi="Arial"/>
                <w:sz w:val="16"/>
                <w:szCs w:val="16"/>
                <w:color w:val="auto"/>
              </w:rPr>
              <w:t>Interest expense on bonds and realized loss on cross-currency swaps</w:t>
            </w:r>
          </w:p>
        </w:tc>
        <w:tc>
          <w:tcPr>
            <w:tcW w:w="1640" w:type="dxa"/>
            <w:vAlign w:val="bottom"/>
            <w:gridSpan w:val="2"/>
            <w:shd w:val="clear" w:color="auto" w:fill="E5FFFF"/>
          </w:tcPr>
          <w:p>
            <w:pPr>
              <w:jc w:val="right"/>
              <w:ind w:right="239"/>
              <w:spacing w:after="0"/>
              <w:rPr>
                <w:sz w:val="20"/>
                <w:szCs w:val="20"/>
                <w:color w:val="auto"/>
              </w:rPr>
            </w:pPr>
            <w:r>
              <w:rPr>
                <w:rFonts w:ascii="Arial" w:cs="Arial" w:eastAsia="Arial" w:hAnsi="Arial"/>
                <w:sz w:val="16"/>
                <w:szCs w:val="16"/>
                <w:color w:val="auto"/>
              </w:rPr>
              <w:t>3,520</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7,473</w:t>
            </w:r>
          </w:p>
        </w:tc>
        <w:tc>
          <w:tcPr>
            <w:tcW w:w="100" w:type="dxa"/>
            <w:vAlign w:val="bottom"/>
            <w:shd w:val="clear" w:color="auto" w:fill="E5FFFF"/>
          </w:tcPr>
          <w:p>
            <w:pPr>
              <w:spacing w:after="0"/>
              <w:rPr>
                <w:sz w:val="17"/>
                <w:szCs w:val="17"/>
                <w:color w:val="auto"/>
              </w:rPr>
            </w:pPr>
          </w:p>
        </w:tc>
      </w:tr>
      <w:tr>
        <w:trPr>
          <w:trHeight w:val="203"/>
        </w:trPr>
        <w:tc>
          <w:tcPr>
            <w:tcW w:w="7500" w:type="dxa"/>
            <w:vAlign w:val="bottom"/>
          </w:tcPr>
          <w:p>
            <w:pPr>
              <w:spacing w:after="0"/>
              <w:rPr>
                <w:sz w:val="20"/>
                <w:szCs w:val="20"/>
                <w:color w:val="auto"/>
              </w:rPr>
            </w:pPr>
            <w:r>
              <w:rPr>
                <w:rFonts w:ascii="Arial" w:cs="Arial" w:eastAsia="Arial" w:hAnsi="Arial"/>
                <w:sz w:val="16"/>
                <w:szCs w:val="16"/>
                <w:color w:val="auto"/>
              </w:rPr>
              <w:t>Finance lease charge</w:t>
            </w:r>
          </w:p>
        </w:tc>
        <w:tc>
          <w:tcPr>
            <w:tcW w:w="1640" w:type="dxa"/>
            <w:vAlign w:val="bottom"/>
            <w:gridSpan w:val="2"/>
          </w:tcPr>
          <w:p>
            <w:pPr>
              <w:jc w:val="right"/>
              <w:ind w:right="239"/>
              <w:spacing w:after="0"/>
              <w:rPr>
                <w:sz w:val="20"/>
                <w:szCs w:val="20"/>
                <w:color w:val="auto"/>
              </w:rPr>
            </w:pPr>
            <w:r>
              <w:rPr>
                <w:rFonts w:ascii="Arial" w:cs="Arial" w:eastAsia="Arial" w:hAnsi="Arial"/>
                <w:sz w:val="16"/>
                <w:szCs w:val="16"/>
                <w:color w:val="auto"/>
              </w:rPr>
              <w:t>2,714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2,628</w:t>
            </w:r>
          </w:p>
        </w:tc>
        <w:tc>
          <w:tcPr>
            <w:tcW w:w="100" w:type="dxa"/>
            <w:vAlign w:val="bottom"/>
          </w:tcPr>
          <w:p>
            <w:pPr>
              <w:spacing w:after="0"/>
              <w:rPr>
                <w:sz w:val="17"/>
                <w:szCs w:val="17"/>
                <w:color w:val="auto"/>
              </w:rPr>
            </w:pPr>
          </w:p>
        </w:tc>
      </w:tr>
      <w:tr>
        <w:trPr>
          <w:trHeight w:val="203"/>
        </w:trPr>
        <w:tc>
          <w:tcPr>
            <w:tcW w:w="7500" w:type="dxa"/>
            <w:vAlign w:val="bottom"/>
            <w:shd w:val="clear" w:color="auto" w:fill="E5FFFF"/>
          </w:tcPr>
          <w:p>
            <w:pPr>
              <w:spacing w:after="0"/>
              <w:rPr>
                <w:sz w:val="20"/>
                <w:szCs w:val="20"/>
                <w:color w:val="auto"/>
              </w:rPr>
            </w:pPr>
            <w:r>
              <w:rPr>
                <w:rFonts w:ascii="Arial" w:cs="Arial" w:eastAsia="Arial" w:hAnsi="Arial"/>
                <w:sz w:val="16"/>
                <w:szCs w:val="16"/>
                <w:color w:val="auto"/>
              </w:rPr>
              <w:t>Other financial costs</w:t>
            </w:r>
          </w:p>
        </w:tc>
        <w:tc>
          <w:tcPr>
            <w:tcW w:w="1640" w:type="dxa"/>
            <w:vAlign w:val="bottom"/>
            <w:gridSpan w:val="2"/>
            <w:shd w:val="clear" w:color="auto" w:fill="E5FFFF"/>
          </w:tcPr>
          <w:p>
            <w:pPr>
              <w:jc w:val="right"/>
              <w:ind w:right="239"/>
              <w:spacing w:after="0"/>
              <w:rPr>
                <w:sz w:val="20"/>
                <w:szCs w:val="20"/>
                <w:color w:val="auto"/>
              </w:rPr>
            </w:pPr>
            <w:r>
              <w:rPr>
                <w:rFonts w:ascii="Arial" w:cs="Arial" w:eastAsia="Arial" w:hAnsi="Arial"/>
                <w:sz w:val="16"/>
                <w:szCs w:val="16"/>
                <w:color w:val="auto"/>
              </w:rPr>
              <w:t>349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E5FFFF"/>
          </w:tcPr>
          <w:p>
            <w:pPr>
              <w:spacing w:after="0"/>
              <w:rPr>
                <w:sz w:val="17"/>
                <w:szCs w:val="17"/>
                <w:color w:val="auto"/>
              </w:rPr>
            </w:pPr>
          </w:p>
        </w:tc>
      </w:tr>
      <w:tr>
        <w:trPr>
          <w:trHeight w:val="236"/>
        </w:trPr>
        <w:tc>
          <w:tcPr>
            <w:tcW w:w="75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financial costs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32,524</w:t>
            </w:r>
          </w:p>
        </w:tc>
        <w:tc>
          <w:tcPr>
            <w:tcW w:w="280" w:type="dxa"/>
            <w:vAlign w:val="bottom"/>
            <w:tcBorders>
              <w:bottom w:val="single" w:sz="8" w:color="E5FFFF"/>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36,597</w:t>
            </w:r>
          </w:p>
        </w:tc>
        <w:tc>
          <w:tcPr>
            <w:tcW w:w="2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r>
      <w:tr>
        <w:trPr>
          <w:trHeight w:val="197"/>
        </w:trPr>
        <w:tc>
          <w:tcPr>
            <w:tcW w:w="75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7500" w:type="dxa"/>
            <w:vAlign w:val="bottom"/>
          </w:tcPr>
          <w:p>
            <w:pPr>
              <w:spacing w:after="0"/>
              <w:rPr>
                <w:sz w:val="20"/>
                <w:szCs w:val="20"/>
                <w:color w:val="auto"/>
              </w:rPr>
            </w:pPr>
            <w:r>
              <w:rPr>
                <w:rFonts w:ascii="Arial" w:cs="Arial" w:eastAsia="Arial" w:hAnsi="Arial"/>
                <w:sz w:val="16"/>
                <w:szCs w:val="16"/>
                <w:color w:val="auto"/>
              </w:rPr>
              <w:t>Unrealized gain on derivative financial instruments held for trading (Note 14)</w:t>
            </w:r>
          </w:p>
        </w:tc>
        <w:tc>
          <w:tcPr>
            <w:tcW w:w="1640" w:type="dxa"/>
            <w:vAlign w:val="bottom"/>
            <w:gridSpan w:val="2"/>
          </w:tcPr>
          <w:p>
            <w:pPr>
              <w:jc w:val="right"/>
              <w:ind w:right="199"/>
              <w:spacing w:after="0"/>
              <w:rPr>
                <w:sz w:val="20"/>
                <w:szCs w:val="20"/>
                <w:color w:val="auto"/>
              </w:rPr>
            </w:pPr>
            <w:r>
              <w:rPr>
                <w:rFonts w:ascii="Arial" w:cs="Arial" w:eastAsia="Arial" w:hAnsi="Arial"/>
                <w:sz w:val="16"/>
                <w:szCs w:val="16"/>
                <w:color w:val="auto"/>
              </w:rPr>
              <w:t>(2,315)</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(17,161)</w:t>
            </w:r>
          </w:p>
        </w:tc>
      </w:tr>
      <w:tr>
        <w:trPr>
          <w:trHeight w:val="203"/>
        </w:trPr>
        <w:tc>
          <w:tcPr>
            <w:tcW w:w="7500" w:type="dxa"/>
            <w:vAlign w:val="bottom"/>
            <w:shd w:val="clear" w:color="auto" w:fill="E5FFFF"/>
          </w:tcPr>
          <w:p>
            <w:pPr>
              <w:spacing w:after="0"/>
              <w:rPr>
                <w:sz w:val="20"/>
                <w:szCs w:val="20"/>
                <w:color w:val="auto"/>
              </w:rPr>
            </w:pPr>
            <w:r>
              <w:rPr>
                <w:rFonts w:ascii="Arial" w:cs="Arial" w:eastAsia="Arial" w:hAnsi="Arial"/>
                <w:sz w:val="16"/>
                <w:szCs w:val="16"/>
                <w:color w:val="auto"/>
              </w:rPr>
              <w:t>Realized loss on interest rate swaps held for trading</w:t>
            </w:r>
          </w:p>
        </w:tc>
        <w:tc>
          <w:tcPr>
            <w:tcW w:w="1640" w:type="dxa"/>
            <w:vAlign w:val="bottom"/>
            <w:gridSpan w:val="2"/>
            <w:shd w:val="clear" w:color="auto" w:fill="E5FFFF"/>
          </w:tcPr>
          <w:p>
            <w:pPr>
              <w:jc w:val="right"/>
              <w:ind w:right="239"/>
              <w:spacing w:after="0"/>
              <w:rPr>
                <w:sz w:val="20"/>
                <w:szCs w:val="20"/>
                <w:color w:val="auto"/>
              </w:rPr>
            </w:pPr>
            <w:r>
              <w:rPr>
                <w:rFonts w:ascii="Arial" w:cs="Arial" w:eastAsia="Arial" w:hAnsi="Arial"/>
                <w:sz w:val="16"/>
                <w:szCs w:val="16"/>
                <w:color w:val="auto"/>
              </w:rPr>
              <w:t>2,151</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E5FFFF"/>
          </w:tcPr>
          <w:p>
            <w:pPr>
              <w:spacing w:after="0"/>
              <w:rPr>
                <w:sz w:val="17"/>
                <w:szCs w:val="17"/>
                <w:color w:val="auto"/>
              </w:rPr>
            </w:pPr>
          </w:p>
        </w:tc>
      </w:tr>
      <w:tr>
        <w:trPr>
          <w:trHeight w:val="203"/>
        </w:trPr>
        <w:tc>
          <w:tcPr>
            <w:tcW w:w="7500" w:type="dxa"/>
            <w:vAlign w:val="bottom"/>
          </w:tcPr>
          <w:p>
            <w:pPr>
              <w:spacing w:after="0"/>
              <w:rPr>
                <w:sz w:val="20"/>
                <w:szCs w:val="20"/>
                <w:color w:val="auto"/>
              </w:rPr>
            </w:pPr>
            <w:r>
              <w:rPr>
                <w:rFonts w:ascii="Arial" w:cs="Arial" w:eastAsia="Arial" w:hAnsi="Arial"/>
                <w:sz w:val="16"/>
                <w:szCs w:val="16"/>
                <w:color w:val="auto"/>
              </w:rPr>
              <w:t>Realized gain on forward foreign exchange contracts held for trading</w:t>
            </w:r>
          </w:p>
        </w:tc>
        <w:tc>
          <w:tcPr>
            <w:tcW w:w="16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60"/>
              <w:spacing w:after="0"/>
              <w:rPr>
                <w:sz w:val="20"/>
                <w:szCs w:val="20"/>
                <w:color w:val="auto"/>
              </w:rPr>
            </w:pPr>
            <w:r>
              <w:rPr>
                <w:rFonts w:ascii="Arial" w:cs="Arial" w:eastAsia="Arial" w:hAnsi="Arial"/>
                <w:sz w:val="16"/>
                <w:szCs w:val="16"/>
                <w:color w:val="auto"/>
              </w:rPr>
              <w:t>(1,486)</w:t>
            </w:r>
          </w:p>
        </w:tc>
      </w:tr>
      <w:tr>
        <w:trPr>
          <w:trHeight w:val="203"/>
        </w:trPr>
        <w:tc>
          <w:tcPr>
            <w:tcW w:w="7500" w:type="dxa"/>
            <w:vAlign w:val="bottom"/>
            <w:shd w:val="clear" w:color="auto" w:fill="E5FFFF"/>
          </w:tcPr>
          <w:p>
            <w:pPr>
              <w:spacing w:after="0"/>
              <w:rPr>
                <w:sz w:val="20"/>
                <w:szCs w:val="20"/>
                <w:color w:val="auto"/>
              </w:rPr>
            </w:pPr>
            <w:r>
              <w:rPr>
                <w:rFonts w:ascii="Arial" w:cs="Arial" w:eastAsia="Arial" w:hAnsi="Arial"/>
                <w:sz w:val="16"/>
                <w:szCs w:val="16"/>
                <w:color w:val="auto"/>
              </w:rPr>
              <w:t>Ineffective portion of cash flow hedges</w:t>
            </w:r>
          </w:p>
        </w:tc>
        <w:tc>
          <w:tcPr>
            <w:tcW w:w="1640" w:type="dxa"/>
            <w:vAlign w:val="bottom"/>
            <w:gridSpan w:val="2"/>
            <w:shd w:val="clear" w:color="auto" w:fill="E5FF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E5FFFF"/>
          </w:tcPr>
          <w:p>
            <w:pPr>
              <w:spacing w:after="0"/>
              <w:rPr>
                <w:sz w:val="17"/>
                <w:szCs w:val="17"/>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b w:val="1"/>
                <w:bCs w:val="1"/>
                <w:color w:val="auto"/>
              </w:rPr>
              <w:t>Total gain on swaps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280" w:type="dxa"/>
            <w:vAlign w:val="bottom"/>
          </w:tcPr>
          <w:p>
            <w:pPr>
              <w:jc w:val="right"/>
              <w:ind w:right="199"/>
              <w:spacing w:after="0"/>
              <w:rPr>
                <w:sz w:val="20"/>
                <w:szCs w:val="20"/>
                <w:color w:val="auto"/>
              </w:rPr>
            </w:pPr>
            <w:r>
              <w:rPr>
                <w:rFonts w:ascii="Arial" w:cs="Arial" w:eastAsia="Arial" w:hAnsi="Arial"/>
                <w:sz w:val="8"/>
                <w:szCs w:val="8"/>
                <w:b w:val="1"/>
                <w:bCs w:val="1"/>
                <w:color w:val="auto"/>
                <w:w w:val="73"/>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(17,771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75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Cash Flow Reconciliations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reconciliation of the Group’s non-cash investing and financing activities for the period ended March 31, 2018 is presented in the tables below:</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borrowings arising from financing activities is as follows:</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Deferred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comprehensive</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Non-cash</w:t>
            </w: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financing costs,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Opening balance</w:t>
            </w:r>
          </w:p>
        </w:tc>
        <w:tc>
          <w:tcPr>
            <w:tcW w:w="13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Cash flows</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income</w:t>
            </w: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items</w:t>
            </w:r>
          </w:p>
        </w:tc>
        <w:tc>
          <w:tcPr>
            <w:tcW w:w="15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assets</w:t>
            </w:r>
          </w:p>
        </w:tc>
        <w:tc>
          <w:tcPr>
            <w:tcW w:w="10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580" w:type="dxa"/>
            <w:vAlign w:val="bottom"/>
            <w:tcBorders>
              <w:top w:val="single" w:sz="8" w:color="E5FFFF"/>
            </w:tcBorders>
            <w:shd w:val="clear" w:color="auto" w:fill="E5FFFF"/>
          </w:tcPr>
          <w:p>
            <w:pPr>
              <w:spacing w:after="0" w:line="176" w:lineRule="exact"/>
              <w:rPr>
                <w:sz w:val="20"/>
                <w:szCs w:val="20"/>
                <w:color w:val="auto"/>
              </w:rPr>
            </w:pPr>
            <w:r>
              <w:rPr>
                <w:rFonts w:ascii="Arial" w:cs="Arial" w:eastAsia="Arial" w:hAnsi="Arial"/>
                <w:sz w:val="16"/>
                <w:szCs w:val="16"/>
                <w:color w:val="auto"/>
              </w:rPr>
              <w:t>Borrowings outstanding as of</w:t>
            </w:r>
          </w:p>
        </w:tc>
        <w:tc>
          <w:tcPr>
            <w:tcW w:w="14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12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4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34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9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E5FFFF"/>
          </w:tcPr>
          <w:p>
            <w:pPr>
              <w:spacing w:after="0"/>
              <w:rPr>
                <w:sz w:val="20"/>
                <w:szCs w:val="20"/>
                <w:color w:val="auto"/>
              </w:rPr>
            </w:pPr>
            <w:r>
              <w:rPr>
                <w:rFonts w:ascii="Arial" w:cs="Arial" w:eastAsia="Arial" w:hAnsi="Arial"/>
                <w:sz w:val="16"/>
                <w:szCs w:val="16"/>
                <w:color w:val="auto"/>
              </w:rPr>
              <w:t>January 1, 2018</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2,547,556</w:t>
            </w:r>
          </w:p>
        </w:tc>
        <w:tc>
          <w:tcPr>
            <w:tcW w:w="2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2,547,556</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80" w:type="dxa"/>
            <w:vAlign w:val="bottom"/>
          </w:tcPr>
          <w:p>
            <w:pPr>
              <w:spacing w:after="0"/>
              <w:rPr>
                <w:sz w:val="20"/>
                <w:szCs w:val="20"/>
                <w:color w:val="auto"/>
              </w:rPr>
            </w:pPr>
            <w:r>
              <w:rPr>
                <w:rFonts w:ascii="Arial" w:cs="Arial" w:eastAsia="Arial" w:hAnsi="Arial"/>
                <w:sz w:val="16"/>
                <w:szCs w:val="16"/>
                <w:color w:val="auto"/>
              </w:rPr>
              <w:t>Proceeds from bank loans and</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bonds</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498,225</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498,225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80" w:type="dxa"/>
            <w:vAlign w:val="bottom"/>
            <w:shd w:val="clear" w:color="auto" w:fill="E5FFFF"/>
          </w:tcPr>
          <w:p>
            <w:pPr>
              <w:spacing w:after="0"/>
              <w:rPr>
                <w:sz w:val="20"/>
                <w:szCs w:val="20"/>
                <w:color w:val="auto"/>
              </w:rPr>
            </w:pPr>
            <w:r>
              <w:rPr>
                <w:rFonts w:ascii="Arial" w:cs="Arial" w:eastAsia="Arial" w:hAnsi="Arial"/>
                <w:sz w:val="16"/>
                <w:szCs w:val="16"/>
                <w:color w:val="auto"/>
              </w:rPr>
              <w:t>Bank loan repayments</w:t>
            </w: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(83,938)</w:t>
            </w:r>
          </w:p>
        </w:tc>
        <w:tc>
          <w:tcPr>
            <w:tcW w:w="15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(83,938)</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Additions in deferred loan fees</w:t>
            </w: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(6,753)</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1,232</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(13,573)</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(19,094)</w:t>
            </w:r>
          </w:p>
        </w:tc>
        <w:tc>
          <w:tcPr>
            <w:tcW w:w="0" w:type="dxa"/>
            <w:vAlign w:val="bottom"/>
          </w:tcPr>
          <w:p>
            <w:pPr>
              <w:spacing w:after="0"/>
              <w:rPr>
                <w:sz w:val="1"/>
                <w:szCs w:val="1"/>
                <w:color w:val="auto"/>
              </w:rPr>
            </w:pPr>
          </w:p>
        </w:tc>
      </w:tr>
      <w:tr>
        <w:trPr>
          <w:trHeight w:val="193"/>
        </w:trPr>
        <w:tc>
          <w:tcPr>
            <w:tcW w:w="2580" w:type="dxa"/>
            <w:vAlign w:val="bottom"/>
            <w:shd w:val="clear" w:color="auto" w:fill="E5FFFF"/>
          </w:tcPr>
          <w:p>
            <w:pPr>
              <w:spacing w:after="0"/>
              <w:rPr>
                <w:sz w:val="20"/>
                <w:szCs w:val="20"/>
                <w:color w:val="auto"/>
              </w:rPr>
            </w:pPr>
            <w:r>
              <w:rPr>
                <w:rFonts w:ascii="Arial" w:cs="Arial" w:eastAsia="Arial" w:hAnsi="Arial"/>
                <w:sz w:val="16"/>
                <w:szCs w:val="16"/>
                <w:color w:val="auto"/>
              </w:rPr>
              <w:t>Amortization of deferred loan</w:t>
            </w:r>
          </w:p>
        </w:tc>
        <w:tc>
          <w:tcPr>
            <w:tcW w:w="148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1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issuance costs and premium</w:t>
            </w:r>
          </w:p>
        </w:tc>
        <w:tc>
          <w:tcPr>
            <w:tcW w:w="14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E5FFFF"/>
          </w:tcPr>
          <w:p>
            <w:pPr>
              <w:ind w:left="180"/>
              <w:spacing w:after="0"/>
              <w:rPr>
                <w:sz w:val="20"/>
                <w:szCs w:val="20"/>
                <w:color w:val="auto"/>
              </w:rPr>
            </w:pPr>
            <w:r>
              <w:rPr>
                <w:rFonts w:ascii="Arial" w:cs="Arial" w:eastAsia="Arial" w:hAnsi="Arial"/>
                <w:sz w:val="16"/>
                <w:szCs w:val="16"/>
                <w:color w:val="auto"/>
              </w:rPr>
              <w:t>(Note 15)</w:t>
            </w:r>
          </w:p>
        </w:tc>
        <w:tc>
          <w:tcPr>
            <w:tcW w:w="17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2,912</w:t>
            </w: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2,912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580" w:type="dxa"/>
            <w:vAlign w:val="bottom"/>
          </w:tcPr>
          <w:p>
            <w:pPr>
              <w:spacing w:after="0"/>
              <w:rPr>
                <w:sz w:val="20"/>
                <w:szCs w:val="20"/>
                <w:color w:val="auto"/>
              </w:rPr>
            </w:pPr>
            <w:r>
              <w:rPr>
                <w:rFonts w:ascii="Arial" w:cs="Arial" w:eastAsia="Arial" w:hAnsi="Arial"/>
                <w:sz w:val="16"/>
                <w:szCs w:val="16"/>
                <w:color w:val="auto"/>
              </w:rPr>
              <w:t>Retranslation of the NOK Bonds in</w:t>
            </w: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U.S. dollars</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4,753</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Borrowings outstanding as of</w:t>
            </w: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E5FF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580" w:type="dxa"/>
            <w:vAlign w:val="bottom"/>
            <w:vMerge w:val="continue"/>
            <w:shd w:val="clear" w:color="auto" w:fill="E5FFFF"/>
          </w:tcPr>
          <w:p>
            <w:pPr>
              <w:spacing w:after="0"/>
              <w:rPr>
                <w:sz w:val="14"/>
                <w:szCs w:val="14"/>
                <w:color w:val="auto"/>
              </w:rPr>
            </w:pPr>
          </w:p>
        </w:tc>
        <w:tc>
          <w:tcPr>
            <w:tcW w:w="14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2,547,556</w:t>
            </w:r>
          </w:p>
        </w:tc>
        <w:tc>
          <w:tcPr>
            <w:tcW w:w="220" w:type="dxa"/>
            <w:vAlign w:val="bottom"/>
            <w:shd w:val="clear" w:color="auto" w:fill="E5FFFF"/>
          </w:tcPr>
          <w:p>
            <w:pPr>
              <w:spacing w:after="0"/>
              <w:rPr>
                <w:sz w:val="14"/>
                <w:szCs w:val="14"/>
                <w:color w:val="auto"/>
              </w:rPr>
            </w:pPr>
          </w:p>
        </w:tc>
        <w:tc>
          <w:tcPr>
            <w:tcW w:w="1340" w:type="dxa"/>
            <w:vAlign w:val="bottom"/>
            <w:gridSpan w:val="2"/>
            <w:vMerge w:val="restart"/>
            <w:shd w:val="clear" w:color="auto" w:fill="E5FFFF"/>
          </w:tcPr>
          <w:p>
            <w:pPr>
              <w:jc w:val="right"/>
              <w:ind w:right="220"/>
              <w:spacing w:after="0"/>
              <w:rPr>
                <w:sz w:val="20"/>
                <w:szCs w:val="20"/>
                <w:color w:val="auto"/>
              </w:rPr>
            </w:pPr>
            <w:r>
              <w:rPr>
                <w:rFonts w:ascii="Arial" w:cs="Arial" w:eastAsia="Arial" w:hAnsi="Arial"/>
                <w:sz w:val="16"/>
                <w:szCs w:val="16"/>
                <w:b w:val="1"/>
                <w:bCs w:val="1"/>
                <w:color w:val="auto"/>
              </w:rPr>
              <w:t>407,534</w:t>
            </w:r>
          </w:p>
        </w:tc>
        <w:tc>
          <w:tcPr>
            <w:tcW w:w="134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4,753</w:t>
            </w:r>
          </w:p>
        </w:tc>
        <w:tc>
          <w:tcPr>
            <w:tcW w:w="200" w:type="dxa"/>
            <w:vAlign w:val="bottom"/>
            <w:shd w:val="clear" w:color="auto" w:fill="E5FFFF"/>
          </w:tcPr>
          <w:p>
            <w:pPr>
              <w:spacing w:after="0"/>
              <w:rPr>
                <w:sz w:val="14"/>
                <w:szCs w:val="14"/>
                <w:color w:val="auto"/>
              </w:rPr>
            </w:pPr>
          </w:p>
        </w:tc>
        <w:tc>
          <w:tcPr>
            <w:tcW w:w="1220" w:type="dxa"/>
            <w:vAlign w:val="bottom"/>
            <w:gridSpan w:val="2"/>
            <w:vMerge w:val="restart"/>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4,144</w:t>
            </w:r>
          </w:p>
        </w:tc>
        <w:tc>
          <w:tcPr>
            <w:tcW w:w="1560" w:type="dxa"/>
            <w:vAlign w:val="bottom"/>
            <w:gridSpan w:val="2"/>
            <w:vMerge w:val="restart"/>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(13,573)</w:t>
            </w:r>
          </w:p>
        </w:tc>
        <w:tc>
          <w:tcPr>
            <w:tcW w:w="90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2,950,414</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March 31, 2018</w:t>
            </w:r>
          </w:p>
        </w:tc>
        <w:tc>
          <w:tcPr>
            <w:tcW w:w="148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gridSpan w:val="2"/>
            <w:vMerge w:val="continue"/>
            <w:shd w:val="clear" w:color="auto" w:fill="E5FFFF"/>
          </w:tcPr>
          <w:p>
            <w:pPr>
              <w:spacing w:after="0"/>
              <w:rPr>
                <w:sz w:val="17"/>
                <w:szCs w:val="17"/>
                <w:color w:val="auto"/>
              </w:rPr>
            </w:pPr>
          </w:p>
        </w:tc>
        <w:tc>
          <w:tcPr>
            <w:tcW w:w="1340" w:type="dxa"/>
            <w:vAlign w:val="bottom"/>
            <w:vMerge w:val="continue"/>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20" w:type="dxa"/>
            <w:vAlign w:val="bottom"/>
            <w:gridSpan w:val="2"/>
            <w:vMerge w:val="continue"/>
            <w:shd w:val="clear" w:color="auto" w:fill="E5FFFF"/>
          </w:tcPr>
          <w:p>
            <w:pPr>
              <w:spacing w:after="0"/>
              <w:rPr>
                <w:sz w:val="17"/>
                <w:szCs w:val="17"/>
                <w:color w:val="auto"/>
              </w:rPr>
            </w:pPr>
          </w:p>
        </w:tc>
        <w:tc>
          <w:tcPr>
            <w:tcW w:w="1560" w:type="dxa"/>
            <w:vAlign w:val="bottom"/>
            <w:gridSpan w:val="2"/>
            <w:vMerge w:val="continue"/>
            <w:shd w:val="clear" w:color="auto" w:fill="E5FFFF"/>
          </w:tcPr>
          <w:p>
            <w:pPr>
              <w:spacing w:after="0"/>
              <w:rPr>
                <w:sz w:val="17"/>
                <w:szCs w:val="17"/>
                <w:color w:val="auto"/>
              </w:rPr>
            </w:pPr>
          </w:p>
        </w:tc>
        <w:tc>
          <w:tcPr>
            <w:tcW w:w="900" w:type="dxa"/>
            <w:vAlign w:val="bottom"/>
            <w:vMerge w:val="continue"/>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E5FF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of derivatives arising from financing activities is as follows:</w:t>
      </w:r>
    </w:p>
    <w:p>
      <w:pPr>
        <w:sectPr>
          <w:pgSz w:w="11900" w:h="16900" w:orient="portrait"/>
          <w:cols w:equalWidth="0" w:num="1">
            <w:col w:w="11280"/>
          </w:cols>
          <w:pgMar w:left="240" w:top="130"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derivative assets as of January 1, 2018</w:t>
      </w:r>
    </w:p>
    <w:p>
      <w:pPr>
        <w:spacing w:after="0" w:line="32" w:lineRule="exact"/>
        <w:rPr>
          <w:sz w:val="20"/>
          <w:szCs w:val="20"/>
          <w:color w:val="auto"/>
        </w:rPr>
      </w:pPr>
    </w:p>
    <w:p>
      <w:pPr>
        <w:ind w:left="340"/>
        <w:spacing w:after="0" w:line="266" w:lineRule="auto"/>
        <w:rPr>
          <w:sz w:val="20"/>
          <w:szCs w:val="20"/>
          <w:color w:val="auto"/>
        </w:rPr>
      </w:pPr>
      <w:r>
        <w:rPr>
          <w:rFonts w:ascii="Arial" w:cs="Arial" w:eastAsia="Arial" w:hAnsi="Arial"/>
          <w:sz w:val="16"/>
          <w:szCs w:val="16"/>
          <w:color w:val="auto"/>
        </w:rPr>
        <w:t>Unrealized gain on derivative financial instruments held for trading (Note 15)</w:t>
      </w:r>
    </w:p>
    <w:p>
      <w:pPr>
        <w:spacing w:after="0" w:line="1" w:lineRule="exact"/>
        <w:rPr>
          <w:sz w:val="20"/>
          <w:szCs w:val="20"/>
          <w:color w:val="auto"/>
        </w:rPr>
      </w:pPr>
    </w:p>
    <w:p>
      <w:pPr>
        <w:ind w:left="340"/>
        <w:spacing w:after="0" w:line="301" w:lineRule="auto"/>
        <w:rPr>
          <w:sz w:val="20"/>
          <w:szCs w:val="20"/>
          <w:color w:val="auto"/>
        </w:rPr>
      </w:pPr>
      <w:r>
        <w:rPr>
          <w:rFonts w:ascii="Arial" w:cs="Arial" w:eastAsia="Arial" w:hAnsi="Arial"/>
          <w:sz w:val="14"/>
          <w:szCs w:val="14"/>
          <w:color w:val="auto"/>
        </w:rPr>
        <w:t>Ineffective portion of cash flow hedges (Note 15) Effective portion of changes in the fair value of derivatives designated as cash flow hedging instruments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Net derivative assets as of March 31, 2018</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w w:val="98"/>
              </w:rPr>
              <w:t>Other comprehensive</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158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w w:val="96"/>
              </w:rPr>
              <w:t>Opening balance</w:t>
            </w:r>
          </w:p>
        </w:tc>
        <w:tc>
          <w:tcPr>
            <w:tcW w:w="202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income</w:t>
            </w:r>
          </w:p>
        </w:tc>
        <w:tc>
          <w:tcPr>
            <w:tcW w:w="15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Non-cash items</w:t>
            </w:r>
          </w:p>
        </w:tc>
        <w:tc>
          <w:tcPr>
            <w:tcW w:w="14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03"/>
        </w:trPr>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(16,396)</w:t>
            </w:r>
          </w:p>
        </w:tc>
        <w:tc>
          <w:tcPr>
            <w:tcW w:w="220" w:type="dxa"/>
            <w:vAlign w:val="bottom"/>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(16,396)</w:t>
            </w:r>
          </w:p>
        </w:tc>
        <w:tc>
          <w:tcPr>
            <w:tcW w:w="60" w:type="dxa"/>
            <w:vAlign w:val="bottom"/>
            <w:gridSpan w:val="2"/>
          </w:tcPr>
          <w:p>
            <w:pPr>
              <w:spacing w:after="0"/>
              <w:rPr>
                <w:sz w:val="17"/>
                <w:szCs w:val="17"/>
                <w:color w:val="auto"/>
              </w:rPr>
            </w:pPr>
          </w:p>
        </w:tc>
      </w:tr>
      <w:tr>
        <w:trPr>
          <w:trHeight w:val="391"/>
        </w:trPr>
        <w:tc>
          <w:tcPr>
            <w:tcW w:w="15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19"/>
              <w:spacing w:after="0"/>
              <w:rPr>
                <w:sz w:val="20"/>
                <w:szCs w:val="20"/>
                <w:color w:val="auto"/>
              </w:rPr>
            </w:pPr>
            <w:r>
              <w:rPr>
                <w:rFonts w:ascii="Arial" w:cs="Arial" w:eastAsia="Arial" w:hAnsi="Arial"/>
                <w:sz w:val="16"/>
                <w:szCs w:val="16"/>
                <w:color w:val="auto"/>
              </w:rPr>
              <w:t>(17,161)</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(17,161)</w:t>
            </w:r>
          </w:p>
        </w:tc>
      </w:tr>
      <w:tr>
        <w:trPr>
          <w:trHeight w:val="206"/>
        </w:trPr>
        <w:tc>
          <w:tcPr>
            <w:tcW w:w="15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2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263</w:t>
            </w:r>
          </w:p>
        </w:tc>
        <w:tc>
          <w:tcPr>
            <w:tcW w:w="20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263</w:t>
            </w:r>
          </w:p>
        </w:tc>
        <w:tc>
          <w:tcPr>
            <w:tcW w:w="40" w:type="dxa"/>
            <w:vAlign w:val="bottom"/>
          </w:tcPr>
          <w:p>
            <w:pPr>
              <w:spacing w:after="0"/>
              <w:rPr>
                <w:sz w:val="17"/>
                <w:szCs w:val="17"/>
                <w:color w:val="auto"/>
              </w:rPr>
            </w:pPr>
          </w:p>
        </w:tc>
      </w:tr>
      <w:tr>
        <w:trPr>
          <w:trHeight w:val="405"/>
        </w:trPr>
        <w:tc>
          <w:tcPr>
            <w:tcW w:w="15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20" w:type="dxa"/>
            <w:vAlign w:val="bottom"/>
            <w:gridSpan w:val="2"/>
          </w:tcPr>
          <w:p>
            <w:pPr>
              <w:jc w:val="right"/>
              <w:ind w:right="119"/>
              <w:spacing w:after="0"/>
              <w:rPr>
                <w:sz w:val="20"/>
                <w:szCs w:val="20"/>
                <w:color w:val="auto"/>
              </w:rPr>
            </w:pPr>
            <w:r>
              <w:rPr>
                <w:rFonts w:ascii="Arial" w:cs="Arial" w:eastAsia="Arial" w:hAnsi="Arial"/>
                <w:sz w:val="16"/>
                <w:szCs w:val="16"/>
                <w:color w:val="auto"/>
              </w:rPr>
              <w:t>(6,259)</w:t>
            </w:r>
          </w:p>
        </w:tc>
        <w:tc>
          <w:tcPr>
            <w:tcW w:w="15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(6,259)</w:t>
            </w:r>
          </w:p>
        </w:tc>
      </w:tr>
      <w:tr>
        <w:trPr>
          <w:trHeight w:val="21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(16,396</w:t>
            </w:r>
          </w:p>
        </w:tc>
        <w:tc>
          <w:tcPr>
            <w:tcW w:w="220" w:type="dxa"/>
            <w:vAlign w:val="bottom"/>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(6,259</w:t>
            </w:r>
          </w:p>
        </w:tc>
        <w:tc>
          <w:tcPr>
            <w:tcW w:w="200" w:type="dxa"/>
            <w:vAlign w:val="bottom"/>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(16,898</w:t>
            </w:r>
          </w:p>
        </w:tc>
        <w:tc>
          <w:tcPr>
            <w:tcW w:w="200" w:type="dxa"/>
            <w:vAlign w:val="bottom"/>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(39,553</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-951230</wp:posOffset>
            </wp:positionV>
            <wp:extent cx="673227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270" cy="137160"/>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-556895</wp:posOffset>
            </wp:positionV>
            <wp:extent cx="673227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270" cy="128905"/>
                    </a:xfrm>
                    <a:prstGeom prst="rect">
                      <a:avLst/>
                    </a:prstGeom>
                    <a:noFill/>
                  </pic:spPr>
                </pic:pic>
              </a:graphicData>
            </a:graphic>
          </wp:anchor>
        </w:drawing>
        <w:drawing>
          <wp:anchor simplePos="0" relativeHeight="251657728" behindDoc="1" locked="0" layoutInCell="0" allowOverlap="1">
            <wp:simplePos x="0" y="0"/>
            <wp:positionH relativeFrom="column">
              <wp:posOffset>-2519045</wp:posOffset>
            </wp:positionH>
            <wp:positionV relativeFrom="paragraph">
              <wp:posOffset>-170815</wp:posOffset>
            </wp:positionV>
            <wp:extent cx="673227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270" cy="15430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980" w:space="320"/>
            <w:col w:w="6980"/>
          </w:cols>
          <w:pgMar w:left="240" w:top="130" w:right="379" w:bottom="0" w:gutter="0" w:footer="0" w:header="0"/>
          <w:type w:val="continuous"/>
        </w:sectPr>
      </w:pPr>
    </w:p>
    <w:p>
      <w:pPr>
        <w:spacing w:after="0" w:line="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 reconciliation of tangible fixed assets and vessels under construction arising from investing activities is as follows:</w:t>
      </w: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Opening balance</w:t>
            </w:r>
          </w:p>
        </w:tc>
        <w:tc>
          <w:tcPr>
            <w:tcW w:w="158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Cash flows</w:t>
            </w: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9"/>
              </w:rPr>
              <w:t>Non-cash items</w:t>
            </w:r>
          </w:p>
        </w:tc>
        <w:tc>
          <w:tcPr>
            <w:tcW w:w="14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40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Tangible fixed assets and vessels under construction as of</w:t>
            </w:r>
          </w:p>
        </w:tc>
        <w:tc>
          <w:tcPr>
            <w:tcW w:w="158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January 1, 2018</w:t>
            </w:r>
          </w:p>
        </w:tc>
        <w:tc>
          <w:tcPr>
            <w:tcW w:w="15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3,939,221</w:t>
            </w:r>
          </w:p>
        </w:tc>
        <w:tc>
          <w:tcPr>
            <w:tcW w:w="2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3,939,221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Additions (Note 5)</w:t>
            </w: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547,021</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3,069</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550,090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Transfer under “Other non-current assets”</w:t>
            </w:r>
          </w:p>
        </w:tc>
        <w:tc>
          <w:tcPr>
            <w:tcW w:w="18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(1,650)</w:t>
            </w:r>
          </w:p>
        </w:tc>
        <w:tc>
          <w:tcPr>
            <w:tcW w:w="14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Depreciation expense (Note 5)</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(33,627)</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(33,627)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w w:val="97"/>
              </w:rPr>
              <w:t>Tangible fixed assets and vessels under construction as of</w:t>
            </w: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400" w:type="dxa"/>
            <w:vAlign w:val="bottom"/>
            <w:vMerge w:val="continue"/>
            <w:shd w:val="clear" w:color="auto" w:fill="E5FFFF"/>
          </w:tcPr>
          <w:p>
            <w:pPr>
              <w:spacing w:after="0"/>
              <w:rPr>
                <w:sz w:val="14"/>
                <w:szCs w:val="14"/>
                <w:color w:val="auto"/>
              </w:rPr>
            </w:pPr>
          </w:p>
        </w:tc>
        <w:tc>
          <w:tcPr>
            <w:tcW w:w="158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3,939,221</w:t>
            </w:r>
          </w:p>
        </w:tc>
        <w:tc>
          <w:tcPr>
            <w:tcW w:w="220" w:type="dxa"/>
            <w:vAlign w:val="bottom"/>
            <w:shd w:val="clear" w:color="auto" w:fill="E5FFFF"/>
          </w:tcPr>
          <w:p>
            <w:pPr>
              <w:spacing w:after="0"/>
              <w:rPr>
                <w:sz w:val="14"/>
                <w:szCs w:val="14"/>
                <w:color w:val="auto"/>
              </w:rPr>
            </w:pPr>
          </w:p>
        </w:tc>
        <w:tc>
          <w:tcPr>
            <w:tcW w:w="136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547,021</w:t>
            </w:r>
          </w:p>
        </w:tc>
        <w:tc>
          <w:tcPr>
            <w:tcW w:w="220" w:type="dxa"/>
            <w:vAlign w:val="bottom"/>
            <w:shd w:val="clear" w:color="auto" w:fill="E5FFFF"/>
          </w:tcPr>
          <w:p>
            <w:pPr>
              <w:spacing w:after="0"/>
              <w:rPr>
                <w:sz w:val="14"/>
                <w:szCs w:val="14"/>
                <w:color w:val="auto"/>
              </w:rPr>
            </w:pPr>
          </w:p>
        </w:tc>
        <w:tc>
          <w:tcPr>
            <w:tcW w:w="1580" w:type="dxa"/>
            <w:vAlign w:val="bottom"/>
            <w:gridSpan w:val="2"/>
            <w:vMerge w:val="restart"/>
            <w:shd w:val="clear" w:color="auto" w:fill="E5FFFF"/>
          </w:tcPr>
          <w:p>
            <w:pPr>
              <w:jc w:val="right"/>
              <w:ind w:right="180"/>
              <w:spacing w:after="0"/>
              <w:rPr>
                <w:sz w:val="20"/>
                <w:szCs w:val="20"/>
                <w:color w:val="auto"/>
              </w:rPr>
            </w:pPr>
            <w:r>
              <w:rPr>
                <w:rFonts w:ascii="Arial" w:cs="Arial" w:eastAsia="Arial" w:hAnsi="Arial"/>
                <w:sz w:val="16"/>
                <w:szCs w:val="16"/>
                <w:b w:val="1"/>
                <w:bCs w:val="1"/>
                <w:color w:val="auto"/>
              </w:rPr>
              <w:t>(32,208)</w:t>
            </w:r>
          </w:p>
        </w:tc>
        <w:tc>
          <w:tcPr>
            <w:tcW w:w="1360" w:type="dxa"/>
            <w:vAlign w:val="bottom"/>
            <w:vMerge w:val="restart"/>
            <w:shd w:val="clear" w:color="auto" w:fill="E5FFFF"/>
          </w:tcPr>
          <w:p>
            <w:pPr>
              <w:jc w:val="right"/>
              <w:spacing w:after="0"/>
              <w:rPr>
                <w:sz w:val="20"/>
                <w:szCs w:val="20"/>
                <w:color w:val="auto"/>
              </w:rPr>
            </w:pPr>
            <w:r>
              <w:rPr>
                <w:rFonts w:ascii="Arial" w:cs="Arial" w:eastAsia="Arial" w:hAnsi="Arial"/>
                <w:sz w:val="16"/>
                <w:szCs w:val="16"/>
                <w:b w:val="1"/>
                <w:bCs w:val="1"/>
                <w:color w:val="auto"/>
              </w:rPr>
              <w:t>4,454,034</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March 31, 2018</w:t>
            </w:r>
          </w:p>
        </w:tc>
        <w:tc>
          <w:tcPr>
            <w:tcW w:w="158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60" w:type="dxa"/>
            <w:vAlign w:val="bottom"/>
            <w:vMerge w:val="continue"/>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80" w:type="dxa"/>
            <w:vAlign w:val="bottom"/>
            <w:gridSpan w:val="2"/>
            <w:vMerge w:val="continue"/>
            <w:shd w:val="clear" w:color="auto" w:fill="E5FFFF"/>
          </w:tcPr>
          <w:p>
            <w:pPr>
              <w:spacing w:after="0"/>
              <w:rPr>
                <w:sz w:val="17"/>
                <w:szCs w:val="17"/>
                <w:color w:val="auto"/>
              </w:rPr>
            </w:pPr>
          </w:p>
        </w:tc>
        <w:tc>
          <w:tcPr>
            <w:tcW w:w="1360" w:type="dxa"/>
            <w:vAlign w:val="bottom"/>
            <w:vMerge w:val="continue"/>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E5FF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220" w:type="dxa"/>
            <w:vAlign w:val="bottom"/>
            <w:gridSpan w:val="4"/>
          </w:tcPr>
          <w:p>
            <w:pPr>
              <w:spacing w:after="0"/>
              <w:rPr>
                <w:sz w:val="20"/>
                <w:szCs w:val="20"/>
                <w:color w:val="auto"/>
              </w:rPr>
            </w:pPr>
            <w:r>
              <w:rPr>
                <w:rFonts w:ascii="Arial" w:cs="Arial" w:eastAsia="Arial" w:hAnsi="Arial"/>
                <w:sz w:val="16"/>
                <w:szCs w:val="16"/>
                <w:color w:val="auto"/>
              </w:rPr>
              <w:t>A reconciliation of finance lease liabilities arising from financing activities is as follows:</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Opening balance</w:t>
            </w:r>
          </w:p>
        </w:tc>
        <w:tc>
          <w:tcPr>
            <w:tcW w:w="158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Cash flows</w:t>
            </w:r>
          </w:p>
        </w:tc>
        <w:tc>
          <w:tcPr>
            <w:tcW w:w="15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9"/>
              </w:rPr>
              <w:t>Non-cash items</w:t>
            </w:r>
          </w:p>
        </w:tc>
        <w:tc>
          <w:tcPr>
            <w:tcW w:w="14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Finance lease liabilities as of January 1, 2018</w:t>
            </w: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213,428</w:t>
            </w:r>
          </w:p>
        </w:tc>
        <w:tc>
          <w:tcPr>
            <w:tcW w:w="2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213,428</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Finance lease charge (Note 15)</w:t>
            </w: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2,628</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shd w:val="clear" w:color="auto" w:fill="E5FFFF"/>
          </w:tcPr>
          <w:p>
            <w:pPr>
              <w:spacing w:after="0"/>
              <w:rPr>
                <w:sz w:val="20"/>
                <w:szCs w:val="20"/>
                <w:color w:val="auto"/>
              </w:rPr>
            </w:pPr>
            <w:r>
              <w:rPr>
                <w:rFonts w:ascii="Arial" w:cs="Arial" w:eastAsia="Arial" w:hAnsi="Arial"/>
                <w:sz w:val="16"/>
                <w:szCs w:val="16"/>
                <w:color w:val="auto"/>
              </w:rPr>
              <w:t>Payments for interest</w:t>
            </w:r>
          </w:p>
        </w:tc>
        <w:tc>
          <w:tcPr>
            <w:tcW w:w="180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E5FFFF"/>
          </w:tcPr>
          <w:p>
            <w:pPr>
              <w:jc w:val="right"/>
              <w:ind w:right="139"/>
              <w:spacing w:after="0"/>
              <w:rPr>
                <w:sz w:val="20"/>
                <w:szCs w:val="20"/>
                <w:color w:val="auto"/>
              </w:rPr>
            </w:pPr>
            <w:r>
              <w:rPr>
                <w:rFonts w:ascii="Arial" w:cs="Arial" w:eastAsia="Arial" w:hAnsi="Arial"/>
                <w:sz w:val="16"/>
                <w:szCs w:val="16"/>
                <w:color w:val="auto"/>
              </w:rPr>
              <w:t>(2,628)</w:t>
            </w: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Payments for finance lease liability</w:t>
            </w:r>
          </w:p>
        </w:tc>
        <w:tc>
          <w:tcPr>
            <w:tcW w:w="1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39"/>
              <w:spacing w:after="0"/>
              <w:rPr>
                <w:sz w:val="20"/>
                <w:szCs w:val="20"/>
                <w:color w:val="auto"/>
              </w:rPr>
            </w:pPr>
            <w:r>
              <w:rPr>
                <w:rFonts w:ascii="Arial" w:cs="Arial" w:eastAsia="Arial" w:hAnsi="Arial"/>
                <w:sz w:val="16"/>
                <w:szCs w:val="16"/>
                <w:color w:val="auto"/>
              </w:rPr>
              <w:t>(1,773)</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Finance lease liabilities as of March 31, 2018</w:t>
            </w: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213,428</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(4,401</w:t>
            </w:r>
          </w:p>
        </w:tc>
        <w:tc>
          <w:tcPr>
            <w:tcW w:w="220" w:type="dxa"/>
            <w:vAlign w:val="bottom"/>
            <w:tcBorders>
              <w:top w:val="single" w:sz="8" w:color="E5FFFF"/>
              <w:bottom w:val="single" w:sz="8" w:color="E5FFFF"/>
            </w:tcBorders>
            <w:shd w:val="clear" w:color="auto" w:fill="E5FF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2,628</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211,655</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A reconciliation of equity offerings arising from financing activities is as follows:</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Cash flows</w:t>
            </w:r>
          </w:p>
        </w:tc>
        <w:tc>
          <w:tcPr>
            <w:tcW w:w="1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Non-cash items</w:t>
            </w:r>
          </w:p>
        </w:tc>
        <w:tc>
          <w:tcPr>
            <w:tcW w:w="14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Total</w:t>
            </w:r>
          </w:p>
        </w:tc>
      </w:tr>
      <w:tr>
        <w:trPr>
          <w:trHeight w:val="179"/>
        </w:trPr>
        <w:tc>
          <w:tcPr>
            <w:tcW w:w="20" w:type="dxa"/>
            <w:vAlign w:val="bottom"/>
          </w:tcPr>
          <w:p>
            <w:pPr>
              <w:spacing w:after="0"/>
              <w:rPr>
                <w:sz w:val="15"/>
                <w:szCs w:val="15"/>
                <w:color w:val="auto"/>
              </w:rPr>
            </w:pPr>
          </w:p>
        </w:tc>
        <w:tc>
          <w:tcPr>
            <w:tcW w:w="5740" w:type="dxa"/>
            <w:vAlign w:val="bottom"/>
            <w:tcBorders>
              <w:top w:val="single" w:sz="8" w:color="E5FFFF"/>
            </w:tcBorders>
            <w:shd w:val="clear" w:color="auto" w:fill="E5FFFF"/>
          </w:tcPr>
          <w:p>
            <w:pPr>
              <w:spacing w:after="0" w:line="179" w:lineRule="exact"/>
              <w:rPr>
                <w:sz w:val="20"/>
                <w:szCs w:val="20"/>
                <w:color w:val="auto"/>
              </w:rPr>
            </w:pPr>
            <w:r>
              <w:rPr>
                <w:rFonts w:ascii="Arial" w:cs="Arial" w:eastAsia="Arial" w:hAnsi="Arial"/>
                <w:sz w:val="16"/>
                <w:szCs w:val="16"/>
                <w:color w:val="auto"/>
              </w:rPr>
              <w:t>Proceeds from GasLog Partners’ preference unit offerings (net of underwriting</w:t>
            </w:r>
          </w:p>
        </w:tc>
        <w:tc>
          <w:tcPr>
            <w:tcW w:w="1360" w:type="dxa"/>
            <w:vAlign w:val="bottom"/>
            <w:tcBorders>
              <w:top w:val="single" w:sz="8" w:color="auto"/>
            </w:tcBorders>
            <w:shd w:val="clear" w:color="auto" w:fill="E5FFFF"/>
          </w:tcPr>
          <w:p>
            <w:pPr>
              <w:spacing w:after="0"/>
              <w:rPr>
                <w:sz w:val="15"/>
                <w:szCs w:val="15"/>
                <w:color w:val="auto"/>
              </w:rPr>
            </w:pPr>
          </w:p>
        </w:tc>
        <w:tc>
          <w:tcPr>
            <w:tcW w:w="22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200" w:type="dxa"/>
            <w:vAlign w:val="bottom"/>
            <w:tcBorders>
              <w:top w:val="single" w:sz="8" w:color="E5FFFF"/>
            </w:tcBorders>
            <w:shd w:val="clear" w:color="auto" w:fill="E5FFFF"/>
          </w:tcPr>
          <w:p>
            <w:pPr>
              <w:spacing w:after="0"/>
              <w:rPr>
                <w:sz w:val="15"/>
                <w:szCs w:val="15"/>
                <w:color w:val="auto"/>
              </w:rPr>
            </w:pPr>
          </w:p>
        </w:tc>
        <w:tc>
          <w:tcPr>
            <w:tcW w:w="13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5740" w:type="dxa"/>
            <w:vAlign w:val="bottom"/>
            <w:shd w:val="clear" w:color="auto" w:fill="E5FFFF"/>
          </w:tcPr>
          <w:p>
            <w:pPr>
              <w:ind w:left="180"/>
              <w:spacing w:after="0"/>
              <w:rPr>
                <w:sz w:val="20"/>
                <w:szCs w:val="20"/>
                <w:color w:val="auto"/>
              </w:rPr>
            </w:pPr>
            <w:r>
              <w:rPr>
                <w:rFonts w:ascii="Arial" w:cs="Arial" w:eastAsia="Arial" w:hAnsi="Arial"/>
                <w:sz w:val="16"/>
                <w:szCs w:val="16"/>
                <w:color w:val="auto"/>
              </w:rPr>
              <w:t>discounts and commissions)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2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111,544</w:t>
            </w:r>
          </w:p>
        </w:tc>
        <w:tc>
          <w:tcPr>
            <w:tcW w:w="100" w:type="dxa"/>
            <w:vAlign w:val="bottom"/>
            <w:shd w:val="clear" w:color="auto" w:fill="E5FF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Arial" w:cs="Arial" w:eastAsia="Arial" w:hAnsi="Arial"/>
                <w:sz w:val="16"/>
                <w:szCs w:val="16"/>
                <w:color w:val="auto"/>
              </w:rPr>
              <w:t>Offering costs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(315)</w:t>
            </w: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(347)</w:t>
            </w:r>
          </w:p>
        </w:tc>
      </w:tr>
      <w:tr>
        <w:trPr>
          <w:trHeight w:val="91"/>
        </w:trPr>
        <w:tc>
          <w:tcPr>
            <w:tcW w:w="20" w:type="dxa"/>
            <w:vAlign w:val="bottom"/>
          </w:tcPr>
          <w:p>
            <w:pPr>
              <w:spacing w:after="0"/>
              <w:rPr>
                <w:sz w:val="7"/>
                <w:szCs w:val="7"/>
                <w:color w:val="auto"/>
              </w:rPr>
            </w:pPr>
          </w:p>
        </w:tc>
        <w:tc>
          <w:tcPr>
            <w:tcW w:w="5740" w:type="dxa"/>
            <w:vAlign w:val="bottom"/>
            <w:tcBorders>
              <w:top w:val="single" w:sz="8" w:color="E5FFFF"/>
            </w:tcBorders>
            <w:shd w:val="clear" w:color="auto" w:fill="E5FFFF"/>
          </w:tcPr>
          <w:p>
            <w:pPr>
              <w:spacing w:after="0"/>
              <w:rPr>
                <w:sz w:val="7"/>
                <w:szCs w:val="7"/>
                <w:color w:val="auto"/>
              </w:rPr>
            </w:pPr>
          </w:p>
        </w:tc>
        <w:tc>
          <w:tcPr>
            <w:tcW w:w="1360" w:type="dxa"/>
            <w:vAlign w:val="bottom"/>
            <w:tcBorders>
              <w:top w:val="single" w:sz="8" w:color="auto"/>
            </w:tcBorders>
            <w:shd w:val="clear" w:color="auto" w:fill="E5FFFF"/>
          </w:tcPr>
          <w:p>
            <w:pPr>
              <w:spacing w:after="0"/>
              <w:rPr>
                <w:sz w:val="7"/>
                <w:szCs w:val="7"/>
                <w:color w:val="auto"/>
              </w:rPr>
            </w:pPr>
          </w:p>
        </w:tc>
        <w:tc>
          <w:tcPr>
            <w:tcW w:w="220" w:type="dxa"/>
            <w:vAlign w:val="bottom"/>
            <w:tcBorders>
              <w:top w:val="single" w:sz="8" w:color="E5FFFF"/>
            </w:tcBorders>
            <w:shd w:val="clear" w:color="auto" w:fill="E5FFFF"/>
          </w:tcPr>
          <w:p>
            <w:pPr>
              <w:spacing w:after="0"/>
              <w:rPr>
                <w:sz w:val="7"/>
                <w:szCs w:val="7"/>
                <w:color w:val="auto"/>
              </w:rPr>
            </w:pPr>
          </w:p>
        </w:tc>
        <w:tc>
          <w:tcPr>
            <w:tcW w:w="1380" w:type="dxa"/>
            <w:vAlign w:val="bottom"/>
            <w:tcBorders>
              <w:top w:val="single" w:sz="8" w:color="auto"/>
            </w:tcBorders>
            <w:shd w:val="clear" w:color="auto" w:fill="E5FFFF"/>
          </w:tcPr>
          <w:p>
            <w:pPr>
              <w:spacing w:after="0"/>
              <w:rPr>
                <w:sz w:val="7"/>
                <w:szCs w:val="7"/>
                <w:color w:val="auto"/>
              </w:rPr>
            </w:pPr>
          </w:p>
        </w:tc>
        <w:tc>
          <w:tcPr>
            <w:tcW w:w="200" w:type="dxa"/>
            <w:vAlign w:val="bottom"/>
            <w:tcBorders>
              <w:top w:val="single" w:sz="8" w:color="E5FFFF"/>
            </w:tcBorders>
            <w:shd w:val="clear" w:color="auto" w:fill="E5FFFF"/>
          </w:tcPr>
          <w:p>
            <w:pPr>
              <w:spacing w:after="0"/>
              <w:rPr>
                <w:sz w:val="7"/>
                <w:szCs w:val="7"/>
                <w:color w:val="auto"/>
              </w:rPr>
            </w:pPr>
          </w:p>
        </w:tc>
        <w:tc>
          <w:tcPr>
            <w:tcW w:w="1360" w:type="dxa"/>
            <w:vAlign w:val="bottom"/>
            <w:tcBorders>
              <w:top w:val="single" w:sz="8" w:color="auto"/>
            </w:tcBorders>
            <w:shd w:val="clear" w:color="auto" w:fill="E5FFFF"/>
          </w:tcPr>
          <w:p>
            <w:pPr>
              <w:spacing w:after="0"/>
              <w:rPr>
                <w:sz w:val="7"/>
                <w:szCs w:val="7"/>
                <w:color w:val="auto"/>
              </w:rPr>
            </w:pPr>
          </w:p>
        </w:tc>
        <w:tc>
          <w:tcPr>
            <w:tcW w:w="100" w:type="dxa"/>
            <w:vAlign w:val="bottom"/>
            <w:tcBorders>
              <w:top w:val="single" w:sz="8" w:color="E5FFFF"/>
            </w:tcBorders>
            <w:shd w:val="clear" w:color="auto" w:fill="E5FFFF"/>
          </w:tcPr>
          <w:p>
            <w:pPr>
              <w:spacing w:after="0"/>
              <w:rPr>
                <w:sz w:val="7"/>
                <w:szCs w:val="7"/>
                <w:color w:val="auto"/>
              </w:rPr>
            </w:pPr>
          </w:p>
        </w:tc>
      </w:tr>
    </w:tbl>
    <w:p>
      <w:pPr>
        <w:sectPr>
          <w:pgSz w:w="11900" w:h="16900" w:orient="portrait"/>
          <w:cols w:equalWidth="0" w:num="1">
            <w:col w:w="11280"/>
          </w:cols>
          <w:pgMar w:left="240" w:top="130" w:right="379" w:bottom="0" w:gutter="0" w:footer="0" w:header="0"/>
          <w:type w:val="continuous"/>
        </w:sectPr>
      </w:pPr>
    </w:p>
    <w:bookmarkStart w:id="31" w:name="page32"/>
    <w:bookmarkEnd w:id="31"/>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4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proceeds from equity offerings in the period ended March 31, 2018</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111,229</w:t>
            </w:r>
          </w:p>
        </w:tc>
        <w:tc>
          <w:tcPr>
            <w:tcW w:w="220" w:type="dxa"/>
            <w:vAlign w:val="bottom"/>
            <w:shd w:val="clear" w:color="auto" w:fill="E5FFFF"/>
          </w:tcPr>
          <w:p>
            <w:pPr>
              <w:spacing w:after="0"/>
              <w:rPr>
                <w:sz w:val="19"/>
                <w:szCs w:val="19"/>
                <w:color w:val="auto"/>
              </w:rPr>
            </w:pP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b w:val="1"/>
                <w:bCs w:val="1"/>
                <w:color w:val="auto"/>
              </w:rPr>
              <w:t>(32)</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111,197</w:t>
            </w:r>
          </w:p>
        </w:tc>
        <w:tc>
          <w:tcPr>
            <w:tcW w:w="100" w:type="dxa"/>
            <w:vAlign w:val="bottom"/>
            <w:shd w:val="clear" w:color="auto" w:fill="E5FF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Share-Based Compensation</w:t>
      </w:r>
    </w:p>
    <w:p>
      <w:pPr>
        <w:spacing w:after="0" w:line="239" w:lineRule="exact"/>
        <w:rPr>
          <w:sz w:val="20"/>
          <w:szCs w:val="20"/>
          <w:color w:val="auto"/>
        </w:rPr>
      </w:pPr>
    </w:p>
    <w:p>
      <w:pPr>
        <w:ind w:right="360" w:firstLine="357"/>
        <w:spacing w:after="0" w:line="278" w:lineRule="auto"/>
        <w:rPr>
          <w:sz w:val="20"/>
          <w:szCs w:val="20"/>
          <w:color w:val="auto"/>
        </w:rPr>
      </w:pPr>
      <w:r>
        <w:rPr>
          <w:rFonts w:ascii="Arial" w:cs="Arial" w:eastAsia="Arial" w:hAnsi="Arial"/>
          <w:sz w:val="16"/>
          <w:szCs w:val="16"/>
          <w:color w:val="auto"/>
        </w:rPr>
        <w:t>The terms of the 2013 Omnibus Incentive Compensation Plan (the “Plan”) and the assumptions for the valuation of Restricted Stock Units (“RSUs”) and Stock Appreciation Rights or Stock Options (collectively the “SARs”) have been disclosed in Note 21 “Share-Based Compensation” in the annual audited consolidated financial statements for the year ended December 31, 2017.</w:t>
      </w:r>
    </w:p>
    <w:p>
      <w:pPr>
        <w:spacing w:after="0" w:line="184" w:lineRule="exact"/>
        <w:rPr>
          <w:sz w:val="20"/>
          <w:szCs w:val="20"/>
          <w:color w:val="auto"/>
        </w:rPr>
      </w:pPr>
    </w:p>
    <w:p>
      <w:pPr>
        <w:ind w:right="140" w:firstLine="357"/>
        <w:spacing w:after="0" w:line="273" w:lineRule="auto"/>
        <w:rPr>
          <w:sz w:val="20"/>
          <w:szCs w:val="20"/>
          <w:color w:val="auto"/>
        </w:rPr>
      </w:pPr>
      <w:r>
        <w:rPr>
          <w:rFonts w:ascii="Arial" w:cs="Arial" w:eastAsia="Arial" w:hAnsi="Arial"/>
          <w:sz w:val="16"/>
          <w:szCs w:val="16"/>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gridSpan w:val="2"/>
          </w:tcPr>
          <w:p>
            <w:pPr>
              <w:spacing w:after="0"/>
              <w:rPr>
                <w:sz w:val="20"/>
                <w:szCs w:val="20"/>
                <w:color w:val="auto"/>
              </w:rPr>
            </w:pPr>
            <w:r>
              <w:rPr>
                <w:rFonts w:ascii="Arial" w:cs="Arial" w:eastAsia="Arial" w:hAnsi="Arial"/>
                <w:sz w:val="16"/>
                <w:szCs w:val="16"/>
                <w:b w:val="1"/>
                <w:bCs w:val="1"/>
                <w:color w:val="auto"/>
              </w:rPr>
              <w:t>Movement in RSUs and SARs during the period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9"/>
        </w:trPr>
        <w:tc>
          <w:tcPr>
            <w:tcW w:w="4180" w:type="dxa"/>
            <w:vAlign w:val="bottom"/>
            <w:gridSpan w:val="2"/>
          </w:tcPr>
          <w:p>
            <w:pPr>
              <w:ind w:left="360"/>
              <w:spacing w:after="0"/>
              <w:rPr>
                <w:sz w:val="20"/>
                <w:szCs w:val="20"/>
                <w:color w:val="auto"/>
              </w:rPr>
            </w:pPr>
            <w:r>
              <w:rPr>
                <w:rFonts w:ascii="Arial" w:cs="Arial" w:eastAsia="Arial" w:hAnsi="Arial"/>
                <w:sz w:val="16"/>
                <w:szCs w:val="16"/>
                <w:color w:val="auto"/>
                <w:w w:val="99"/>
              </w:rPr>
              <w:t>The summary of RSUs and SARs is presented below:</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1"/>
        </w:trPr>
        <w:tc>
          <w:tcPr>
            <w:tcW w:w="9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9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average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Number of</w:t>
            </w: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 price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4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Aggregate fair</w:t>
            </w:r>
          </w:p>
        </w:tc>
      </w:tr>
      <w:tr>
        <w:trPr>
          <w:trHeight w:val="210"/>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awards</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per share</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contractual life</w:t>
            </w:r>
          </w:p>
        </w:tc>
        <w:tc>
          <w:tcPr>
            <w:tcW w:w="140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value</w:t>
            </w:r>
          </w:p>
        </w:tc>
      </w:tr>
      <w:tr>
        <w:trPr>
          <w:trHeight w:val="189"/>
        </w:trPr>
        <w:tc>
          <w:tcPr>
            <w:tcW w:w="980" w:type="dxa"/>
            <w:vAlign w:val="bottom"/>
          </w:tcPr>
          <w:p>
            <w:pPr>
              <w:spacing w:after="0"/>
              <w:rPr>
                <w:sz w:val="16"/>
                <w:szCs w:val="16"/>
                <w:color w:val="auto"/>
              </w:rPr>
            </w:pPr>
          </w:p>
        </w:tc>
        <w:tc>
          <w:tcPr>
            <w:tcW w:w="32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RSUs</w:t>
            </w:r>
          </w:p>
        </w:tc>
        <w:tc>
          <w:tcPr>
            <w:tcW w:w="1320" w:type="dxa"/>
            <w:vAlign w:val="bottom"/>
            <w:tcBorders>
              <w:top w:val="single" w:sz="8" w:color="auto"/>
            </w:tcBorders>
            <w:shd w:val="clear" w:color="auto" w:fill="E5FFFF"/>
          </w:tcPr>
          <w:p>
            <w:pPr>
              <w:spacing w:after="0"/>
              <w:rPr>
                <w:sz w:val="16"/>
                <w:szCs w:val="16"/>
                <w:color w:val="auto"/>
              </w:rPr>
            </w:pPr>
          </w:p>
        </w:tc>
        <w:tc>
          <w:tcPr>
            <w:tcW w:w="240" w:type="dxa"/>
            <w:vAlign w:val="bottom"/>
            <w:tcBorders>
              <w:top w:val="single" w:sz="8" w:color="E5FFFF"/>
            </w:tcBorders>
            <w:shd w:val="clear" w:color="auto" w:fill="E5FFFF"/>
          </w:tcPr>
          <w:p>
            <w:pPr>
              <w:spacing w:after="0"/>
              <w:rPr>
                <w:sz w:val="16"/>
                <w:szCs w:val="16"/>
                <w:color w:val="auto"/>
              </w:rPr>
            </w:pPr>
          </w:p>
        </w:tc>
        <w:tc>
          <w:tcPr>
            <w:tcW w:w="1320" w:type="dxa"/>
            <w:vAlign w:val="bottom"/>
            <w:tcBorders>
              <w:top w:val="single" w:sz="8" w:color="auto"/>
            </w:tcBorders>
            <w:shd w:val="clear" w:color="auto" w:fill="E5FFFF"/>
          </w:tcPr>
          <w:p>
            <w:pPr>
              <w:spacing w:after="0"/>
              <w:rPr>
                <w:sz w:val="16"/>
                <w:szCs w:val="16"/>
                <w:color w:val="auto"/>
              </w:rPr>
            </w:pPr>
          </w:p>
        </w:tc>
        <w:tc>
          <w:tcPr>
            <w:tcW w:w="220" w:type="dxa"/>
            <w:vAlign w:val="bottom"/>
            <w:tcBorders>
              <w:top w:val="single" w:sz="8" w:color="E5FFFF"/>
            </w:tcBorders>
            <w:shd w:val="clear" w:color="auto" w:fill="E5FFFF"/>
          </w:tcPr>
          <w:p>
            <w:pPr>
              <w:spacing w:after="0"/>
              <w:rPr>
                <w:sz w:val="16"/>
                <w:szCs w:val="16"/>
                <w:color w:val="auto"/>
              </w:rPr>
            </w:pPr>
          </w:p>
        </w:tc>
        <w:tc>
          <w:tcPr>
            <w:tcW w:w="130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E5FFFF"/>
            </w:tcBorders>
            <w:shd w:val="clear" w:color="auto" w:fill="E5FFFF"/>
          </w:tcPr>
          <w:p>
            <w:pPr>
              <w:spacing w:after="0"/>
              <w:rPr>
                <w:sz w:val="16"/>
                <w:szCs w:val="16"/>
                <w:color w:val="auto"/>
              </w:rPr>
            </w:pPr>
          </w:p>
        </w:tc>
        <w:tc>
          <w:tcPr>
            <w:tcW w:w="130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80" w:type="dxa"/>
            <w:vAlign w:val="bottom"/>
            <w:tcBorders>
              <w:top w:val="single" w:sz="8" w:color="E5FFFF"/>
            </w:tcBorders>
            <w:shd w:val="clear" w:color="auto" w:fill="E5FFFF"/>
          </w:tcPr>
          <w:p>
            <w:pPr>
              <w:spacing w:after="0"/>
              <w:rPr>
                <w:sz w:val="16"/>
                <w:szCs w:val="16"/>
                <w:color w:val="auto"/>
              </w:rPr>
            </w:pPr>
          </w:p>
        </w:tc>
      </w:tr>
      <w:tr>
        <w:trPr>
          <w:trHeight w:val="203"/>
        </w:trPr>
        <w:tc>
          <w:tcPr>
            <w:tcW w:w="9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b w:val="1"/>
                <w:bCs w:val="1"/>
                <w:color w:val="auto"/>
              </w:rPr>
              <w:t>Outstanding as of January 1, 2018</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425,702</w:t>
            </w:r>
          </w:p>
        </w:tc>
        <w:tc>
          <w:tcPr>
            <w:tcW w:w="24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2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5,636</w:t>
            </w:r>
          </w:p>
        </w:tc>
        <w:tc>
          <w:tcPr>
            <w:tcW w:w="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3200" w:type="dxa"/>
            <w:vAlign w:val="bottom"/>
            <w:shd w:val="clear" w:color="auto" w:fill="E5FFFF"/>
          </w:tcPr>
          <w:p>
            <w:pPr>
              <w:spacing w:after="0"/>
              <w:rPr>
                <w:sz w:val="20"/>
                <w:szCs w:val="20"/>
                <w:color w:val="auto"/>
              </w:rPr>
            </w:pPr>
            <w:r>
              <w:rPr>
                <w:rFonts w:ascii="Arial" w:cs="Arial" w:eastAsia="Arial" w:hAnsi="Arial"/>
                <w:sz w:val="16"/>
                <w:szCs w:val="16"/>
                <w:color w:val="auto"/>
              </w:rPr>
              <w:t>Forfeited during the period</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(1,179)</w:t>
            </w: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E5FFFF"/>
          </w:tcPr>
          <w:p>
            <w:pPr>
              <w:jc w:val="right"/>
              <w:ind w:right="40"/>
              <w:spacing w:after="0"/>
              <w:rPr>
                <w:sz w:val="20"/>
                <w:szCs w:val="20"/>
                <w:color w:val="auto"/>
              </w:rPr>
            </w:pPr>
            <w:r>
              <w:rPr>
                <w:rFonts w:ascii="Arial" w:cs="Arial" w:eastAsia="Arial" w:hAnsi="Arial"/>
                <w:sz w:val="16"/>
                <w:szCs w:val="16"/>
                <w:color w:val="auto"/>
              </w:rPr>
              <w:t>(14)</w:t>
            </w:r>
          </w:p>
        </w:tc>
      </w:tr>
      <w:tr>
        <w:trPr>
          <w:trHeight w:val="236"/>
        </w:trPr>
        <w:tc>
          <w:tcPr>
            <w:tcW w:w="980" w:type="dxa"/>
            <w:vAlign w:val="bottom"/>
          </w:tcPr>
          <w:p>
            <w:pPr>
              <w:spacing w:after="0"/>
              <w:rPr>
                <w:sz w:val="20"/>
                <w:szCs w:val="20"/>
                <w:color w:val="auto"/>
              </w:rPr>
            </w:pPr>
          </w:p>
        </w:tc>
        <w:tc>
          <w:tcPr>
            <w:tcW w:w="32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Outstanding as of March 31, 2018</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424,523</w:t>
            </w:r>
          </w:p>
        </w:tc>
        <w:tc>
          <w:tcPr>
            <w:tcW w:w="240" w:type="dxa"/>
            <w:vAlign w:val="bottom"/>
            <w:tcBorders>
              <w:bottom w:val="single" w:sz="8" w:color="E5FFFF"/>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5FFFF"/>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w:t>
            </w:r>
          </w:p>
        </w:tc>
        <w:tc>
          <w:tcPr>
            <w:tcW w:w="120" w:type="dxa"/>
            <w:vAlign w:val="bottom"/>
            <w:tcBorders>
              <w:bottom w:val="single" w:sz="8" w:color="E5FFFF"/>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5,622</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r>
      <w:tr>
        <w:trPr>
          <w:trHeight w:val="156"/>
        </w:trPr>
        <w:tc>
          <w:tcPr>
            <w:tcW w:w="980" w:type="dxa"/>
            <w:vAlign w:val="bottom"/>
          </w:tcPr>
          <w:p>
            <w:pPr>
              <w:spacing w:after="0"/>
              <w:rPr>
                <w:sz w:val="13"/>
                <w:szCs w:val="13"/>
                <w:color w:val="auto"/>
              </w:rPr>
            </w:pPr>
          </w:p>
        </w:tc>
        <w:tc>
          <w:tcPr>
            <w:tcW w:w="3200" w:type="dxa"/>
            <w:vAlign w:val="bottom"/>
            <w:shd w:val="clear" w:color="auto" w:fill="E5FFFF"/>
          </w:tcPr>
          <w:p>
            <w:pPr>
              <w:spacing w:after="0" w:line="156" w:lineRule="exact"/>
              <w:rPr>
                <w:sz w:val="20"/>
                <w:szCs w:val="20"/>
                <w:color w:val="auto"/>
              </w:rPr>
            </w:pPr>
            <w:r>
              <w:rPr>
                <w:rFonts w:ascii="Arial" w:cs="Arial" w:eastAsia="Arial" w:hAnsi="Arial"/>
                <w:sz w:val="16"/>
                <w:szCs w:val="16"/>
                <w:b w:val="1"/>
                <w:bCs w:val="1"/>
                <w:color w:val="auto"/>
              </w:rPr>
              <w:t>SARs</w:t>
            </w:r>
          </w:p>
        </w:tc>
        <w:tc>
          <w:tcPr>
            <w:tcW w:w="132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13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30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130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r>
      <w:tr>
        <w:trPr>
          <w:trHeight w:val="203"/>
        </w:trPr>
        <w:tc>
          <w:tcPr>
            <w:tcW w:w="9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b w:val="1"/>
                <w:bCs w:val="1"/>
                <w:color w:val="auto"/>
              </w:rPr>
              <w:t>Outstanding as of January 1, 2018</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2,031,279</w:t>
            </w:r>
          </w:p>
        </w:tc>
        <w:tc>
          <w:tcPr>
            <w:tcW w:w="24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14.59</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7.68</w:t>
            </w:r>
          </w:p>
        </w:tc>
        <w:tc>
          <w:tcPr>
            <w:tcW w:w="12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7,874</w:t>
            </w:r>
          </w:p>
        </w:tc>
        <w:tc>
          <w:tcPr>
            <w:tcW w:w="80" w:type="dxa"/>
            <w:vAlign w:val="bottom"/>
          </w:tcPr>
          <w:p>
            <w:pPr>
              <w:spacing w:after="0"/>
              <w:rPr>
                <w:sz w:val="17"/>
                <w:szCs w:val="17"/>
                <w:color w:val="auto"/>
              </w:rPr>
            </w:pPr>
          </w:p>
        </w:tc>
      </w:tr>
      <w:tr>
        <w:trPr>
          <w:trHeight w:val="203"/>
        </w:trPr>
        <w:tc>
          <w:tcPr>
            <w:tcW w:w="980" w:type="dxa"/>
            <w:vAlign w:val="bottom"/>
          </w:tcPr>
          <w:p>
            <w:pPr>
              <w:spacing w:after="0"/>
              <w:rPr>
                <w:sz w:val="17"/>
                <w:szCs w:val="17"/>
                <w:color w:val="auto"/>
              </w:rPr>
            </w:pPr>
          </w:p>
        </w:tc>
        <w:tc>
          <w:tcPr>
            <w:tcW w:w="3200" w:type="dxa"/>
            <w:vAlign w:val="bottom"/>
            <w:shd w:val="clear" w:color="auto" w:fill="E5FFFF"/>
          </w:tcPr>
          <w:p>
            <w:pPr>
              <w:spacing w:after="0"/>
              <w:rPr>
                <w:sz w:val="20"/>
                <w:szCs w:val="20"/>
                <w:color w:val="auto"/>
              </w:rPr>
            </w:pPr>
            <w:r>
              <w:rPr>
                <w:rFonts w:ascii="Arial" w:cs="Arial" w:eastAsia="Arial" w:hAnsi="Arial"/>
                <w:sz w:val="16"/>
                <w:szCs w:val="16"/>
                <w:color w:val="auto"/>
              </w:rPr>
              <w:t>Forfeited during the period</w:t>
            </w:r>
          </w:p>
        </w:tc>
        <w:tc>
          <w:tcPr>
            <w:tcW w:w="15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(3,333)</w:t>
            </w:r>
          </w:p>
        </w:tc>
        <w:tc>
          <w:tcPr>
            <w:tcW w:w="15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E5FFFF"/>
          </w:tcPr>
          <w:p>
            <w:pPr>
              <w:jc w:val="right"/>
              <w:ind w:right="40"/>
              <w:spacing w:after="0"/>
              <w:rPr>
                <w:sz w:val="20"/>
                <w:szCs w:val="20"/>
                <w:color w:val="auto"/>
              </w:rPr>
            </w:pPr>
            <w:r>
              <w:rPr>
                <w:rFonts w:ascii="Arial" w:cs="Arial" w:eastAsia="Arial" w:hAnsi="Arial"/>
                <w:sz w:val="16"/>
                <w:szCs w:val="16"/>
                <w:color w:val="auto"/>
              </w:rPr>
              <w:t>(12)</w:t>
            </w:r>
          </w:p>
        </w:tc>
      </w:tr>
      <w:tr>
        <w:trPr>
          <w:trHeight w:val="196"/>
        </w:trPr>
        <w:tc>
          <w:tcPr>
            <w:tcW w:w="98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b w:val="1"/>
                <w:bCs w:val="1"/>
                <w:color w:val="auto"/>
              </w:rPr>
              <w:t>Outstanding as of March 31, 2018</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2,027,946</w:t>
            </w:r>
          </w:p>
        </w:tc>
        <w:tc>
          <w:tcPr>
            <w:tcW w:w="24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14.59</w:t>
            </w:r>
          </w:p>
        </w:tc>
        <w:tc>
          <w:tcPr>
            <w:tcW w:w="2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7.43</w:t>
            </w: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7,862</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March 31, 2018, 958,322 SARs have vested but have not been exercised.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firstLine="357"/>
        <w:spacing w:after="0" w:line="278" w:lineRule="auto"/>
        <w:rPr>
          <w:sz w:val="20"/>
          <w:szCs w:val="20"/>
          <w:color w:val="auto"/>
        </w:rPr>
      </w:pPr>
      <w:r>
        <w:rPr>
          <w:rFonts w:ascii="Arial" w:cs="Arial" w:eastAsia="Arial" w:hAnsi="Arial"/>
          <w:sz w:val="16"/>
          <w:szCs w:val="16"/>
          <w:color w:val="auto"/>
        </w:rPr>
        <w:t>The terms of the GasLog Partners’ 2015 Long-Term Incentive Plan (the “GasLog Partners’ Plan”) and the assumptions for the valuation of Restricted Common Units (“RCUs”) and Performance Common Units (“PCUs”) have been disclosed in Note 21 “Share-Based Compensation” in the annual audited consolidated financial statements for the year ended December 31, 2017.</w:t>
      </w:r>
    </w:p>
    <w:p>
      <w:pPr>
        <w:spacing w:after="0" w:line="184" w:lineRule="exact"/>
        <w:rPr>
          <w:sz w:val="20"/>
          <w:szCs w:val="20"/>
          <w:color w:val="auto"/>
        </w:rPr>
      </w:pPr>
    </w:p>
    <w:p>
      <w:pPr>
        <w:ind w:right="260" w:firstLine="357"/>
        <w:spacing w:after="0" w:line="293" w:lineRule="auto"/>
        <w:rPr>
          <w:sz w:val="20"/>
          <w:szCs w:val="20"/>
          <w:color w:val="auto"/>
        </w:rPr>
      </w:pPr>
      <w:r>
        <w:rPr>
          <w:rFonts w:ascii="Arial" w:cs="Arial" w:eastAsia="Arial" w:hAnsi="Arial"/>
          <w:sz w:val="16"/>
          <w:szCs w:val="16"/>
          <w:color w:val="auto"/>
        </w:rPr>
        <w:t>As of March 31, 2018, there were 67,475 RCUs and 67,475 PCUs outstanding (December 31, 2017: 67,475 RCUs and 67,475 PCUs). Subsequently, on April 3, 2018, 16,999 RCUs and 16,999 PCUs vested under the GasLog Partners’ Plan (Note 19).</w:t>
      </w:r>
    </w:p>
    <w:p>
      <w:pPr>
        <w:spacing w:after="0" w:line="172" w:lineRule="exact"/>
        <w:rPr>
          <w:sz w:val="20"/>
          <w:szCs w:val="20"/>
          <w:color w:val="auto"/>
        </w:rPr>
      </w:pPr>
    </w:p>
    <w:p>
      <w:pPr>
        <w:ind w:right="60" w:firstLine="357"/>
        <w:spacing w:after="0" w:line="278" w:lineRule="auto"/>
        <w:rPr>
          <w:sz w:val="20"/>
          <w:szCs w:val="20"/>
          <w:color w:val="auto"/>
        </w:rPr>
      </w:pPr>
      <w:r>
        <w:rPr>
          <w:rFonts w:ascii="Arial" w:cs="Arial" w:eastAsia="Arial" w:hAnsi="Arial"/>
          <w:sz w:val="16"/>
          <w:szCs w:val="16"/>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84" w:lineRule="exact"/>
        <w:rPr>
          <w:sz w:val="20"/>
          <w:szCs w:val="20"/>
          <w:color w:val="auto"/>
        </w:rPr>
      </w:pPr>
    </w:p>
    <w:p>
      <w:pPr>
        <w:ind w:right="380" w:firstLine="383"/>
        <w:spacing w:after="0" w:line="293" w:lineRule="auto"/>
        <w:rPr>
          <w:sz w:val="20"/>
          <w:szCs w:val="20"/>
          <w:color w:val="auto"/>
        </w:rPr>
      </w:pPr>
      <w:r>
        <w:rPr>
          <w:rFonts w:ascii="Arial" w:cs="Arial" w:eastAsia="Arial" w:hAnsi="Arial"/>
          <w:sz w:val="16"/>
          <w:szCs w:val="16"/>
          <w:color w:val="auto"/>
        </w:rPr>
        <w:t>The total expense recognized in respect of share-based compensation for the three months ended March 31, 2018 was $1,186 (for the three months ended March 31, 2017: $1,012). The total accrued cash distribution as of March 31, 2018 is $943 (December 31, 2017: $814).</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Earnings per Share (“EPS”)</w:t>
      </w:r>
    </w:p>
    <w:p>
      <w:pPr>
        <w:spacing w:after="0" w:line="239" w:lineRule="exact"/>
        <w:rPr>
          <w:sz w:val="20"/>
          <w:szCs w:val="20"/>
          <w:color w:val="auto"/>
        </w:rPr>
      </w:pPr>
    </w:p>
    <w:p>
      <w:pPr>
        <w:ind w:right="420" w:firstLine="356"/>
        <w:spacing w:after="0" w:line="293" w:lineRule="auto"/>
        <w:rPr>
          <w:sz w:val="20"/>
          <w:szCs w:val="20"/>
          <w:color w:val="auto"/>
        </w:rPr>
      </w:pPr>
      <w:r>
        <w:rPr>
          <w:rFonts w:ascii="Arial" w:cs="Arial" w:eastAsia="Arial" w:hAnsi="Arial"/>
          <w:sz w:val="16"/>
          <w:szCs w:val="16"/>
          <w:color w:val="auto"/>
        </w:rPr>
        <w:t>Basic earnings per share was calculated by dividing the net profit for the period attributable to the owners of the common shares by the weighted average number of common shares issued and outstanding during the period.</w:t>
      </w:r>
    </w:p>
    <w:p>
      <w:pPr>
        <w:spacing w:after="0" w:line="172" w:lineRule="exact"/>
        <w:rPr>
          <w:sz w:val="20"/>
          <w:szCs w:val="20"/>
          <w:color w:val="auto"/>
        </w:rPr>
      </w:pPr>
    </w:p>
    <w:p>
      <w:pPr>
        <w:ind w:right="460" w:firstLine="356"/>
        <w:spacing w:after="0" w:line="293" w:lineRule="auto"/>
        <w:rPr>
          <w:sz w:val="20"/>
          <w:szCs w:val="20"/>
          <w:color w:val="auto"/>
        </w:rPr>
      </w:pPr>
      <w:r>
        <w:rPr>
          <w:rFonts w:ascii="Arial" w:cs="Arial" w:eastAsia="Arial" w:hAnsi="Arial"/>
          <w:sz w:val="16"/>
          <w:szCs w:val="16"/>
          <w:color w:val="auto"/>
        </w:rPr>
        <w:t>Diluted earnings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00" w:type="dxa"/>
            <w:vAlign w:val="bottom"/>
          </w:tcPr>
          <w:p>
            <w:pPr>
              <w:ind w:left="400"/>
              <w:spacing w:after="0"/>
              <w:rPr>
                <w:sz w:val="20"/>
                <w:szCs w:val="20"/>
                <w:color w:val="auto"/>
              </w:rPr>
            </w:pPr>
            <w:r>
              <w:rPr>
                <w:rFonts w:ascii="Arial" w:cs="Arial" w:eastAsia="Arial" w:hAnsi="Arial"/>
                <w:sz w:val="16"/>
                <w:szCs w:val="16"/>
                <w:color w:val="auto"/>
                <w:w w:val="98"/>
              </w:rPr>
              <w:t>The following reflects the earnings and share data used in the basic and diluted earnings per share computations: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1"/>
        </w:trPr>
        <w:tc>
          <w:tcPr>
            <w:tcW w:w="8300" w:type="dxa"/>
            <w:vAlign w:val="bottom"/>
          </w:tcPr>
          <w:p>
            <w:pPr>
              <w:spacing w:after="0"/>
              <w:rPr>
                <w:sz w:val="24"/>
                <w:szCs w:val="24"/>
                <w:color w:val="auto"/>
              </w:rPr>
            </w:pPr>
          </w:p>
        </w:tc>
        <w:tc>
          <w:tcPr>
            <w:tcW w:w="312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8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March 31, 2017</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March 31, 2018</w:t>
            </w:r>
          </w:p>
        </w:tc>
      </w:tr>
      <w:tr>
        <w:trPr>
          <w:trHeight w:val="189"/>
        </w:trPr>
        <w:tc>
          <w:tcPr>
            <w:tcW w:w="8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i w:val="1"/>
                <w:iCs w:val="1"/>
                <w:color w:val="auto"/>
              </w:rPr>
              <w:t>Basic earnings per share</w:t>
            </w:r>
          </w:p>
        </w:tc>
        <w:tc>
          <w:tcPr>
            <w:tcW w:w="1360" w:type="dxa"/>
            <w:vAlign w:val="bottom"/>
            <w:tcBorders>
              <w:top w:val="single" w:sz="8" w:color="auto"/>
            </w:tcBorders>
            <w:shd w:val="clear" w:color="auto" w:fill="E5FFFF"/>
          </w:tcPr>
          <w:p>
            <w:pPr>
              <w:spacing w:after="0"/>
              <w:rPr>
                <w:sz w:val="16"/>
                <w:szCs w:val="16"/>
                <w:color w:val="auto"/>
              </w:rPr>
            </w:pPr>
          </w:p>
        </w:tc>
        <w:tc>
          <w:tcPr>
            <w:tcW w:w="280" w:type="dxa"/>
            <w:vAlign w:val="bottom"/>
            <w:tcBorders>
              <w:top w:val="single" w:sz="8" w:color="E5FFFF"/>
            </w:tcBorders>
            <w:shd w:val="clear" w:color="auto" w:fill="E5FFFF"/>
          </w:tcPr>
          <w:p>
            <w:pPr>
              <w:spacing w:after="0"/>
              <w:rPr>
                <w:sz w:val="16"/>
                <w:szCs w:val="16"/>
                <w:color w:val="auto"/>
              </w:rPr>
            </w:pPr>
          </w:p>
        </w:tc>
        <w:tc>
          <w:tcPr>
            <w:tcW w:w="138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Profit for the period attributable to owners of the Group</w:t>
            </w:r>
          </w:p>
        </w:tc>
        <w:tc>
          <w:tcPr>
            <w:tcW w:w="1360" w:type="dxa"/>
            <w:vAlign w:val="bottom"/>
          </w:tcPr>
          <w:p>
            <w:pPr>
              <w:jc w:val="right"/>
              <w:spacing w:after="0"/>
              <w:rPr>
                <w:sz w:val="20"/>
                <w:szCs w:val="20"/>
                <w:color w:val="auto"/>
              </w:rPr>
            </w:pPr>
            <w:r>
              <w:rPr>
                <w:rFonts w:ascii="Arial" w:cs="Arial" w:eastAsia="Arial" w:hAnsi="Arial"/>
                <w:sz w:val="16"/>
                <w:szCs w:val="16"/>
                <w:color w:val="auto"/>
              </w:rPr>
              <w:t>8,752</w:t>
            </w:r>
          </w:p>
        </w:tc>
        <w:tc>
          <w:tcPr>
            <w:tcW w:w="2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19,304</w:t>
            </w: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Less:</w:t>
            </w:r>
          </w:p>
        </w:tc>
        <w:tc>
          <w:tcPr>
            <w:tcW w:w="13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Dividend on preference shares</w:t>
            </w: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(2,516)</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(2,516)</w:t>
            </w:r>
          </w:p>
        </w:tc>
      </w:tr>
      <w:tr>
        <w:trPr>
          <w:trHeight w:val="196"/>
        </w:trPr>
        <w:tc>
          <w:tcPr>
            <w:tcW w:w="8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 available to owners of the Group</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6,236</w:t>
            </w:r>
          </w:p>
        </w:tc>
        <w:tc>
          <w:tcPr>
            <w:tcW w:w="28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16,788</w:t>
            </w:r>
          </w:p>
        </w:tc>
        <w:tc>
          <w:tcPr>
            <w:tcW w:w="100" w:type="dxa"/>
            <w:vAlign w:val="bottom"/>
            <w:tcBorders>
              <w:top w:val="single" w:sz="8" w:color="E5FFFF"/>
            </w:tcBorders>
            <w:shd w:val="clear" w:color="auto" w:fill="E5FFFF"/>
          </w:tcPr>
          <w:p>
            <w:pPr>
              <w:spacing w:after="0"/>
              <w:rPr>
                <w:sz w:val="17"/>
                <w:szCs w:val="17"/>
                <w:color w:val="auto"/>
              </w:rPr>
            </w:pPr>
          </w:p>
        </w:tc>
      </w:tr>
      <w:tr>
        <w:trPr>
          <w:trHeight w:val="196"/>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80,561,353</w:t>
            </w:r>
          </w:p>
        </w:tc>
        <w:tc>
          <w:tcPr>
            <w:tcW w:w="280" w:type="dxa"/>
            <w:vAlign w:val="bottom"/>
            <w:tcBorders>
              <w:bottom w:val="single" w:sz="8" w:color="E5FF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80,715,130</w:t>
            </w:r>
          </w:p>
        </w:tc>
        <w:tc>
          <w:tcPr>
            <w:tcW w:w="100" w:type="dxa"/>
            <w:vAlign w:val="bottom"/>
            <w:tcBorders>
              <w:bottom w:val="single" w:sz="8" w:color="E5FFFF"/>
            </w:tcBorders>
          </w:tcPr>
          <w:p>
            <w:pPr>
              <w:spacing w:after="0"/>
              <w:rPr>
                <w:sz w:val="17"/>
                <w:szCs w:val="17"/>
                <w:color w:val="auto"/>
              </w:rPr>
            </w:pPr>
          </w:p>
        </w:tc>
      </w:tr>
      <w:tr>
        <w:trPr>
          <w:trHeight w:val="196"/>
        </w:trPr>
        <w:tc>
          <w:tcPr>
            <w:tcW w:w="8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Basic earnings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0.08</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0.21</w:t>
            </w:r>
          </w:p>
        </w:tc>
        <w:tc>
          <w:tcPr>
            <w:tcW w:w="100" w:type="dxa"/>
            <w:vAlign w:val="bottom"/>
            <w:shd w:val="clear" w:color="auto" w:fill="E5FFFF"/>
          </w:tcPr>
          <w:p>
            <w:pPr>
              <w:spacing w:after="0"/>
              <w:rPr>
                <w:sz w:val="17"/>
                <w:szCs w:val="17"/>
                <w:color w:val="auto"/>
              </w:rPr>
            </w:pPr>
          </w:p>
        </w:tc>
      </w:tr>
      <w:tr>
        <w:trPr>
          <w:trHeight w:val="183"/>
        </w:trPr>
        <w:tc>
          <w:tcPr>
            <w:tcW w:w="8300" w:type="dxa"/>
            <w:vAlign w:val="bottom"/>
          </w:tcPr>
          <w:p>
            <w:pPr>
              <w:spacing w:after="0" w:line="183" w:lineRule="exact"/>
              <w:rPr>
                <w:sz w:val="20"/>
                <w:szCs w:val="20"/>
                <w:color w:val="auto"/>
              </w:rPr>
            </w:pPr>
            <w:r>
              <w:rPr>
                <w:rFonts w:ascii="Arial" w:cs="Arial" w:eastAsia="Arial" w:hAnsi="Arial"/>
                <w:sz w:val="16"/>
                <w:szCs w:val="16"/>
                <w:b w:val="1"/>
                <w:bCs w:val="1"/>
                <w:i w:val="1"/>
                <w:iCs w:val="1"/>
                <w:color w:val="auto"/>
              </w:rPr>
              <w:t>Diluted earnings per share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 available to owners of the Group used in the calculation of diluted earnings per share</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6,236</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16,788</w:t>
            </w:r>
          </w:p>
        </w:tc>
      </w:tr>
      <w:tr>
        <w:trPr>
          <w:trHeight w:val="196"/>
        </w:trPr>
        <w:tc>
          <w:tcPr>
            <w:tcW w:w="8300" w:type="dxa"/>
            <w:vAlign w:val="bottom"/>
          </w:tcPr>
          <w:p>
            <w:pPr>
              <w:spacing w:after="0"/>
              <w:rPr>
                <w:sz w:val="20"/>
                <w:szCs w:val="20"/>
                <w:color w:val="auto"/>
              </w:rPr>
            </w:pPr>
            <w:r>
              <w:rPr>
                <w:rFonts w:ascii="Arial" w:cs="Arial" w:eastAsia="Arial" w:hAnsi="Arial"/>
                <w:sz w:val="16"/>
                <w:szCs w:val="16"/>
                <w:color w:val="auto"/>
              </w:rPr>
              <w:t>Weighted average number of shares outstanding, basic</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80,561,353</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80,715,130</w:t>
            </w:r>
          </w:p>
        </w:tc>
        <w:tc>
          <w:tcPr>
            <w:tcW w:w="100" w:type="dxa"/>
            <w:vAlign w:val="bottom"/>
          </w:tcPr>
          <w:p>
            <w:pPr>
              <w:spacing w:after="0"/>
              <w:rPr>
                <w:sz w:val="17"/>
                <w:szCs w:val="17"/>
                <w:color w:val="auto"/>
              </w:rPr>
            </w:pPr>
          </w:p>
        </w:tc>
      </w:tr>
      <w:tr>
        <w:trPr>
          <w:trHeight w:val="203"/>
        </w:trPr>
        <w:tc>
          <w:tcPr>
            <w:tcW w:w="8300" w:type="dxa"/>
            <w:vAlign w:val="bottom"/>
            <w:shd w:val="clear" w:color="auto" w:fill="E5FFFF"/>
          </w:tcPr>
          <w:p>
            <w:pPr>
              <w:spacing w:after="0"/>
              <w:rPr>
                <w:sz w:val="20"/>
                <w:szCs w:val="20"/>
                <w:color w:val="auto"/>
              </w:rPr>
            </w:pPr>
            <w:r>
              <w:rPr>
                <w:rFonts w:ascii="Arial" w:cs="Arial" w:eastAsia="Arial" w:hAnsi="Arial"/>
                <w:sz w:val="16"/>
                <w:szCs w:val="16"/>
                <w:color w:val="auto"/>
              </w:rPr>
              <w:t>Dilutive potential ordinary shares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588,071</w:t>
            </w:r>
          </w:p>
        </w:tc>
        <w:tc>
          <w:tcPr>
            <w:tcW w:w="280" w:type="dxa"/>
            <w:vAlign w:val="bottom"/>
            <w:shd w:val="clear" w:color="auto" w:fill="E5FFFF"/>
          </w:tcPr>
          <w:p>
            <w:pPr>
              <w:spacing w:after="0"/>
              <w:rPr>
                <w:sz w:val="17"/>
                <w:szCs w:val="17"/>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782,161</w:t>
            </w:r>
          </w:p>
        </w:tc>
      </w:tr>
      <w:tr>
        <w:trPr>
          <w:trHeight w:val="196"/>
        </w:trPr>
        <w:tc>
          <w:tcPr>
            <w:tcW w:w="83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Weighted average number of shares used in the calculation of diluted earnings per share</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81,149,424</w:t>
            </w:r>
          </w:p>
        </w:tc>
        <w:tc>
          <w:tcPr>
            <w:tcW w:w="280" w:type="dxa"/>
            <w:vAlign w:val="bottom"/>
            <w:tcBorders>
              <w:bottom w:val="single" w:sz="8" w:color="E5FF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81,497,291</w:t>
            </w:r>
          </w:p>
        </w:tc>
        <w:tc>
          <w:tcPr>
            <w:tcW w:w="100" w:type="dxa"/>
            <w:vAlign w:val="bottom"/>
            <w:tcBorders>
              <w:bottom w:val="single" w:sz="8" w:color="E5FFFF"/>
            </w:tcBorders>
          </w:tcPr>
          <w:p>
            <w:pPr>
              <w:spacing w:after="0"/>
              <w:rPr>
                <w:sz w:val="17"/>
                <w:szCs w:val="17"/>
                <w:color w:val="auto"/>
              </w:rPr>
            </w:pPr>
          </w:p>
        </w:tc>
      </w:tr>
      <w:tr>
        <w:trPr>
          <w:trHeight w:val="196"/>
        </w:trPr>
        <w:tc>
          <w:tcPr>
            <w:tcW w:w="83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Diluted earnings per share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0.08</w:t>
            </w:r>
          </w:p>
        </w:tc>
        <w:tc>
          <w:tcPr>
            <w:tcW w:w="280" w:type="dxa"/>
            <w:vAlign w:val="bottom"/>
            <w:shd w:val="clear" w:color="auto" w:fill="E5FFFF"/>
          </w:tcPr>
          <w:p>
            <w:pPr>
              <w:spacing w:after="0"/>
              <w:rPr>
                <w:sz w:val="17"/>
                <w:szCs w:val="17"/>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0.21</w:t>
            </w:r>
          </w:p>
        </w:tc>
        <w:tc>
          <w:tcPr>
            <w:tcW w:w="100" w:type="dxa"/>
            <w:vAlign w:val="bottom"/>
            <w:shd w:val="clear" w:color="auto" w:fill="E5FFFF"/>
          </w:tcPr>
          <w:p>
            <w:pPr>
              <w:spacing w:after="0"/>
              <w:rPr>
                <w:sz w:val="17"/>
                <w:szCs w:val="17"/>
                <w:color w:val="auto"/>
              </w:rPr>
            </w:pPr>
          </w:p>
        </w:tc>
      </w:tr>
    </w:tbl>
    <w:p>
      <w:pPr>
        <w:sectPr>
          <w:pgSz w:w="11900" w:h="16838" w:orient="portrait"/>
          <w:cols w:equalWidth="0" w:num="1">
            <w:col w:w="11420"/>
          </w:cols>
          <w:pgMar w:left="240" w:top="140" w:right="239" w:bottom="0" w:gutter="0" w:footer="0" w:header="0"/>
        </w:sectPr>
      </w:pPr>
    </w:p>
    <w:bookmarkStart w:id="32" w:name="page33"/>
    <w:bookmarkEnd w:id="32"/>
    <w:p>
      <w:pPr>
        <w:ind w:firstLine="394"/>
        <w:spacing w:after="0" w:line="293" w:lineRule="auto"/>
        <w:rPr>
          <w:sz w:val="20"/>
          <w:szCs w:val="20"/>
          <w:color w:val="auto"/>
        </w:rPr>
      </w:pPr>
      <w:r>
        <w:rPr>
          <w:rFonts w:ascii="Arial" w:cs="Arial" w:eastAsia="Arial" w:hAnsi="Arial"/>
          <w:sz w:val="16"/>
          <w:szCs w:val="16"/>
          <w:color w:val="auto"/>
        </w:rPr>
        <w:t>The Group excluded the dilutive effect of 567,651 SARs (March 31, 2017: 575,622 SARs) in calculating diluted EPS for the three months ended March 31, 2018, as they were anti-dilutive.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Subsequent Events</w:t>
      </w:r>
    </w:p>
    <w:p>
      <w:pPr>
        <w:spacing w:after="0" w:line="23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April 3, 2018, GasLog Partners issued 33,998 common units in connection with the vesting of 16,999 RCUs and 16,999 PCUs under the GasLog Partners’ Plan.</w:t>
      </w:r>
    </w:p>
    <w:p>
      <w:pPr>
        <w:spacing w:after="0" w:line="246" w:lineRule="exact"/>
        <w:rPr>
          <w:sz w:val="20"/>
          <w:szCs w:val="20"/>
          <w:color w:val="auto"/>
        </w:rPr>
      </w:pPr>
    </w:p>
    <w:p>
      <w:pPr>
        <w:ind w:right="60" w:firstLine="436"/>
        <w:spacing w:after="0" w:line="270" w:lineRule="auto"/>
        <w:rPr>
          <w:sz w:val="20"/>
          <w:szCs w:val="20"/>
          <w:color w:val="auto"/>
        </w:rPr>
      </w:pPr>
      <w:r>
        <w:rPr>
          <w:rFonts w:ascii="Arial" w:cs="Arial" w:eastAsia="Arial" w:hAnsi="Arial"/>
          <w:sz w:val="16"/>
          <w:szCs w:val="16"/>
          <w:color w:val="auto"/>
        </w:rPr>
        <w:t xml:space="preserve">On April 26, 2018, GasLog completed the sale of 100% of the ownership interest in GAS-fourteen Ltd., the entity which owns the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to GasLog Partners, for an aggregate purchase price of $207,000, including $1,000 of positive net working capital. In connection with the sale, GasLog was issued $45,000 of newly issued, privately placed common units (1,858,975 common units at a price of $24.21 per unit) of GasLog Partners as partial consideration. The issuance of 1,858,975 common units to GasLog together with an additional issuance of 38,632 general partner units with respect to the aggregate post quarter-end common equity issuances through April 26, 2018 (in order for GasLog to retain its 2.0% general partner interest), resulted in an increase in GasLog’s interest in the Partnership to 29.1% (including 2.0% through general partner units).</w:t>
      </w:r>
    </w:p>
    <w:p>
      <w:pPr>
        <w:spacing w:after="0" w:line="190" w:lineRule="exact"/>
        <w:rPr>
          <w:sz w:val="20"/>
          <w:szCs w:val="20"/>
          <w:color w:val="auto"/>
        </w:rPr>
      </w:pPr>
    </w:p>
    <w:p>
      <w:pPr>
        <w:ind w:right="140" w:firstLine="356"/>
        <w:spacing w:after="0" w:line="293" w:lineRule="auto"/>
        <w:rPr>
          <w:sz w:val="20"/>
          <w:szCs w:val="20"/>
          <w:color w:val="auto"/>
        </w:rPr>
      </w:pPr>
      <w:r>
        <w:rPr>
          <w:rFonts w:ascii="Arial" w:cs="Arial" w:eastAsia="Arial" w:hAnsi="Arial"/>
          <w:sz w:val="16"/>
          <w:szCs w:val="16"/>
          <w:color w:val="auto"/>
        </w:rPr>
        <w:t>On May 3, 2018, the board of directors declared a quarterly cash dividend of $0.15 per common share payable on May 24, 2018 to shareholders of record as of May 14, 2018.</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3"/>
    </w:lvl>
  </w:abstractNum>
  <w:abstractNum w:abstractNumId="16">
    <w:nsid w:val="431BD7B7"/>
    <w:multiLevelType w:val="hybridMultilevel"/>
    <w:lvl w:ilvl="0">
      <w:lvlJc w:val="left"/>
      <w:lvlText w:val="(%1)"/>
      <w:numFmt w:val="lowerLetter"/>
      <w:start w:val="4"/>
    </w:lvl>
  </w:abstractNum>
  <w:abstractNum w:abstractNumId="17">
    <w:nsid w:val="3F2DBA31"/>
    <w:multiLevelType w:val="hybridMultilevel"/>
    <w:lvl w:ilvl="0">
      <w:lvlJc w:val="left"/>
      <w:lvlText w:val="(%1)"/>
      <w:numFmt w:val="lowerLetter"/>
      <w:start w:val="5"/>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2019-12-08T01:41:13Z</dcterms:created>
  <dcterms:modified xsi:type="dcterms:W3CDTF">2019-12-08T01:41:13Z</dcterms:modified>
</cp:coreProperties>
</file>