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10640" w:type="dxa"/>
            <w:vAlign w:val="bottom"/>
          </w:tcPr>
          <w:p>
            <w:pPr>
              <w:jc w:val="center"/>
              <w:ind w:left="710"/>
              <w:spacing w:after="0"/>
              <w:rPr>
                <w:sz w:val="20"/>
                <w:szCs w:val="20"/>
                <w:color w:val="auto"/>
              </w:rPr>
            </w:pPr>
            <w:r>
              <w:rPr>
                <w:rFonts w:ascii="Arial" w:cs="Arial" w:eastAsia="Arial" w:hAnsi="Arial"/>
                <w:sz w:val="18"/>
                <w:szCs w:val="18"/>
                <w:b w:val="1"/>
                <w:bCs w:val="1"/>
                <w:color w:val="auto"/>
                <w:w w:val="96"/>
              </w:rPr>
              <w:t>Form 6-K</w:t>
            </w:r>
          </w:p>
        </w:tc>
        <w:tc>
          <w:tcPr>
            <w:tcW w:w="820" w:type="dxa"/>
            <w:vAlign w:val="bottom"/>
          </w:tcPr>
          <w:p>
            <w:pPr>
              <w:spacing w:after="0"/>
              <w:rPr>
                <w:sz w:val="20"/>
                <w:szCs w:val="20"/>
                <w:color w:val="auto"/>
              </w:rPr>
            </w:pPr>
          </w:p>
        </w:tc>
      </w:tr>
      <w:tr>
        <w:trPr>
          <w:trHeight w:val="414"/>
        </w:trPr>
        <w:tc>
          <w:tcPr>
            <w:tcW w:w="10640" w:type="dxa"/>
            <w:vAlign w:val="bottom"/>
          </w:tcPr>
          <w:p>
            <w:pPr>
              <w:jc w:val="center"/>
              <w:ind w:left="690"/>
              <w:spacing w:after="0"/>
              <w:rPr>
                <w:sz w:val="20"/>
                <w:szCs w:val="20"/>
                <w:color w:val="auto"/>
              </w:rPr>
            </w:pPr>
            <w:r>
              <w:rPr>
                <w:rFonts w:ascii="Arial" w:cs="Arial" w:eastAsia="Arial" w:hAnsi="Arial"/>
                <w:sz w:val="18"/>
                <w:szCs w:val="18"/>
                <w:b w:val="1"/>
                <w:bCs w:val="1"/>
                <w:color w:val="auto"/>
                <w:w w:val="98"/>
              </w:rPr>
              <w:t>REPORT OF FOREIGN PRIVATE ISSUER PURSUANT TO RULE 13a-16 OR 15d-16 UNDER THE SECURITIES</w:t>
            </w:r>
          </w:p>
        </w:tc>
        <w:tc>
          <w:tcPr>
            <w:tcW w:w="820" w:type="dxa"/>
            <w:vAlign w:val="bottom"/>
          </w:tcPr>
          <w:p>
            <w:pPr>
              <w:spacing w:after="0"/>
              <w:rPr>
                <w:sz w:val="24"/>
                <w:szCs w:val="24"/>
                <w:color w:val="auto"/>
              </w:rPr>
            </w:pPr>
          </w:p>
        </w:tc>
      </w:tr>
      <w:tr>
        <w:trPr>
          <w:trHeight w:val="234"/>
        </w:trPr>
        <w:tc>
          <w:tcPr>
            <w:tcW w:w="10640" w:type="dxa"/>
            <w:vAlign w:val="bottom"/>
          </w:tcPr>
          <w:p>
            <w:pPr>
              <w:jc w:val="center"/>
              <w:ind w:left="710"/>
              <w:spacing w:after="0"/>
              <w:rPr>
                <w:sz w:val="20"/>
                <w:szCs w:val="20"/>
                <w:color w:val="auto"/>
              </w:rPr>
            </w:pPr>
            <w:r>
              <w:rPr>
                <w:rFonts w:ascii="Arial" w:cs="Arial" w:eastAsia="Arial" w:hAnsi="Arial"/>
                <w:sz w:val="18"/>
                <w:szCs w:val="18"/>
                <w:b w:val="1"/>
                <w:bCs w:val="1"/>
                <w:color w:val="auto"/>
                <w:w w:val="98"/>
              </w:rPr>
              <w:t>EXCHANGE ACT OF 1934</w:t>
            </w:r>
          </w:p>
        </w:tc>
        <w:tc>
          <w:tcPr>
            <w:tcW w:w="820" w:type="dxa"/>
            <w:vAlign w:val="bottom"/>
          </w:tcPr>
          <w:p>
            <w:pPr>
              <w:spacing w:after="0"/>
              <w:rPr>
                <w:sz w:val="20"/>
                <w:szCs w:val="20"/>
                <w:color w:val="auto"/>
              </w:rPr>
            </w:pPr>
          </w:p>
        </w:tc>
      </w:tr>
      <w:tr>
        <w:trPr>
          <w:trHeight w:val="432"/>
        </w:trPr>
        <w:tc>
          <w:tcPr>
            <w:tcW w:w="10640" w:type="dxa"/>
            <w:vAlign w:val="bottom"/>
          </w:tcPr>
          <w:p>
            <w:pPr>
              <w:spacing w:after="0"/>
              <w:rPr>
                <w:sz w:val="20"/>
                <w:szCs w:val="20"/>
                <w:color w:val="auto"/>
              </w:rPr>
            </w:pPr>
            <w:r>
              <w:rPr>
                <w:rFonts w:ascii="Arial" w:cs="Arial" w:eastAsia="Arial" w:hAnsi="Arial"/>
                <w:sz w:val="18"/>
                <w:szCs w:val="18"/>
                <w:color w:val="auto"/>
              </w:rPr>
              <w:t>For the month of February 2020</w:t>
            </w:r>
          </w:p>
        </w:tc>
        <w:tc>
          <w:tcPr>
            <w:tcW w:w="820" w:type="dxa"/>
            <w:vAlign w:val="bottom"/>
          </w:tcPr>
          <w:p>
            <w:pPr>
              <w:spacing w:after="0"/>
              <w:rPr>
                <w:sz w:val="24"/>
                <w:szCs w:val="24"/>
                <w:color w:val="auto"/>
              </w:rPr>
            </w:pPr>
          </w:p>
        </w:tc>
      </w:tr>
      <w:tr>
        <w:trPr>
          <w:trHeight w:val="432"/>
        </w:trPr>
        <w:tc>
          <w:tcPr>
            <w:tcW w:w="10640" w:type="dxa"/>
            <w:vAlign w:val="bottom"/>
          </w:tcPr>
          <w:p>
            <w:pPr>
              <w:spacing w:after="0"/>
              <w:rPr>
                <w:sz w:val="20"/>
                <w:szCs w:val="20"/>
                <w:color w:val="auto"/>
              </w:rPr>
            </w:pPr>
            <w:r>
              <w:rPr>
                <w:rFonts w:ascii="Arial" w:cs="Arial" w:eastAsia="Arial" w:hAnsi="Arial"/>
                <w:sz w:val="18"/>
                <w:szCs w:val="18"/>
                <w:color w:val="auto"/>
              </w:rPr>
              <w:t>Commission File Number 001-35466</w:t>
            </w:r>
          </w:p>
        </w:tc>
        <w:tc>
          <w:tcPr>
            <w:tcW w:w="820" w:type="dxa"/>
            <w:vAlign w:val="bottom"/>
          </w:tcPr>
          <w:p>
            <w:pPr>
              <w:spacing w:after="0"/>
              <w:rPr>
                <w:sz w:val="24"/>
                <w:szCs w:val="24"/>
                <w:color w:val="auto"/>
              </w:rPr>
            </w:pPr>
          </w:p>
        </w:tc>
      </w:tr>
      <w:tr>
        <w:trPr>
          <w:trHeight w:val="418"/>
        </w:trPr>
        <w:tc>
          <w:tcPr>
            <w:tcW w:w="10640" w:type="dxa"/>
            <w:vAlign w:val="bottom"/>
          </w:tcPr>
          <w:p>
            <w:pPr>
              <w:jc w:val="center"/>
              <w:ind w:left="710"/>
              <w:spacing w:after="0"/>
              <w:rPr>
                <w:sz w:val="20"/>
                <w:szCs w:val="20"/>
                <w:color w:val="auto"/>
              </w:rPr>
            </w:pPr>
            <w:r>
              <w:rPr>
                <w:rFonts w:ascii="Arial" w:cs="Arial" w:eastAsia="Arial" w:hAnsi="Arial"/>
                <w:sz w:val="18"/>
                <w:szCs w:val="18"/>
                <w:b w:val="1"/>
                <w:bCs w:val="1"/>
                <w:color w:val="auto"/>
                <w:w w:val="91"/>
              </w:rPr>
              <w:t>GasLog Ltd</w:t>
            </w:r>
          </w:p>
        </w:tc>
        <w:tc>
          <w:tcPr>
            <w:tcW w:w="820" w:type="dxa"/>
            <w:vAlign w:val="bottom"/>
          </w:tcPr>
          <w:p>
            <w:pPr>
              <w:spacing w:after="0"/>
              <w:rPr>
                <w:sz w:val="24"/>
                <w:szCs w:val="24"/>
                <w:color w:val="auto"/>
              </w:rPr>
            </w:pPr>
          </w:p>
        </w:tc>
      </w:tr>
      <w:tr>
        <w:trPr>
          <w:trHeight w:val="230"/>
        </w:trPr>
        <w:tc>
          <w:tcPr>
            <w:tcW w:w="10640" w:type="dxa"/>
            <w:vAlign w:val="bottom"/>
          </w:tcPr>
          <w:p>
            <w:pPr>
              <w:jc w:val="center"/>
              <w:ind w:left="710"/>
              <w:spacing w:after="0"/>
              <w:rPr>
                <w:sz w:val="20"/>
                <w:szCs w:val="20"/>
                <w:color w:val="auto"/>
              </w:rPr>
            </w:pPr>
            <w:r>
              <w:rPr>
                <w:rFonts w:ascii="Arial" w:cs="Arial" w:eastAsia="Arial" w:hAnsi="Arial"/>
                <w:sz w:val="18"/>
                <w:szCs w:val="18"/>
                <w:color w:val="auto"/>
                <w:w w:val="91"/>
              </w:rPr>
              <w:t>(Translation of registrant’s name into English)</w:t>
            </w:r>
          </w:p>
        </w:tc>
        <w:tc>
          <w:tcPr>
            <w:tcW w:w="820" w:type="dxa"/>
            <w:vAlign w:val="bottom"/>
          </w:tcPr>
          <w:p>
            <w:pPr>
              <w:spacing w:after="0"/>
              <w:rPr>
                <w:sz w:val="20"/>
                <w:szCs w:val="20"/>
                <w:color w:val="auto"/>
              </w:rPr>
            </w:pPr>
          </w:p>
        </w:tc>
      </w:tr>
      <w:tr>
        <w:trPr>
          <w:trHeight w:val="418"/>
        </w:trPr>
        <w:tc>
          <w:tcPr>
            <w:tcW w:w="10640" w:type="dxa"/>
            <w:vAlign w:val="bottom"/>
          </w:tcPr>
          <w:p>
            <w:pPr>
              <w:jc w:val="center"/>
              <w:ind w:left="710"/>
              <w:spacing w:after="0"/>
              <w:rPr>
                <w:sz w:val="20"/>
                <w:szCs w:val="20"/>
                <w:color w:val="auto"/>
              </w:rPr>
            </w:pPr>
            <w:r>
              <w:rPr>
                <w:rFonts w:ascii="Arial" w:cs="Arial" w:eastAsia="Arial" w:hAnsi="Arial"/>
                <w:sz w:val="18"/>
                <w:szCs w:val="18"/>
                <w:color w:val="auto"/>
                <w:w w:val="92"/>
              </w:rPr>
              <w:t>C/o GasLog Services LNG Ltd.</w:t>
            </w:r>
          </w:p>
        </w:tc>
        <w:tc>
          <w:tcPr>
            <w:tcW w:w="820" w:type="dxa"/>
            <w:vAlign w:val="bottom"/>
          </w:tcPr>
          <w:p>
            <w:pPr>
              <w:spacing w:after="0"/>
              <w:rPr>
                <w:sz w:val="24"/>
                <w:szCs w:val="24"/>
                <w:color w:val="auto"/>
              </w:rPr>
            </w:pPr>
          </w:p>
        </w:tc>
      </w:tr>
      <w:tr>
        <w:trPr>
          <w:trHeight w:val="216"/>
        </w:trPr>
        <w:tc>
          <w:tcPr>
            <w:tcW w:w="10640" w:type="dxa"/>
            <w:vAlign w:val="bottom"/>
          </w:tcPr>
          <w:p>
            <w:pPr>
              <w:jc w:val="center"/>
              <w:ind w:left="690"/>
              <w:spacing w:after="0"/>
              <w:rPr>
                <w:sz w:val="20"/>
                <w:szCs w:val="20"/>
                <w:color w:val="auto"/>
              </w:rPr>
            </w:pPr>
            <w:r>
              <w:rPr>
                <w:rFonts w:ascii="Arial" w:cs="Arial" w:eastAsia="Arial" w:hAnsi="Arial"/>
                <w:sz w:val="18"/>
                <w:szCs w:val="18"/>
                <w:color w:val="auto"/>
                <w:w w:val="96"/>
              </w:rPr>
              <w:t>69 Akti Miaouli 18537</w:t>
            </w:r>
          </w:p>
        </w:tc>
        <w:tc>
          <w:tcPr>
            <w:tcW w:w="820" w:type="dxa"/>
            <w:vAlign w:val="bottom"/>
          </w:tcPr>
          <w:p>
            <w:pPr>
              <w:spacing w:after="0"/>
              <w:rPr>
                <w:sz w:val="18"/>
                <w:szCs w:val="18"/>
                <w:color w:val="auto"/>
              </w:rPr>
            </w:pPr>
          </w:p>
        </w:tc>
      </w:tr>
      <w:tr>
        <w:trPr>
          <w:trHeight w:val="216"/>
        </w:trPr>
        <w:tc>
          <w:tcPr>
            <w:tcW w:w="10640" w:type="dxa"/>
            <w:vAlign w:val="bottom"/>
          </w:tcPr>
          <w:p>
            <w:pPr>
              <w:jc w:val="center"/>
              <w:ind w:left="710"/>
              <w:spacing w:after="0"/>
              <w:rPr>
                <w:sz w:val="20"/>
                <w:szCs w:val="20"/>
                <w:color w:val="auto"/>
              </w:rPr>
            </w:pPr>
            <w:r>
              <w:rPr>
                <w:rFonts w:ascii="Arial" w:cs="Arial" w:eastAsia="Arial" w:hAnsi="Arial"/>
                <w:sz w:val="18"/>
                <w:szCs w:val="18"/>
                <w:color w:val="auto"/>
                <w:w w:val="86"/>
              </w:rPr>
              <w:t>Piraeus Greece</w:t>
            </w:r>
          </w:p>
        </w:tc>
        <w:tc>
          <w:tcPr>
            <w:tcW w:w="820" w:type="dxa"/>
            <w:vAlign w:val="bottom"/>
          </w:tcPr>
          <w:p>
            <w:pPr>
              <w:spacing w:after="0"/>
              <w:rPr>
                <w:sz w:val="18"/>
                <w:szCs w:val="18"/>
                <w:color w:val="auto"/>
              </w:rPr>
            </w:pPr>
          </w:p>
        </w:tc>
      </w:tr>
      <w:tr>
        <w:trPr>
          <w:trHeight w:val="230"/>
        </w:trPr>
        <w:tc>
          <w:tcPr>
            <w:tcW w:w="10640" w:type="dxa"/>
            <w:vAlign w:val="bottom"/>
          </w:tcPr>
          <w:p>
            <w:pPr>
              <w:jc w:val="center"/>
              <w:ind w:left="690"/>
              <w:spacing w:after="0"/>
              <w:rPr>
                <w:sz w:val="20"/>
                <w:szCs w:val="20"/>
                <w:color w:val="auto"/>
              </w:rPr>
            </w:pPr>
            <w:r>
              <w:rPr>
                <w:rFonts w:ascii="Arial" w:cs="Arial" w:eastAsia="Arial" w:hAnsi="Arial"/>
                <w:sz w:val="18"/>
                <w:szCs w:val="18"/>
                <w:color w:val="auto"/>
                <w:w w:val="92"/>
              </w:rPr>
              <w:t>(Address of principal executive office)</w:t>
            </w:r>
          </w:p>
        </w:tc>
        <w:tc>
          <w:tcPr>
            <w:tcW w:w="820" w:type="dxa"/>
            <w:vAlign w:val="bottom"/>
          </w:tcPr>
          <w:p>
            <w:pPr>
              <w:spacing w:after="0"/>
              <w:rPr>
                <w:sz w:val="20"/>
                <w:szCs w:val="20"/>
                <w:color w:val="auto"/>
              </w:rPr>
            </w:pPr>
          </w:p>
        </w:tc>
      </w:tr>
      <w:tr>
        <w:trPr>
          <w:trHeight w:val="432"/>
        </w:trPr>
        <w:tc>
          <w:tcPr>
            <w:tcW w:w="10640" w:type="dxa"/>
            <w:vAlign w:val="bottom"/>
          </w:tcPr>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tc>
        <w:tc>
          <w:tcPr>
            <w:tcW w:w="820" w:type="dxa"/>
            <w:vAlign w:val="bottom"/>
          </w:tcPr>
          <w:p>
            <w:pPr>
              <w:spacing w:after="0"/>
              <w:rPr>
                <w:sz w:val="24"/>
                <w:szCs w:val="24"/>
                <w:color w:val="auto"/>
              </w:rPr>
            </w:pPr>
          </w:p>
        </w:tc>
      </w:tr>
      <w:tr>
        <w:trPr>
          <w:trHeight w:val="452"/>
        </w:trPr>
        <w:tc>
          <w:tcPr>
            <w:tcW w:w="10640" w:type="dxa"/>
            <w:vAlign w:val="bottom"/>
          </w:tcPr>
          <w:p>
            <w:pPr>
              <w:spacing w:after="0" w:line="207" w:lineRule="exact"/>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rFonts w:ascii="Arial" w:cs="Arial" w:eastAsia="Arial" w:hAnsi="Arial"/>
                <w:sz w:val="18"/>
                <w:szCs w:val="18"/>
                <w:color w:val="auto"/>
              </w:rPr>
              <w:t xml:space="preserve">  Form 40-F o</w:t>
            </w:r>
          </w:p>
        </w:tc>
        <w:tc>
          <w:tcPr>
            <w:tcW w:w="820" w:type="dxa"/>
            <w:vAlign w:val="bottom"/>
          </w:tcPr>
          <w:p>
            <w:pPr>
              <w:spacing w:after="0"/>
              <w:rPr>
                <w:sz w:val="24"/>
                <w:szCs w:val="24"/>
                <w:color w:val="auto"/>
              </w:rPr>
            </w:pPr>
          </w:p>
        </w:tc>
      </w:tr>
      <w:tr>
        <w:trPr>
          <w:trHeight w:val="412"/>
        </w:trPr>
        <w:tc>
          <w:tcPr>
            <w:tcW w:w="10640" w:type="dxa"/>
            <w:vAlign w:val="bottom"/>
          </w:tcPr>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101(b)(1):</w:t>
            </w:r>
          </w:p>
        </w:tc>
        <w:tc>
          <w:tcPr>
            <w:tcW w:w="820" w:type="dxa"/>
            <w:vAlign w:val="bottom"/>
          </w:tcPr>
          <w:p>
            <w:pPr>
              <w:ind w:left="440"/>
              <w:spacing w:after="0"/>
              <w:rPr>
                <w:sz w:val="20"/>
                <w:szCs w:val="20"/>
                <w:color w:val="auto"/>
              </w:rPr>
            </w:pPr>
            <w:r>
              <w:rPr>
                <w:rFonts w:ascii="Arial" w:cs="Arial" w:eastAsia="Arial" w:hAnsi="Arial"/>
                <w:sz w:val="18"/>
                <w:szCs w:val="18"/>
                <w:color w:val="auto"/>
              </w:rPr>
              <w:t>o</w:t>
            </w:r>
          </w:p>
        </w:tc>
      </w:tr>
      <w:tr>
        <w:trPr>
          <w:trHeight w:val="459"/>
        </w:trPr>
        <w:tc>
          <w:tcPr>
            <w:tcW w:w="10640" w:type="dxa"/>
            <w:vAlign w:val="bottom"/>
          </w:tcPr>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101(b)(7):</w:t>
            </w:r>
          </w:p>
        </w:tc>
        <w:tc>
          <w:tcPr>
            <w:tcW w:w="820" w:type="dxa"/>
            <w:vAlign w:val="bottom"/>
          </w:tcPr>
          <w:p>
            <w:pPr>
              <w:ind w:left="440"/>
              <w:spacing w:after="0"/>
              <w:rPr>
                <w:sz w:val="20"/>
                <w:szCs w:val="20"/>
                <w:color w:val="auto"/>
              </w:rPr>
            </w:pPr>
            <w:r>
              <w:rPr>
                <w:rFonts w:ascii="Arial" w:cs="Arial" w:eastAsia="Arial" w:hAnsi="Arial"/>
                <w:sz w:val="18"/>
                <w:szCs w:val="18"/>
                <w:color w:val="auto"/>
              </w:rPr>
              <w:t>o</w:t>
            </w:r>
          </w:p>
        </w:tc>
      </w:tr>
      <w:tr>
        <w:trPr>
          <w:trHeight w:val="361"/>
        </w:trPr>
        <w:tc>
          <w:tcPr>
            <w:tcW w:w="10640" w:type="dxa"/>
            <w:vAlign w:val="bottom"/>
            <w:tcBorders>
              <w:bottom w:val="single" w:sz="8" w:color="808080"/>
            </w:tcBorders>
          </w:tcPr>
          <w:p>
            <w:pPr>
              <w:spacing w:after="0"/>
              <w:rPr>
                <w:sz w:val="24"/>
                <w:szCs w:val="24"/>
                <w:color w:val="auto"/>
              </w:rPr>
            </w:pPr>
          </w:p>
        </w:tc>
        <w:tc>
          <w:tcPr>
            <w:tcW w:w="820" w:type="dxa"/>
            <w:vAlign w:val="bottom"/>
            <w:tcBorders>
              <w:bottom w:val="single" w:sz="8" w:color="808080"/>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445" w:right="199" w:bottom="1440" w:gutter="0" w:footer="0" w:header="0"/>
        </w:sectPr>
      </w:pPr>
    </w:p>
    <w:bookmarkStart w:id="1" w:name="page2"/>
    <w:bookmarkEnd w:id="1"/>
    <w:p>
      <w:pPr>
        <w:spacing w:after="0"/>
        <w:rPr>
          <w:sz w:val="20"/>
          <w:szCs w:val="20"/>
          <w:color w:val="auto"/>
        </w:rPr>
      </w:pPr>
      <w:r>
        <w:rPr>
          <w:rFonts w:ascii="Arial" w:cs="Arial" w:eastAsia="Arial" w:hAnsi="Arial"/>
          <w:sz w:val="16"/>
          <w:szCs w:val="16"/>
          <w:color w:val="auto"/>
        </w:rPr>
        <w:t>The press release issued by GasLog Ltd on February 6, 2020 relating to its 2020 Annual General Meeting is attached hereto as Exhibit 99.1.</w:t>
      </w:r>
    </w:p>
    <w:p>
      <w:pPr>
        <w:spacing w:after="0" w:line="248"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EXHIBIT LIST</w:t>
      </w:r>
    </w:p>
    <w:p>
      <w:pPr>
        <w:spacing w:after="0" w:line="225" w:lineRule="exact"/>
        <w:rPr>
          <w:sz w:val="20"/>
          <w:szCs w:val="20"/>
          <w:color w:val="auto"/>
        </w:rPr>
      </w:pPr>
    </w:p>
    <w:p>
      <w:pPr>
        <w:spacing w:after="0"/>
        <w:tabs>
          <w:tab w:leader="none" w:pos="1480" w:val="left"/>
        </w:tabs>
        <w:rPr>
          <w:sz w:val="20"/>
          <w:szCs w:val="20"/>
          <w:color w:val="auto"/>
        </w:rPr>
      </w:pPr>
      <w:r>
        <w:rPr>
          <w:rFonts w:ascii="Arial" w:cs="Arial" w:eastAsia="Arial" w:hAnsi="Arial"/>
          <w:sz w:val="18"/>
          <w:szCs w:val="18"/>
          <w:color w:val="auto"/>
        </w:rPr>
        <w:t>Exhibit</w:t>
      </w:r>
      <w:r>
        <w:rPr>
          <w:sz w:val="20"/>
          <w:szCs w:val="20"/>
          <w:color w:val="auto"/>
        </w:rPr>
        <w:tab/>
      </w:r>
      <w:r>
        <w:rPr>
          <w:rFonts w:ascii="Arial" w:cs="Arial" w:eastAsia="Arial" w:hAnsi="Arial"/>
          <w:sz w:val="18"/>
          <w:szCs w:val="18"/>
          <w:color w:val="auto"/>
        </w:rPr>
        <w:t>Description</w:t>
      </w:r>
    </w:p>
    <w:p>
      <w:pPr>
        <w:spacing w:after="0" w:line="225" w:lineRule="exact"/>
        <w:rPr>
          <w:sz w:val="20"/>
          <w:szCs w:val="20"/>
          <w:color w:val="auto"/>
        </w:rPr>
      </w:pPr>
    </w:p>
    <w:p>
      <w:pPr>
        <w:spacing w:after="0"/>
        <w:tabs>
          <w:tab w:leader="none" w:pos="148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February 6,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19"/>
          </w:cols>
          <w:pgMar w:left="240" w:top="341" w:right="1440" w:bottom="1440" w:gutter="0" w:footer="0" w:header="0"/>
        </w:sectPr>
      </w:pPr>
    </w:p>
    <w:bookmarkStart w:id="2" w:name="page3"/>
    <w:bookmarkEnd w:id="2"/>
    <w:p>
      <w:pPr>
        <w:jc w:val="center"/>
        <w:ind w:right="40"/>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right="800" w:firstLine="37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6, 2020</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GASLOG LTD</w:t>
      </w:r>
    </w:p>
    <w:p>
      <w:pPr>
        <w:spacing w:after="0" w:line="225" w:lineRule="exact"/>
        <w:rPr>
          <w:sz w:val="20"/>
          <w:szCs w:val="20"/>
          <w:color w:val="auto"/>
        </w:rPr>
      </w:pPr>
    </w:p>
    <w:p>
      <w:pPr>
        <w:ind w:left="5900"/>
        <w:spacing w:after="0"/>
        <w:tabs>
          <w:tab w:leader="none" w:pos="6320" w:val="left"/>
        </w:tabs>
        <w:rPr>
          <w:sz w:val="20"/>
          <w:szCs w:val="20"/>
          <w:color w:val="auto"/>
        </w:rPr>
      </w:pPr>
      <w:r>
        <w:rPr>
          <w:rFonts w:ascii="Arial" w:cs="Arial" w:eastAsia="Arial" w:hAnsi="Arial"/>
          <w:sz w:val="18"/>
          <w:szCs w:val="18"/>
          <w:color w:val="auto"/>
        </w:rPr>
        <w:t>by</w:t>
        <w:tab/>
        <w:t>/s/ Paul A. Wogan</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340" w:type="dxa"/>
            <w:vAlign w:val="bottom"/>
          </w:tcPr>
          <w:p>
            <w:pPr>
              <w:spacing w:after="0"/>
              <w:rPr>
                <w:sz w:val="16"/>
                <w:szCs w:val="16"/>
                <w:color w:val="auto"/>
              </w:rPr>
            </w:pPr>
          </w:p>
        </w:tc>
        <w:tc>
          <w:tcPr>
            <w:tcW w:w="5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500" w:type="dxa"/>
            <w:vAlign w:val="bottom"/>
            <w:tcBorders>
              <w:top w:val="single" w:sz="8" w:color="auto"/>
            </w:tcBorders>
          </w:tcPr>
          <w:p>
            <w:pPr>
              <w:ind w:left="120"/>
              <w:spacing w:after="0" w:line="195" w:lineRule="exact"/>
              <w:rPr>
                <w:sz w:val="20"/>
                <w:szCs w:val="20"/>
                <w:color w:val="auto"/>
              </w:rPr>
            </w:pPr>
            <w:r>
              <w:rPr>
                <w:rFonts w:ascii="Arial" w:cs="Arial" w:eastAsia="Arial" w:hAnsi="Arial"/>
                <w:sz w:val="18"/>
                <w:szCs w:val="18"/>
                <w:color w:val="auto"/>
              </w:rPr>
              <w:t>Paul A. Wogan</w:t>
            </w:r>
          </w:p>
        </w:tc>
        <w:tc>
          <w:tcPr>
            <w:tcW w:w="40" w:type="dxa"/>
            <w:vAlign w:val="bottom"/>
          </w:tcPr>
          <w:p>
            <w:pPr>
              <w:spacing w:after="0"/>
              <w:rPr>
                <w:sz w:val="16"/>
                <w:szCs w:val="16"/>
                <w:color w:val="auto"/>
              </w:rPr>
            </w:pPr>
          </w:p>
        </w:tc>
      </w:tr>
      <w:tr>
        <w:trPr>
          <w:trHeight w:val="230"/>
        </w:trPr>
        <w:tc>
          <w:tcPr>
            <w:tcW w:w="6340" w:type="dxa"/>
            <w:vAlign w:val="bottom"/>
          </w:tcPr>
          <w:p>
            <w:pPr>
              <w:spacing w:after="0"/>
              <w:rPr>
                <w:sz w:val="20"/>
                <w:szCs w:val="20"/>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500" w:type="dxa"/>
            <w:vAlign w:val="bottom"/>
          </w:tcPr>
          <w:p>
            <w:pPr>
              <w:ind w:left="120"/>
              <w:spacing w:after="0"/>
              <w:rPr>
                <w:sz w:val="20"/>
                <w:szCs w:val="20"/>
                <w:color w:val="auto"/>
              </w:rPr>
            </w:pPr>
            <w:r>
              <w:rPr>
                <w:rFonts w:ascii="Arial" w:cs="Arial" w:eastAsia="Arial" w:hAnsi="Arial"/>
                <w:sz w:val="18"/>
                <w:szCs w:val="18"/>
                <w:color w:val="auto"/>
              </w:rPr>
              <w:t>Chief Executive Officer</w:t>
            </w:r>
          </w:p>
        </w:tc>
        <w:tc>
          <w:tcPr>
            <w:tcW w:w="40" w:type="dxa"/>
            <w:vAlign w:val="bottom"/>
          </w:tcPr>
          <w:p>
            <w:pPr>
              <w:spacing w:after="0"/>
              <w:rPr>
                <w:sz w:val="20"/>
                <w:szCs w:val="20"/>
                <w:color w:val="auto"/>
              </w:rPr>
            </w:pPr>
          </w:p>
        </w:tc>
      </w:tr>
      <w:tr>
        <w:trPr>
          <w:trHeight w:val="348"/>
        </w:trPr>
        <w:tc>
          <w:tcPr>
            <w:tcW w:w="634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45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1" w:right="19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GasLog Ltd. Announces 2020 Annual General Meeting</w:t>
      </w:r>
    </w:p>
    <w:p>
      <w:pPr>
        <w:spacing w:after="0" w:line="22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Piraeus, Greece, February 6, 2020 </w:t>
      </w:r>
      <w:r>
        <w:rPr>
          <w:rFonts w:ascii="Arial" w:cs="Arial" w:eastAsia="Arial" w:hAnsi="Arial"/>
          <w:sz w:val="18"/>
          <w:szCs w:val="18"/>
          <w:color w:val="auto"/>
        </w:rPr>
        <w:t>– GasLog Ltd. (“GasLog” or “the Company”) (NYSE: GLOG), an international owner, operator and manager of</w:t>
      </w:r>
      <w:r>
        <w:rPr>
          <w:rFonts w:ascii="Arial" w:cs="Arial" w:eastAsia="Arial" w:hAnsi="Arial"/>
          <w:sz w:val="18"/>
          <w:szCs w:val="18"/>
          <w:b w:val="1"/>
          <w:bCs w:val="1"/>
          <w:color w:val="auto"/>
        </w:rPr>
        <w:t xml:space="preserve"> </w:t>
      </w:r>
      <w:r>
        <w:rPr>
          <w:rFonts w:ascii="Arial" w:cs="Arial" w:eastAsia="Arial" w:hAnsi="Arial"/>
          <w:sz w:val="18"/>
          <w:szCs w:val="18"/>
          <w:color w:val="auto"/>
        </w:rPr>
        <w:t>liquefied natural gas (“LNG”) carriers, announced today that its Board of Directors has called an annual general meeting to be held in Bermuda on Thursday, May 14, 2020.</w:t>
      </w:r>
    </w:p>
    <w:p>
      <w:pPr>
        <w:spacing w:after="0" w:line="18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Shareholders of record at the close of business on Monday, March 16, 2020, will be entitled to receive notice of, and to vote at, the annual general meeting and at any adjournments or postponements thereof.</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Formal notice of the meeting and GasLog’s proxy statement will be sent to shareholders of the Company in due course.</w:t>
      </w: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About GasLog Ltd.</w:t>
      </w:r>
    </w:p>
    <w:p>
      <w:pPr>
        <w:spacing w:after="0" w:line="2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GasLog is an international owner, operator and manager of LNG carriers providing support to international energy companies as part of their LNG logistics chain. GasLog’s consolidated fleet consists of 35 LNG carriers. Of these vessels, 19 (12 on the water and seven on order) are owned by GasLog, one has been sold to a subsidiary of Mitsui &amp; Co., Ltd. and leased back to GasLog under a long-term bareboat charter and the remaining 15 LNG carriers are owned by the Company’s subsidiary, GasLog Partners. GasLog’s principal executive offices are at 69 Akti Miaouli, 18537 Piraeus, Greece. Visit GasLog’s website at </w:t>
      </w:r>
      <w:r>
        <w:rPr>
          <w:rFonts w:ascii="Arial" w:cs="Arial" w:eastAsia="Arial" w:hAnsi="Arial"/>
          <w:sz w:val="18"/>
          <w:szCs w:val="18"/>
          <w:u w:val="single" w:color="auto"/>
          <w:color w:val="4472C4"/>
        </w:rPr>
        <w:t>http://www.gaslogltd.com.</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Philip Corbett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Head of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+44-203-388-3116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Joseph Nelson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Deputy Head of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+1-212-223-0643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Email: ir@gaslogltd.com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2020-02-06T07:05:58Z</dcterms:created>
  <dcterms:modified xsi:type="dcterms:W3CDTF">2020-02-06T07:05:58Z</dcterms:modified>
</cp:coreProperties>
</file>