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As filed with the Securities and Exchange Commission on June 29, 2023.</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231F20"/>
        </w:rPr>
        <w:t>Registration No. 333-239797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231F20"/>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231F20"/>
        </w:rPr>
        <w:t>SECURITIES AND EXCHANGE COMMISSION</w:t>
      </w:r>
    </w:p>
    <w:p>
      <w:pPr>
        <w:jc w:val="center"/>
        <w:spacing w:after="0"/>
        <w:rPr>
          <w:sz w:val="20"/>
          <w:szCs w:val="20"/>
          <w:color w:val="auto"/>
        </w:rPr>
      </w:pPr>
      <w:r>
        <w:rPr>
          <w:rFonts w:ascii="Arial" w:cs="Arial" w:eastAsia="Arial" w:hAnsi="Arial"/>
          <w:sz w:val="22"/>
          <w:szCs w:val="22"/>
          <w:b w:val="1"/>
          <w:bCs w:val="1"/>
          <w:color w:val="231F2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64135</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1 TO</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w:t>
      </w:r>
      <w:r>
        <w:rPr>
          <w:rFonts w:ascii="Arial" w:cs="Arial" w:eastAsia="Arial" w:hAnsi="Arial"/>
          <w:sz w:val="22"/>
          <w:szCs w:val="22"/>
          <w:b w:val="1"/>
          <w:bCs w:val="1"/>
          <w:color w:val="auto"/>
        </w:rPr>
        <w:t>orm</w:t>
      </w:r>
      <w:r>
        <w:rPr>
          <w:rFonts w:ascii="Arial" w:cs="Arial" w:eastAsia="Arial" w:hAnsi="Arial"/>
          <w:sz w:val="32"/>
          <w:szCs w:val="32"/>
          <w:b w:val="1"/>
          <w:bCs w:val="1"/>
          <w:color w:val="auto"/>
        </w:rPr>
        <w:t xml:space="preserve"> F-3</w:t>
      </w:r>
    </w:p>
    <w:p>
      <w:pPr>
        <w:jc w:val="center"/>
        <w:spacing w:after="0" w:line="230" w:lineRule="auto"/>
        <w:rPr>
          <w:sz w:val="20"/>
          <w:szCs w:val="20"/>
          <w:color w:val="auto"/>
        </w:rPr>
      </w:pPr>
      <w:r>
        <w:rPr>
          <w:rFonts w:ascii="Arial" w:cs="Arial" w:eastAsia="Arial" w:hAnsi="Arial"/>
          <w:sz w:val="22"/>
          <w:szCs w:val="22"/>
          <w:b w:val="1"/>
          <w:bCs w:val="1"/>
          <w:color w:val="231F20"/>
        </w:rPr>
        <w:t>REGISTRATION STATEMENT</w:t>
      </w:r>
    </w:p>
    <w:p>
      <w:pPr>
        <w:jc w:val="center"/>
        <w:spacing w:after="0" w:line="231" w:lineRule="auto"/>
        <w:rPr>
          <w:sz w:val="20"/>
          <w:szCs w:val="20"/>
          <w:color w:val="auto"/>
        </w:rPr>
      </w:pPr>
      <w:r>
        <w:rPr>
          <w:rFonts w:ascii="Arial" w:cs="Arial" w:eastAsia="Arial" w:hAnsi="Arial"/>
          <w:sz w:val="22"/>
          <w:szCs w:val="22"/>
          <w:b w:val="1"/>
          <w:bCs w:val="1"/>
          <w:color w:val="231F20"/>
        </w:rPr>
        <w:t>UNDER</w:t>
      </w:r>
    </w:p>
    <w:p>
      <w:pPr>
        <w:jc w:val="center"/>
        <w:spacing w:after="0"/>
        <w:rPr>
          <w:sz w:val="20"/>
          <w:szCs w:val="20"/>
          <w:color w:val="auto"/>
        </w:rPr>
      </w:pPr>
      <w:r>
        <w:rPr>
          <w:rFonts w:ascii="Arial" w:cs="Arial" w:eastAsia="Arial" w:hAnsi="Arial"/>
          <w:sz w:val="22"/>
          <w:szCs w:val="22"/>
          <w:b w:val="1"/>
          <w:bCs w:val="1"/>
          <w:color w:val="231F20"/>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64135</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231F20"/>
        </w:rPr>
        <w:t>GasLog Ltd.</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(Exact Name of Registrant as Specified in its Charter)</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Not Applicable</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(Translation of Registrant’s Name into English)</w:t>
      </w:r>
    </w:p>
    <w:p>
      <w:pPr>
        <w:spacing w:after="0" w:line="219" w:lineRule="exact"/>
        <w:rPr>
          <w:sz w:val="24"/>
          <w:szCs w:val="24"/>
          <w:color w:val="auto"/>
        </w:rPr>
      </w:pPr>
    </w:p>
    <w:tbl>
      <w:tblPr>
        <w:tblLayout w:type="fixed"/>
        <w:tblInd w:w="1700" w:type="dxa"/>
        <w:tblCellMar>
          <w:top w:w="0" w:type="dxa"/>
          <w:left w:w="0" w:type="dxa"/>
          <w:bottom w:w="0" w:type="dxa"/>
          <w:right w:w="0" w:type="dxa"/>
        </w:tblCellMar>
      </w:tblPr>
      <w:tr>
        <w:trPr>
          <w:trHeight w:val="220"/>
        </w:trPr>
        <w:tc>
          <w:tcPr>
            <w:tcW w:w="4140" w:type="dxa"/>
            <w:vAlign w:val="bottom"/>
          </w:tcPr>
          <w:p>
            <w:pPr>
              <w:jc w:val="center"/>
              <w:ind w:right="1810"/>
              <w:spacing w:after="0"/>
              <w:rPr>
                <w:sz w:val="20"/>
                <w:szCs w:val="20"/>
                <w:color w:val="auto"/>
              </w:rPr>
            </w:pPr>
            <w:r>
              <w:rPr>
                <w:rFonts w:ascii="Arial" w:cs="Arial" w:eastAsia="Arial" w:hAnsi="Arial"/>
                <w:sz w:val="18"/>
                <w:szCs w:val="18"/>
                <w:b w:val="1"/>
                <w:bCs w:val="1"/>
                <w:color w:val="231F20"/>
                <w:w w:val="92"/>
              </w:rPr>
              <w:t>Bermuda</w:t>
            </w:r>
          </w:p>
        </w:tc>
        <w:tc>
          <w:tcPr>
            <w:tcW w:w="3260" w:type="dxa"/>
            <w:vAlign w:val="bottom"/>
          </w:tcPr>
          <w:p>
            <w:pPr>
              <w:jc w:val="center"/>
              <w:ind w:left="1830"/>
              <w:spacing w:after="0"/>
              <w:rPr>
                <w:sz w:val="20"/>
                <w:szCs w:val="20"/>
                <w:color w:val="auto"/>
              </w:rPr>
            </w:pPr>
            <w:r>
              <w:rPr>
                <w:rFonts w:ascii="Arial" w:cs="Arial" w:eastAsia="Arial" w:hAnsi="Arial"/>
                <w:sz w:val="18"/>
                <w:szCs w:val="18"/>
                <w:b w:val="1"/>
                <w:bCs w:val="1"/>
                <w:color w:val="231F20"/>
                <w:w w:val="96"/>
              </w:rPr>
              <w:t>N/A</w:t>
            </w:r>
          </w:p>
        </w:tc>
      </w:tr>
      <w:tr>
        <w:trPr>
          <w:trHeight w:val="216"/>
        </w:trPr>
        <w:tc>
          <w:tcPr>
            <w:tcW w:w="4140" w:type="dxa"/>
            <w:vAlign w:val="bottom"/>
          </w:tcPr>
          <w:p>
            <w:pPr>
              <w:jc w:val="center"/>
              <w:ind w:right="1810"/>
              <w:spacing w:after="0"/>
              <w:rPr>
                <w:sz w:val="20"/>
                <w:szCs w:val="20"/>
                <w:color w:val="auto"/>
              </w:rPr>
            </w:pPr>
            <w:r>
              <w:rPr>
                <w:rFonts w:ascii="Arial" w:cs="Arial" w:eastAsia="Arial" w:hAnsi="Arial"/>
                <w:sz w:val="18"/>
                <w:szCs w:val="18"/>
                <w:color w:val="231F20"/>
                <w:w w:val="92"/>
              </w:rPr>
              <w:t>(State or other Jurisdiction of</w:t>
            </w:r>
          </w:p>
        </w:tc>
        <w:tc>
          <w:tcPr>
            <w:tcW w:w="3260" w:type="dxa"/>
            <w:vAlign w:val="bottom"/>
          </w:tcPr>
          <w:p>
            <w:pPr>
              <w:jc w:val="center"/>
              <w:ind w:left="1830"/>
              <w:spacing w:after="0"/>
              <w:rPr>
                <w:sz w:val="20"/>
                <w:szCs w:val="20"/>
                <w:color w:val="auto"/>
              </w:rPr>
            </w:pPr>
            <w:r>
              <w:rPr>
                <w:rFonts w:ascii="Arial" w:cs="Arial" w:eastAsia="Arial" w:hAnsi="Arial"/>
                <w:sz w:val="18"/>
                <w:szCs w:val="18"/>
                <w:color w:val="231F20"/>
                <w:w w:val="92"/>
              </w:rPr>
              <w:t>(I.R.S. Employer</w:t>
            </w:r>
          </w:p>
        </w:tc>
      </w:tr>
      <w:tr>
        <w:trPr>
          <w:trHeight w:val="230"/>
        </w:trPr>
        <w:tc>
          <w:tcPr>
            <w:tcW w:w="4140" w:type="dxa"/>
            <w:vAlign w:val="bottom"/>
          </w:tcPr>
          <w:p>
            <w:pPr>
              <w:jc w:val="center"/>
              <w:ind w:right="1830"/>
              <w:spacing w:after="0"/>
              <w:rPr>
                <w:sz w:val="20"/>
                <w:szCs w:val="20"/>
                <w:color w:val="auto"/>
              </w:rPr>
            </w:pPr>
            <w:r>
              <w:rPr>
                <w:rFonts w:ascii="Arial" w:cs="Arial" w:eastAsia="Arial" w:hAnsi="Arial"/>
                <w:sz w:val="18"/>
                <w:szCs w:val="18"/>
                <w:color w:val="231F20"/>
                <w:w w:val="92"/>
              </w:rPr>
              <w:t>Incorporation or Organization)</w:t>
            </w:r>
          </w:p>
        </w:tc>
        <w:tc>
          <w:tcPr>
            <w:tcW w:w="3260" w:type="dxa"/>
            <w:vAlign w:val="bottom"/>
          </w:tcPr>
          <w:p>
            <w:pPr>
              <w:jc w:val="center"/>
              <w:ind w:left="1830"/>
              <w:spacing w:after="0"/>
              <w:rPr>
                <w:sz w:val="20"/>
                <w:szCs w:val="20"/>
                <w:color w:val="auto"/>
              </w:rPr>
            </w:pPr>
            <w:r>
              <w:rPr>
                <w:rFonts w:ascii="Arial" w:cs="Arial" w:eastAsia="Arial" w:hAnsi="Arial"/>
                <w:sz w:val="18"/>
                <w:szCs w:val="18"/>
                <w:color w:val="231F20"/>
                <w:w w:val="95"/>
              </w:rPr>
              <w:t>Identification No.)</w:t>
            </w:r>
          </w:p>
        </w:tc>
      </w:tr>
    </w:tbl>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GasLog Ltd.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c/o GasLog LNG Services Ltd</w:t>
      </w:r>
    </w:p>
    <w:p>
      <w:pPr>
        <w:jc w:val="center"/>
        <w:spacing w:after="0" w:line="230" w:lineRule="auto"/>
        <w:rPr>
          <w:sz w:val="20"/>
          <w:szCs w:val="20"/>
          <w:color w:val="auto"/>
        </w:rPr>
      </w:pPr>
      <w:r>
        <w:rPr>
          <w:rFonts w:ascii="Arial" w:cs="Arial" w:eastAsia="Arial" w:hAnsi="Arial"/>
          <w:sz w:val="22"/>
          <w:szCs w:val="22"/>
          <w:b w:val="1"/>
          <w:bCs w:val="1"/>
          <w:color w:val="231F20"/>
        </w:rPr>
        <w:t>69 Akti Miaouli</w:t>
      </w:r>
    </w:p>
    <w:p>
      <w:pPr>
        <w:jc w:val="center"/>
        <w:spacing w:after="0" w:line="231" w:lineRule="auto"/>
        <w:rPr>
          <w:sz w:val="20"/>
          <w:szCs w:val="20"/>
          <w:color w:val="auto"/>
        </w:rPr>
      </w:pPr>
      <w:r>
        <w:rPr>
          <w:rFonts w:ascii="Arial" w:cs="Arial" w:eastAsia="Arial" w:hAnsi="Arial"/>
          <w:sz w:val="22"/>
          <w:szCs w:val="22"/>
          <w:b w:val="1"/>
          <w:bCs w:val="1"/>
          <w:color w:val="231F20"/>
        </w:rPr>
        <w:t>18537 Piraeus Greece</w:t>
      </w:r>
    </w:p>
    <w:p>
      <w:pPr>
        <w:jc w:val="center"/>
        <w:spacing w:after="0" w:line="227" w:lineRule="auto"/>
        <w:rPr>
          <w:sz w:val="20"/>
          <w:szCs w:val="20"/>
          <w:color w:val="auto"/>
        </w:rPr>
      </w:pPr>
      <w:r>
        <w:rPr>
          <w:rFonts w:ascii="Arial" w:cs="Arial" w:eastAsia="Arial" w:hAnsi="Arial"/>
          <w:sz w:val="22"/>
          <w:szCs w:val="22"/>
          <w:b w:val="1"/>
          <w:bCs w:val="1"/>
          <w:color w:val="231F20"/>
        </w:rPr>
        <w:t>+30 210 459 1000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(Address and telephone number of Registrant’s principal executive offices)</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Puglisi &amp; Associates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850 Library Avenue, Suite 204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Newark, Delaware 19711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(302) 738-6680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64770</wp:posOffset>
            </wp:positionV>
            <wp:extent cx="1062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231F20"/>
        </w:rPr>
        <w:t>With copies to:</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D. Scott Bennett, Esq.</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Cravath, Swaine &amp; Moore LLP</w:t>
      </w:r>
    </w:p>
    <w:p>
      <w:pPr>
        <w:jc w:val="center"/>
        <w:spacing w:after="0" w:line="230" w:lineRule="auto"/>
        <w:rPr>
          <w:sz w:val="20"/>
          <w:szCs w:val="20"/>
          <w:color w:val="auto"/>
        </w:rPr>
      </w:pPr>
      <w:r>
        <w:rPr>
          <w:rFonts w:ascii="Arial" w:cs="Arial" w:eastAsia="Arial" w:hAnsi="Arial"/>
          <w:sz w:val="22"/>
          <w:szCs w:val="22"/>
          <w:b w:val="1"/>
          <w:bCs w:val="1"/>
          <w:color w:val="231F20"/>
        </w:rPr>
        <w:t>Worldwide Plaza</w:t>
      </w:r>
    </w:p>
    <w:p>
      <w:pPr>
        <w:spacing w:after="0" w:line="1" w:lineRule="exact"/>
        <w:rPr>
          <w:sz w:val="24"/>
          <w:szCs w:val="24"/>
          <w:color w:val="auto"/>
        </w:rPr>
      </w:pPr>
    </w:p>
    <w:p>
      <w:pPr>
        <w:ind w:left="4360" w:right="4360" w:firstLine="402"/>
        <w:spacing w:after="0" w:line="266" w:lineRule="auto"/>
        <w:tabs>
          <w:tab w:leader="none" w:pos="5137" w:val="left"/>
        </w:tabs>
        <w:numPr>
          <w:ilvl w:val="0"/>
          <w:numId w:val="1"/>
        </w:numPr>
        <w:rPr>
          <w:rFonts w:ascii="Arial" w:cs="Arial" w:eastAsia="Arial" w:hAnsi="Arial"/>
          <w:sz w:val="19"/>
          <w:szCs w:val="19"/>
          <w:b w:val="1"/>
          <w:bCs w:val="1"/>
          <w:color w:val="231F20"/>
        </w:rPr>
      </w:pPr>
      <w:r>
        <w:rPr>
          <w:rFonts w:ascii="Arial" w:cs="Arial" w:eastAsia="Arial" w:hAnsi="Arial"/>
          <w:sz w:val="19"/>
          <w:szCs w:val="19"/>
          <w:b w:val="1"/>
          <w:bCs w:val="1"/>
          <w:color w:val="231F20"/>
        </w:rPr>
        <w:t>Eighth Avenue New York, New York 10019</w:t>
      </w:r>
    </w:p>
    <w:p>
      <w:pPr>
        <w:spacing w:after="0" w:line="1" w:lineRule="exact"/>
        <w:rPr>
          <w:rFonts w:ascii="Arial" w:cs="Arial" w:eastAsia="Arial" w:hAnsi="Arial"/>
          <w:sz w:val="19"/>
          <w:szCs w:val="19"/>
          <w:b w:val="1"/>
          <w:bCs w:val="1"/>
          <w:color w:val="231F20"/>
        </w:rPr>
      </w:pPr>
    </w:p>
    <w:p>
      <w:pPr>
        <w:ind w:left="5480" w:hanging="531"/>
        <w:spacing w:after="0"/>
        <w:tabs>
          <w:tab w:leader="none" w:pos="5480" w:val="left"/>
        </w:tabs>
        <w:numPr>
          <w:ilvl w:val="1"/>
          <w:numId w:val="1"/>
        </w:numPr>
        <w:rPr>
          <w:rFonts w:ascii="Arial" w:cs="Arial" w:eastAsia="Arial" w:hAnsi="Arial"/>
          <w:sz w:val="22"/>
          <w:szCs w:val="22"/>
          <w:b w:val="1"/>
          <w:bCs w:val="1"/>
          <w:color w:val="231F20"/>
        </w:rPr>
      </w:pPr>
      <w:r>
        <w:rPr>
          <w:rFonts w:ascii="Arial" w:cs="Arial" w:eastAsia="Arial" w:hAnsi="Arial"/>
          <w:sz w:val="22"/>
          <w:szCs w:val="22"/>
          <w:b w:val="1"/>
          <w:bCs w:val="1"/>
          <w:color w:val="231F20"/>
        </w:rPr>
        <w:t>474-1000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64135</wp:posOffset>
            </wp:positionV>
            <wp:extent cx="10629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7" w:lineRule="exact"/>
        <w:rPr>
          <w:sz w:val="24"/>
          <w:szCs w:val="24"/>
          <w:color w:val="auto"/>
        </w:rPr>
      </w:pPr>
    </w:p>
    <w:p>
      <w:pPr>
        <w:ind w:left="340"/>
        <w:spacing w:after="0"/>
        <w:rPr>
          <w:sz w:val="20"/>
          <w:szCs w:val="20"/>
          <w:color w:val="auto"/>
        </w:rPr>
      </w:pPr>
      <w:r>
        <w:rPr>
          <w:rFonts w:ascii="Arial" w:cs="Arial" w:eastAsia="Arial" w:hAnsi="Arial"/>
          <w:sz w:val="16"/>
          <w:szCs w:val="16"/>
          <w:i w:val="1"/>
          <w:iCs w:val="1"/>
          <w:color w:val="231F20"/>
        </w:rPr>
        <w:t xml:space="preserve">Approximate Date of Commencement of Proposed Sale of the Securities to the Public: </w:t>
      </w:r>
      <w:r>
        <w:rPr>
          <w:rFonts w:ascii="Arial" w:cs="Arial" w:eastAsia="Arial" w:hAnsi="Arial"/>
          <w:sz w:val="16"/>
          <w:szCs w:val="16"/>
          <w:color w:val="231F20"/>
        </w:rPr>
        <w:t>Not Applicable</w:t>
      </w:r>
    </w:p>
    <w:p>
      <w:pPr>
        <w:spacing w:after="0" w:line="181"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231F20"/>
        </w:rPr>
        <w:t xml:space="preserve">If only securities being registered on this Form are being offered pursuant to dividend or interest reinvestment plans, please check the following box. </w:t>
      </w:r>
      <w:r>
        <w:rPr>
          <w:rFonts w:ascii="MS PGothic" w:cs="MS PGothic" w:eastAsia="MS PGothic" w:hAnsi="MS PGothic"/>
          <w:sz w:val="16"/>
          <w:szCs w:val="16"/>
          <w:color w:val="231F20"/>
        </w:rPr>
        <w:t>☐</w:t>
      </w:r>
    </w:p>
    <w:p>
      <w:pPr>
        <w:spacing w:after="0" w:line="126" w:lineRule="exact"/>
        <w:rPr>
          <w:sz w:val="24"/>
          <w:szCs w:val="24"/>
          <w:color w:val="auto"/>
        </w:rPr>
      </w:pPr>
    </w:p>
    <w:p>
      <w:pPr>
        <w:ind w:right="40" w:firstLine="324"/>
        <w:spacing w:after="0" w:line="217" w:lineRule="exact"/>
        <w:rPr>
          <w:sz w:val="20"/>
          <w:szCs w:val="20"/>
          <w:color w:val="auto"/>
        </w:rPr>
      </w:pPr>
      <w:r>
        <w:rPr>
          <w:rFonts w:ascii="Arial" w:cs="Arial" w:eastAsia="Arial" w:hAnsi="Arial"/>
          <w:sz w:val="16"/>
          <w:szCs w:val="16"/>
          <w:color w:val="231F20"/>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231F20"/>
        </w:rPr>
        <w:t>☐</w:t>
      </w:r>
    </w:p>
    <w:p>
      <w:pPr>
        <w:spacing w:after="0" w:line="39" w:lineRule="exact"/>
        <w:rPr>
          <w:sz w:val="24"/>
          <w:szCs w:val="24"/>
          <w:color w:val="auto"/>
        </w:rPr>
      </w:pPr>
    </w:p>
    <w:p>
      <w:pPr>
        <w:ind w:right="600" w:firstLine="324"/>
        <w:spacing w:after="0" w:line="217" w:lineRule="exact"/>
        <w:rPr>
          <w:sz w:val="20"/>
          <w:szCs w:val="20"/>
          <w:color w:val="auto"/>
        </w:rPr>
      </w:pPr>
      <w:r>
        <w:rPr>
          <w:rFonts w:ascii="Arial" w:cs="Arial" w:eastAsia="Arial" w:hAnsi="Arial"/>
          <w:sz w:val="16"/>
          <w:szCs w:val="16"/>
          <w:color w:val="231F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231F20"/>
        </w:rPr>
        <w:t>☐</w:t>
      </w:r>
    </w:p>
    <w:p>
      <w:pPr>
        <w:spacing w:after="0" w:line="39" w:lineRule="exact"/>
        <w:rPr>
          <w:sz w:val="24"/>
          <w:szCs w:val="24"/>
          <w:color w:val="auto"/>
        </w:rPr>
      </w:pPr>
    </w:p>
    <w:p>
      <w:pPr>
        <w:ind w:right="520" w:firstLine="324"/>
        <w:spacing w:after="0" w:line="217" w:lineRule="exact"/>
        <w:rPr>
          <w:sz w:val="20"/>
          <w:szCs w:val="20"/>
          <w:color w:val="auto"/>
        </w:rPr>
      </w:pPr>
      <w:r>
        <w:rPr>
          <w:rFonts w:ascii="Arial" w:cs="Arial" w:eastAsia="Arial" w:hAnsi="Arial"/>
          <w:sz w:val="16"/>
          <w:szCs w:val="16"/>
          <w:color w:val="231F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231F20"/>
        </w:rPr>
        <w:t>☐</w:t>
      </w:r>
    </w:p>
    <w:p>
      <w:pPr>
        <w:spacing w:after="0" w:line="39" w:lineRule="exact"/>
        <w:rPr>
          <w:sz w:val="24"/>
          <w:szCs w:val="24"/>
          <w:color w:val="auto"/>
        </w:rPr>
      </w:pPr>
    </w:p>
    <w:p>
      <w:pPr>
        <w:ind w:right="480" w:firstLine="324"/>
        <w:spacing w:after="0" w:line="217" w:lineRule="exact"/>
        <w:rPr>
          <w:sz w:val="20"/>
          <w:szCs w:val="20"/>
          <w:color w:val="auto"/>
        </w:rPr>
      </w:pPr>
      <w:r>
        <w:rPr>
          <w:rFonts w:ascii="Arial" w:cs="Arial" w:eastAsia="Arial" w:hAnsi="Arial"/>
          <w:sz w:val="16"/>
          <w:szCs w:val="16"/>
          <w:color w:val="231F20"/>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231F20"/>
        </w:rPr>
        <w:t>☐</w:t>
      </w:r>
    </w:p>
    <w:p>
      <w:pPr>
        <w:spacing w:after="0" w:line="39" w:lineRule="exact"/>
        <w:rPr>
          <w:sz w:val="24"/>
          <w:szCs w:val="24"/>
          <w:color w:val="auto"/>
        </w:rPr>
      </w:pPr>
    </w:p>
    <w:p>
      <w:pPr>
        <w:ind w:right="20" w:firstLine="324"/>
        <w:spacing w:after="0" w:line="217" w:lineRule="exact"/>
        <w:rPr>
          <w:sz w:val="20"/>
          <w:szCs w:val="20"/>
          <w:color w:val="auto"/>
        </w:rPr>
      </w:pPr>
      <w:r>
        <w:rPr>
          <w:rFonts w:ascii="Arial" w:cs="Arial" w:eastAsia="Arial" w:hAnsi="Arial"/>
          <w:sz w:val="16"/>
          <w:szCs w:val="16"/>
          <w:color w:val="231F20"/>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6"/>
          <w:szCs w:val="16"/>
          <w:color w:val="231F20"/>
        </w:rPr>
        <w:t>☐</w:t>
      </w:r>
    </w:p>
    <w:p>
      <w:pPr>
        <w:spacing w:after="0" w:line="39" w:lineRule="exact"/>
        <w:rPr>
          <w:sz w:val="24"/>
          <w:szCs w:val="24"/>
          <w:color w:val="auto"/>
        </w:rPr>
      </w:pPr>
    </w:p>
    <w:p>
      <w:pPr>
        <w:ind w:left="340"/>
        <w:spacing w:after="0"/>
        <w:rPr>
          <w:sz w:val="20"/>
          <w:szCs w:val="20"/>
          <w:color w:val="auto"/>
        </w:rPr>
      </w:pPr>
      <w:r>
        <w:rPr>
          <w:rFonts w:ascii="Arial" w:cs="Arial" w:eastAsia="Arial" w:hAnsi="Arial"/>
          <w:sz w:val="16"/>
          <w:szCs w:val="16"/>
          <w:color w:val="231F20"/>
        </w:rPr>
        <w:t>Indicate by check mark whether the registrant is an emerging growth company as defined in Rule 405 of the Securities Act of 1933.</w:t>
      </w:r>
    </w:p>
    <w:p>
      <w:pPr>
        <w:spacing w:after="0" w:line="46" w:lineRule="exact"/>
        <w:rPr>
          <w:sz w:val="24"/>
          <w:szCs w:val="24"/>
          <w:color w:val="auto"/>
        </w:rPr>
      </w:pPr>
    </w:p>
    <w:p>
      <w:pPr>
        <w:ind w:left="9280"/>
        <w:spacing w:after="0" w:line="161" w:lineRule="exact"/>
        <w:rPr>
          <w:sz w:val="20"/>
          <w:szCs w:val="20"/>
          <w:color w:val="auto"/>
        </w:rPr>
      </w:pPr>
      <w:r>
        <w:rPr>
          <w:rFonts w:ascii="Arial" w:cs="Arial" w:eastAsia="Arial" w:hAnsi="Arial"/>
          <w:sz w:val="14"/>
          <w:szCs w:val="14"/>
          <w:color w:val="231F20"/>
        </w:rPr>
        <w:t xml:space="preserve">Emerging growth company </w:t>
      </w:r>
      <w:r>
        <w:rPr>
          <w:rFonts w:ascii="MS PGothic" w:cs="MS PGothic" w:eastAsia="MS PGothic" w:hAnsi="MS PGothic"/>
          <w:sz w:val="14"/>
          <w:szCs w:val="14"/>
          <w:color w:val="231F20"/>
        </w:rPr>
        <w:t>☐</w:t>
      </w:r>
    </w:p>
    <w:p>
      <w:pPr>
        <w:spacing w:after="0" w:line="149" w:lineRule="exact"/>
        <w:rPr>
          <w:sz w:val="24"/>
          <w:szCs w:val="24"/>
          <w:color w:val="auto"/>
        </w:rPr>
      </w:pPr>
    </w:p>
    <w:p>
      <w:pPr>
        <w:ind w:right="80" w:firstLine="324"/>
        <w:spacing w:after="0" w:line="218" w:lineRule="exact"/>
        <w:rPr>
          <w:sz w:val="20"/>
          <w:szCs w:val="20"/>
          <w:color w:val="auto"/>
        </w:rPr>
      </w:pPr>
      <w:r>
        <w:rPr>
          <w:rFonts w:ascii="Arial" w:cs="Arial" w:eastAsia="Arial" w:hAnsi="Arial"/>
          <w:sz w:val="15"/>
          <w:szCs w:val="15"/>
          <w:color w:val="231F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231F20"/>
        </w:rPr>
        <w:t>☐</w:t>
      </w:r>
    </w:p>
    <w:p>
      <w:pPr>
        <w:spacing w:after="0" w:line="38" w:lineRule="exact"/>
        <w:rPr>
          <w:sz w:val="24"/>
          <w:szCs w:val="24"/>
          <w:color w:val="auto"/>
        </w:rPr>
      </w:pPr>
    </w:p>
    <w:p>
      <w:pPr>
        <w:ind w:right="480" w:firstLine="324"/>
        <w:spacing w:after="0" w:line="293" w:lineRule="auto"/>
        <w:rPr>
          <w:sz w:val="20"/>
          <w:szCs w:val="20"/>
          <w:color w:val="auto"/>
        </w:rPr>
      </w:pPr>
      <w:r>
        <w:rPr>
          <w:rFonts w:ascii="Arial" w:cs="Arial" w:eastAsia="Arial" w:hAnsi="Arial"/>
          <w:sz w:val="16"/>
          <w:szCs w:val="16"/>
          <w:color w:val="auto"/>
        </w:rPr>
        <w:t>†The term “new or revised financial accounting standard” refers to any updated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329565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9" w:right="339" w:bottom="129"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EXPLANATORY NOTE</w:t>
      </w:r>
    </w:p>
    <w:p>
      <w:pPr>
        <w:spacing w:after="0" w:line="2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This Post-Effective Amendment No. 1 relates to the Registration Statement on Form F-3 (Registration No. 333-239797) filed by GasLog Ltd. (the “Registrant”) with the Securities and Exchange Commission on July 10, 2020 (the “Registration Statement”) registering 7,900,000 common shares of the Registrant by the selling shareholders named therein. The Registrant is filing this Post-Effective Amendment No. 1 to the Registration Statement to terminate the offering and remove from registration the securities that have not been sold pursuant to the prospectus contained in the Registration Statement.</w:t>
      </w:r>
    </w:p>
    <w:p>
      <w:pPr>
        <w:spacing w:after="0" w:line="17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In accordance with an undertaking in the Registration Statement to remove from registration by means of a post-effective amendment any of the securities which had been registered under the Registration Statement but remain unsold at the termination of the offering, the Registrant hereby removes from registration any and all securities of the Registrant which have been registered for issuance under the Registration Statement but remain unsold. The Registration Statement is hereby amended to reflect the termination of the offering and the removal from registration of any and all securities of the Registrant which have been registered for issuance under the Registration Statement but remain unsold as of the date of this Post-Effective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5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Pursuant to the requirements of the Securities Act of 1933, the undersigned Registrant certifies that it has reasonable grounds to believe that it meets all of the requirements for filing on Form F-3 and has duly caused this Post-Effective Amendment No. 1 to the Registration Statement to be signed on its behalf by the undersigned, thereunto duly authorized, in the City of New York, State of New York, on June 29, 2023.</w:t>
      </w:r>
    </w:p>
    <w:p>
      <w:pPr>
        <w:spacing w:after="0" w:line="21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GASLOG LTD.</w:t>
      </w:r>
    </w:p>
    <w:p>
      <w:pPr>
        <w:spacing w:after="0" w:line="200" w:lineRule="exact"/>
        <w:rPr>
          <w:sz w:val="20"/>
          <w:szCs w:val="20"/>
          <w:color w:val="auto"/>
        </w:rPr>
      </w:pP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031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Name:Paolo Enoizi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Chief Executive Officer</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25"/>
    </w:lvl>
    <w:lvl w:ilvl="1">
      <w:lvlJc w:val="left"/>
      <w:lvlText w:val="(%2)"/>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2023-06-29T16:28:35Z</dcterms:created>
  <dcterms:modified xsi:type="dcterms:W3CDTF">2023-06-29T16:28:35Z</dcterms:modified>
</cp:coreProperties>
</file>