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60"/>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ind w:right="-106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Form 6-K</w:t>
      </w:r>
    </w:p>
    <w:p>
      <w:pPr>
        <w:spacing w:after="0" w:line="225" w:lineRule="exact"/>
        <w:rPr>
          <w:sz w:val="24"/>
          <w:szCs w:val="24"/>
          <w:color w:val="auto"/>
        </w:rPr>
      </w:pPr>
    </w:p>
    <w:p>
      <w:pPr>
        <w:jc w:val="center"/>
        <w:ind w:left="1420"/>
        <w:spacing w:after="0" w:line="286" w:lineRule="auto"/>
        <w:rPr>
          <w:sz w:val="20"/>
          <w:szCs w:val="20"/>
          <w:color w:val="auto"/>
        </w:rPr>
      </w:pPr>
      <w:r>
        <w:rPr>
          <w:rFonts w:ascii="Times New Roman" w:cs="Times New Roman" w:eastAsia="Times New Roman" w:hAnsi="Times New Roman"/>
          <w:sz w:val="18"/>
          <w:szCs w:val="18"/>
          <w:b w:val="1"/>
          <w:bCs w:val="1"/>
          <w:color w:val="auto"/>
        </w:rPr>
        <w:t>REPORT OF FOREIGN PRIVATE ISSUER PURSUANT TO RULE 13a-16 OR 15d-16 UNDER THE SECURITIES EXCHANGE ACT OF 1934</w:t>
      </w:r>
    </w:p>
    <w:p>
      <w:pPr>
        <w:spacing w:after="0" w:line="15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For the month of February 2024</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Commission File Number 001-35466</w:t>
      </w:r>
    </w:p>
    <w:p>
      <w:pPr>
        <w:spacing w:after="0" w:line="221" w:lineRule="exact"/>
        <w:rPr>
          <w:sz w:val="24"/>
          <w:szCs w:val="24"/>
          <w:color w:val="auto"/>
        </w:rPr>
      </w:pPr>
    </w:p>
    <w:p>
      <w:pPr>
        <w:jc w:val="center"/>
        <w:ind w:right="-1060"/>
        <w:spacing w:after="0"/>
        <w:rPr>
          <w:sz w:val="20"/>
          <w:szCs w:val="20"/>
          <w:color w:val="auto"/>
        </w:rPr>
      </w:pPr>
      <w:r>
        <w:rPr>
          <w:rFonts w:ascii="Times New Roman" w:cs="Times New Roman" w:eastAsia="Times New Roman" w:hAnsi="Times New Roman"/>
          <w:sz w:val="18"/>
          <w:szCs w:val="18"/>
          <w:b w:val="1"/>
          <w:bCs w:val="1"/>
          <w:color w:val="auto"/>
        </w:rPr>
        <w:t>GasLog Ltd.</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(Translation of registrant’s name into English)</w:t>
      </w:r>
    </w:p>
    <w:p>
      <w:pPr>
        <w:spacing w:after="0" w:line="207" w:lineRule="exact"/>
        <w:rPr>
          <w:sz w:val="24"/>
          <w:szCs w:val="24"/>
          <w:color w:val="auto"/>
        </w:rPr>
      </w:pPr>
    </w:p>
    <w:p>
      <w:pPr>
        <w:jc w:val="center"/>
        <w:ind w:right="-1060"/>
        <w:spacing w:after="0"/>
        <w:rPr>
          <w:sz w:val="20"/>
          <w:szCs w:val="20"/>
          <w:color w:val="auto"/>
        </w:rPr>
      </w:pPr>
      <w:r>
        <w:rPr>
          <w:rFonts w:ascii="Times New Roman" w:cs="Times New Roman" w:eastAsia="Times New Roman" w:hAnsi="Times New Roman"/>
          <w:sz w:val="18"/>
          <w:szCs w:val="18"/>
          <w:color w:val="auto"/>
        </w:rPr>
        <w:t>c/o GasLog LNG Services Ltd.</w:t>
      </w:r>
    </w:p>
    <w:p>
      <w:pPr>
        <w:spacing w:after="0" w:line="27" w:lineRule="exact"/>
        <w:rPr>
          <w:sz w:val="24"/>
          <w:szCs w:val="24"/>
          <w:color w:val="auto"/>
        </w:rPr>
      </w:pPr>
    </w:p>
    <w:p>
      <w:pPr>
        <w:jc w:val="center"/>
        <w:ind w:right="-1060"/>
        <w:spacing w:after="0"/>
        <w:rPr>
          <w:sz w:val="20"/>
          <w:szCs w:val="20"/>
          <w:color w:val="auto"/>
        </w:rPr>
      </w:pPr>
      <w:r>
        <w:rPr>
          <w:rFonts w:ascii="Times New Roman" w:cs="Times New Roman" w:eastAsia="Times New Roman" w:hAnsi="Times New Roman"/>
          <w:sz w:val="18"/>
          <w:szCs w:val="18"/>
          <w:color w:val="auto"/>
        </w:rPr>
        <w:t>69 Akti Miaouli, 18537</w:t>
      </w:r>
    </w:p>
    <w:p>
      <w:pPr>
        <w:spacing w:after="0" w:line="9" w:lineRule="exact"/>
        <w:rPr>
          <w:sz w:val="24"/>
          <w:szCs w:val="24"/>
          <w:color w:val="auto"/>
        </w:rPr>
      </w:pPr>
    </w:p>
    <w:p>
      <w:pPr>
        <w:jc w:val="center"/>
        <w:ind w:right="-1060"/>
        <w:spacing w:after="0"/>
        <w:rPr>
          <w:sz w:val="20"/>
          <w:szCs w:val="20"/>
          <w:color w:val="auto"/>
        </w:rPr>
      </w:pPr>
      <w:r>
        <w:rPr>
          <w:rFonts w:ascii="Times New Roman" w:cs="Times New Roman" w:eastAsia="Times New Roman" w:hAnsi="Times New Roman"/>
          <w:sz w:val="18"/>
          <w:szCs w:val="18"/>
          <w:color w:val="auto"/>
        </w:rPr>
        <w:t>Piraeus, Greece</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(Address of principal executive office)</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84" w:lineRule="exact"/>
        <w:rPr>
          <w:sz w:val="24"/>
          <w:szCs w:val="24"/>
          <w:color w:val="auto"/>
        </w:rPr>
      </w:pPr>
    </w:p>
    <w:p>
      <w:pPr>
        <w:spacing w:after="0" w:line="208" w:lineRule="exact"/>
        <w:tabs>
          <w:tab w:leader="none" w:pos="1200" w:val="left"/>
        </w:tabs>
        <w:rPr>
          <w:sz w:val="20"/>
          <w:szCs w:val="20"/>
          <w:color w:val="auto"/>
        </w:rPr>
      </w:pPr>
      <w:r>
        <w:rPr>
          <w:rFonts w:ascii="Times New Roman" w:cs="Times New Roman" w:eastAsia="Times New Roman" w:hAnsi="Times New Roman"/>
          <w:sz w:val="18"/>
          <w:szCs w:val="18"/>
          <w:color w:val="auto"/>
        </w:rPr>
        <w:t xml:space="preserve">Form 20-F </w:t>
      </w:r>
      <w:r>
        <w:rPr>
          <w:rFonts w:ascii="Arial" w:cs="Arial" w:eastAsia="Arial" w:hAnsi="Arial"/>
          <w:sz w:val="18"/>
          <w:szCs w:val="18"/>
          <w:b w:val="1"/>
          <w:bCs w:val="1"/>
          <w:color w:val="auto"/>
        </w:rPr>
        <w:t>þ</w:t>
      </w:r>
      <w:r>
        <w:rPr>
          <w:rFonts w:ascii="Times New Roman" w:cs="Times New Roman" w:eastAsia="Times New Roman" w:hAnsi="Times New Roman"/>
          <w:sz w:val="18"/>
          <w:szCs w:val="18"/>
          <w:color w:val="auto"/>
        </w:rPr>
        <w:tab/>
        <w:t xml:space="preserve">Form 40-F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471170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441" w:right="1440" w:bottom="1440" w:gutter="0" w:footer="0" w:header="0"/>
        </w:sectPr>
      </w:pPr>
    </w:p>
    <w:bookmarkStart w:id="1" w:name="page2"/>
    <w:bookmarkEnd w:id="1"/>
    <w:p>
      <w:pPr>
        <w:ind w:firstLine="324"/>
        <w:spacing w:after="0" w:line="298" w:lineRule="auto"/>
        <w:rPr>
          <w:sz w:val="20"/>
          <w:szCs w:val="20"/>
          <w:color w:val="auto"/>
        </w:rPr>
      </w:pPr>
      <w:r>
        <w:rPr>
          <w:rFonts w:ascii="Times New Roman" w:cs="Times New Roman" w:eastAsia="Times New Roman" w:hAnsi="Times New Roman"/>
          <w:sz w:val="16"/>
          <w:szCs w:val="16"/>
          <w:color w:val="auto"/>
        </w:rPr>
        <w:t>The press release issued by GasLog Ltd. on February 15, 2024, relating to its results for the three-month period ended December 31, 2023 is attached hereto as Exhibit 99.1.</w:t>
      </w:r>
    </w:p>
    <w:p>
      <w:pPr>
        <w:spacing w:after="0" w:line="1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EXHIBIT LIST</w:t>
      </w:r>
    </w:p>
    <w:p>
      <w:pPr>
        <w:spacing w:after="0" w:line="221"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6"/>
          <w:szCs w:val="16"/>
          <w:color w:val="auto"/>
        </w:rPr>
        <w:t>Exhibit</w:t>
      </w:r>
      <w:r>
        <w:rPr>
          <w:sz w:val="20"/>
          <w:szCs w:val="20"/>
          <w:color w:val="auto"/>
        </w:rPr>
        <w:tab/>
      </w:r>
      <w:r>
        <w:rPr>
          <w:rFonts w:ascii="Times New Roman" w:cs="Times New Roman" w:eastAsia="Times New Roman" w:hAnsi="Times New Roman"/>
          <w:sz w:val="16"/>
          <w:szCs w:val="16"/>
          <w:color w:val="auto"/>
        </w:rPr>
        <w:t>Description</w:t>
      </w:r>
    </w:p>
    <w:p>
      <w:pPr>
        <w:spacing w:after="0" w:line="221"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6"/>
          <w:szCs w:val="16"/>
          <w:u w:val="single" w:color="auto"/>
          <w:color w:val="0000EE"/>
        </w:rPr>
        <w:t>99.1</w:t>
      </w:r>
      <w:r>
        <w:rPr>
          <w:sz w:val="20"/>
          <w:szCs w:val="20"/>
          <w:color w:val="auto"/>
        </w:rPr>
        <w:tab/>
      </w:r>
      <w:r>
        <w:rPr>
          <w:rFonts w:ascii="Times New Roman" w:cs="Times New Roman" w:eastAsia="Times New Roman" w:hAnsi="Times New Roman"/>
          <w:sz w:val="16"/>
          <w:szCs w:val="16"/>
          <w:u w:val="single" w:color="auto"/>
          <w:color w:val="0000EE"/>
        </w:rPr>
        <w:t>Press Release dated February 15, 2024</w:t>
      </w:r>
    </w:p>
    <w:p>
      <w:pPr>
        <w:spacing w:after="0" w:line="200" w:lineRule="exact"/>
        <w:rPr>
          <w:sz w:val="20"/>
          <w:szCs w:val="20"/>
          <w:color w:val="auto"/>
        </w:rPr>
      </w:pPr>
    </w:p>
    <w:p>
      <w:pPr>
        <w:spacing w:after="0" w:line="24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895" w:right="35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6"/>
          <w:szCs w:val="16"/>
          <w:color w:val="auto"/>
        </w:rPr>
        <w:t>SIGNATURES</w:t>
      </w:r>
    </w:p>
    <w:p>
      <w:pPr>
        <w:spacing w:after="0" w:line="221" w:lineRule="exact"/>
        <w:rPr>
          <w:sz w:val="20"/>
          <w:szCs w:val="20"/>
          <w:color w:val="auto"/>
        </w:rPr>
      </w:pPr>
    </w:p>
    <w:p>
      <w:pPr>
        <w:ind w:firstLine="324"/>
        <w:spacing w:after="0" w:line="298" w:lineRule="auto"/>
        <w:rPr>
          <w:sz w:val="20"/>
          <w:szCs w:val="20"/>
          <w:color w:val="auto"/>
        </w:rPr>
      </w:pPr>
      <w:r>
        <w:rPr>
          <w:rFonts w:ascii="Times New Roman" w:cs="Times New Roman" w:eastAsia="Times New Roman" w:hAnsi="Times New Roman"/>
          <w:sz w:val="16"/>
          <w:szCs w:val="16"/>
          <w:color w:val="auto"/>
        </w:rPr>
        <w:t>Pursuant to the requirements of the Securities Exchange Act of 1934, the registrant has duly caused this report to be signed on its behalf by the undersigned, thereunto duly authorized.</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Date: February 15, 2024</w:t>
      </w:r>
    </w:p>
    <w:p>
      <w:pPr>
        <w:spacing w:after="0" w:line="22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6"/>
          <w:szCs w:val="16"/>
          <w:color w:val="auto"/>
        </w:rPr>
        <w:t>GASLOG LTD.,</w:t>
      </w:r>
    </w:p>
    <w:p>
      <w:pPr>
        <w:spacing w:after="0" w:line="248" w:lineRule="exact"/>
        <w:rPr>
          <w:sz w:val="20"/>
          <w:szCs w:val="20"/>
          <w:color w:val="auto"/>
        </w:rPr>
      </w:pPr>
    </w:p>
    <w:p>
      <w:pPr>
        <w:ind w:left="5980"/>
        <w:spacing w:after="0"/>
        <w:tabs>
          <w:tab w:leader="none" w:pos="6300" w:val="left"/>
        </w:tabs>
        <w:rPr>
          <w:sz w:val="20"/>
          <w:szCs w:val="20"/>
          <w:color w:val="auto"/>
        </w:rPr>
      </w:pPr>
      <w:r>
        <w:rPr>
          <w:rFonts w:ascii="Times New Roman" w:cs="Times New Roman" w:eastAsia="Times New Roman" w:hAnsi="Times New Roman"/>
          <w:sz w:val="16"/>
          <w:szCs w:val="16"/>
          <w:color w:val="auto"/>
        </w:rPr>
        <w:t>by</w:t>
        <w:tab/>
        <w:t>/s/ Paolo Enoizi</w:t>
      </w:r>
    </w:p>
    <w:p>
      <w:pPr>
        <w:spacing w:after="0" w:line="26" w:lineRule="exact"/>
        <w:rPr>
          <w:sz w:val="20"/>
          <w:szCs w:val="20"/>
          <w:color w:val="auto"/>
        </w:rPr>
      </w:pPr>
    </w:p>
    <w:tbl>
      <w:tblPr>
        <w:tblLayout w:type="fixed"/>
        <w:tblInd w:w="6320" w:type="dxa"/>
        <w:tblCellMar>
          <w:top w:w="0" w:type="dxa"/>
          <w:left w:w="0" w:type="dxa"/>
          <w:bottom w:w="0" w:type="dxa"/>
          <w:right w:w="0" w:type="dxa"/>
        </w:tblCellMar>
      </w:tblPr>
      <w:tr>
        <w:trPr>
          <w:trHeight w:val="202"/>
        </w:trPr>
        <w:tc>
          <w:tcPr>
            <w:tcW w:w="5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color w:val="auto"/>
              </w:rPr>
              <w:t>Name:</w:t>
            </w:r>
          </w:p>
        </w:tc>
        <w:tc>
          <w:tcPr>
            <w:tcW w:w="350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Paolo Enoizi</w:t>
            </w:r>
          </w:p>
        </w:tc>
      </w:tr>
      <w:tr>
        <w:trPr>
          <w:trHeight w:val="210"/>
        </w:trPr>
        <w:tc>
          <w:tcPr>
            <w:tcW w:w="520" w:type="dxa"/>
            <w:vAlign w:val="bottom"/>
          </w:tcPr>
          <w:p>
            <w:pPr>
              <w:spacing w:after="0"/>
              <w:rPr>
                <w:sz w:val="20"/>
                <w:szCs w:val="20"/>
                <w:color w:val="auto"/>
              </w:rPr>
            </w:pPr>
            <w:r>
              <w:rPr>
                <w:rFonts w:ascii="Times New Roman" w:cs="Times New Roman" w:eastAsia="Times New Roman" w:hAnsi="Times New Roman"/>
                <w:sz w:val="16"/>
                <w:szCs w:val="16"/>
                <w:color w:val="auto"/>
              </w:rPr>
              <w:t>Title:</w:t>
            </w:r>
          </w:p>
        </w:tc>
        <w:tc>
          <w:tcPr>
            <w:tcW w:w="35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Chief Executive Officer</w:t>
            </w:r>
          </w:p>
        </w:tc>
      </w:tr>
    </w:tbl>
    <w:p>
      <w:pPr>
        <w:spacing w:after="0" w:line="200" w:lineRule="exact"/>
        <w:rPr>
          <w:sz w:val="20"/>
          <w:szCs w:val="20"/>
          <w:color w:val="auto"/>
        </w:rPr>
      </w:pPr>
    </w:p>
    <w:p>
      <w:pPr>
        <w:spacing w:after="0" w:line="22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895" w:right="35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6"/>
          <w:szCs w:val="16"/>
          <w:b w:val="1"/>
          <w:bCs w:val="1"/>
          <w:color w:val="auto"/>
        </w:rPr>
        <w:t>Exhibit 99.1</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GasLog Ltd. Reports Financial Results for the Three-Month Period Ended December 31, 2023</w:t>
      </w:r>
    </w:p>
    <w:p>
      <w:pPr>
        <w:spacing w:after="0" w:line="221" w:lineRule="exact"/>
        <w:rPr>
          <w:sz w:val="20"/>
          <w:szCs w:val="20"/>
          <w:color w:val="auto"/>
        </w:rPr>
      </w:pPr>
    </w:p>
    <w:p>
      <w:pPr>
        <w:ind w:right="580"/>
        <w:spacing w:after="0" w:line="301" w:lineRule="auto"/>
        <w:rPr>
          <w:sz w:val="20"/>
          <w:szCs w:val="20"/>
          <w:color w:val="auto"/>
        </w:rPr>
      </w:pPr>
      <w:r>
        <w:rPr>
          <w:rFonts w:ascii="Times New Roman" w:cs="Times New Roman" w:eastAsia="Times New Roman" w:hAnsi="Times New Roman"/>
          <w:sz w:val="16"/>
          <w:szCs w:val="16"/>
          <w:b w:val="1"/>
          <w:bCs w:val="1"/>
          <w:color w:val="auto"/>
        </w:rPr>
        <w:t>Hamilton, Bermuda, February 15, 2024, GasLog Ltd. and its subsidiaries (“GasLog”, “Group” or “Company”) (NYSE: GLOG-PA)</w:t>
      </w:r>
      <w:r>
        <w:rPr>
          <w:rFonts w:ascii="Times New Roman" w:cs="Times New Roman" w:eastAsia="Times New Roman" w:hAnsi="Times New Roman"/>
          <w:sz w:val="16"/>
          <w:szCs w:val="16"/>
          <w:color w:val="auto"/>
        </w:rPr>
        <w:t>, an international owner,</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operator and manager of liquefied natural gas (“LNG”) carriers, today reported its financial results for the quarter ended December 31, 2023.</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Recent Developments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u w:val="single" w:color="auto"/>
          <w:color w:val="auto"/>
        </w:rPr>
        <w:t>Partial Redemption of GasLog’s 8.75% Series A Cumulative Redeemable Perpetual Preference Shares (“Series A Preference Shares”)</w:t>
      </w:r>
    </w:p>
    <w:p>
      <w:pPr>
        <w:spacing w:after="0" w:line="223" w:lineRule="exact"/>
        <w:rPr>
          <w:sz w:val="20"/>
          <w:szCs w:val="20"/>
          <w:color w:val="auto"/>
        </w:rPr>
      </w:pPr>
    </w:p>
    <w:p>
      <w:pPr>
        <w:ind w:right="80" w:firstLine="324"/>
        <w:spacing w:after="0" w:line="272" w:lineRule="auto"/>
        <w:rPr>
          <w:sz w:val="20"/>
          <w:szCs w:val="20"/>
          <w:color w:val="auto"/>
        </w:rPr>
      </w:pPr>
      <w:r>
        <w:rPr>
          <w:rFonts w:ascii="Times New Roman" w:cs="Times New Roman" w:eastAsia="Times New Roman" w:hAnsi="Times New Roman"/>
          <w:sz w:val="16"/>
          <w:szCs w:val="16"/>
          <w:color w:val="auto"/>
        </w:rPr>
        <w:t>On December 28, 2023, GasLog completed the redemption of 4,341,681 of its outstanding Series A Preference Shares (the “Partial Redemption”) held by shareholders of record as of November 27, 2023, pursuant to that certain Certificate of Designations, dated as of March 30, 2015 (the “Certificate of Designations”). The redemption price of the Series A Preference Shares was $25.00 per share plus accrued and unpaid dividends in respect of the Series A Preference Shares up to, but not including the redemption date of December 28, 2023. The Company funded the Partial Redemption with proceeds of borrowings under its existing $2.8 billion Five-Year Sustainability-Linked Senior Secured Reducing Revolving Credit Facility (see below).</w:t>
      </w:r>
    </w:p>
    <w:p>
      <w:pPr>
        <w:spacing w:after="0" w:line="172" w:lineRule="exact"/>
        <w:rPr>
          <w:sz w:val="20"/>
          <w:szCs w:val="20"/>
          <w:color w:val="auto"/>
        </w:rPr>
      </w:pPr>
    </w:p>
    <w:p>
      <w:pPr>
        <w:ind w:right="40" w:firstLine="324"/>
        <w:spacing w:after="0" w:line="281" w:lineRule="auto"/>
        <w:rPr>
          <w:sz w:val="20"/>
          <w:szCs w:val="20"/>
          <w:color w:val="auto"/>
        </w:rPr>
      </w:pPr>
      <w:r>
        <w:rPr>
          <w:rFonts w:ascii="Times New Roman" w:cs="Times New Roman" w:eastAsia="Times New Roman" w:hAnsi="Times New Roman"/>
          <w:sz w:val="16"/>
          <w:szCs w:val="16"/>
          <w:color w:val="auto"/>
        </w:rPr>
        <w:t>The Series A Preference Shares redeemed in connection with the Partial Redemption are no longer outstanding and all rights with respect to such stock have ceased and terminated. The Series A Preference Shares not redeemed in connection with the Partial Redemption remain issued and outstanding and subject to all the terms provided in the Certificate of Designations.</w:t>
      </w:r>
    </w:p>
    <w:p>
      <w:pPr>
        <w:spacing w:after="0" w:line="164" w:lineRule="exact"/>
        <w:rPr>
          <w:sz w:val="20"/>
          <w:szCs w:val="20"/>
          <w:color w:val="auto"/>
        </w:rPr>
      </w:pPr>
    </w:p>
    <w:p>
      <w:pPr>
        <w:ind w:right="160" w:firstLine="324"/>
        <w:spacing w:after="0" w:line="281" w:lineRule="auto"/>
        <w:rPr>
          <w:sz w:val="20"/>
          <w:szCs w:val="20"/>
          <w:color w:val="auto"/>
        </w:rPr>
      </w:pPr>
      <w:r>
        <w:rPr>
          <w:rFonts w:ascii="Times New Roman" w:cs="Times New Roman" w:eastAsia="Times New Roman" w:hAnsi="Times New Roman"/>
          <w:sz w:val="16"/>
          <w:szCs w:val="16"/>
          <w:color w:val="auto"/>
        </w:rPr>
        <w:t>Before the Partial Redemption, on August 2, 2023, the board of directors of GasLog had approved a preference share repurchase programme of up to $35.0 million of Series A Preference Shares, effective immediately. Since the inception of the repurchase programme and prior to the Partial Redemption, GasLog had repurchased an aggregate of 58,319 Series A Preference Shares at a weighted average price of $24.64 per preference share, for a total amount of $1.4 million, including commissions.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u w:val="single" w:color="auto"/>
          <w:color w:val="auto"/>
        </w:rPr>
        <w:t>New Charter Agreements</w:t>
      </w:r>
    </w:p>
    <w:p>
      <w:pPr>
        <w:spacing w:after="0" w:line="221" w:lineRule="exact"/>
        <w:rPr>
          <w:sz w:val="20"/>
          <w:szCs w:val="20"/>
          <w:color w:val="auto"/>
        </w:rPr>
      </w:pPr>
    </w:p>
    <w:p>
      <w:pPr>
        <w:ind w:right="200" w:firstLine="324"/>
        <w:spacing w:after="0" w:line="273" w:lineRule="auto"/>
        <w:rPr>
          <w:sz w:val="20"/>
          <w:szCs w:val="20"/>
          <w:color w:val="auto"/>
        </w:rPr>
      </w:pPr>
      <w:r>
        <w:rPr>
          <w:rFonts w:ascii="Times New Roman" w:cs="Times New Roman" w:eastAsia="Times New Roman" w:hAnsi="Times New Roman"/>
          <w:sz w:val="16"/>
          <w:szCs w:val="16"/>
          <w:color w:val="auto"/>
        </w:rPr>
        <w:t xml:space="preserve">During the fourth quarter of 2023, GasLog extended by five years the time charter agreement of the </w:t>
      </w:r>
      <w:r>
        <w:rPr>
          <w:rFonts w:ascii="Times New Roman" w:cs="Times New Roman" w:eastAsia="Times New Roman" w:hAnsi="Times New Roman"/>
          <w:sz w:val="16"/>
          <w:szCs w:val="16"/>
          <w:i w:val="1"/>
          <w:iCs w:val="1"/>
          <w:color w:val="auto"/>
        </w:rPr>
        <w:t>GasLog Singapore</w:t>
      </w:r>
      <w:r>
        <w:rPr>
          <w:rFonts w:ascii="Times New Roman" w:cs="Times New Roman" w:eastAsia="Times New Roman" w:hAnsi="Times New Roman"/>
          <w:sz w:val="16"/>
          <w:szCs w:val="16"/>
          <w:color w:val="auto"/>
        </w:rPr>
        <w:t xml:space="preserve">, a tri-fuel diesel electric engine propulsion (“TFDE”) LNG carrier, with New Fortress Energy Transport Partners LLC (“NFE Transport Partners LLC”), with the contract now due to expire in 2030. In addition, GasLog Partners LP (“GasLog Partners” or the “Partnership”) signed a multi-year time charter agreement for the </w:t>
      </w:r>
      <w:r>
        <w:rPr>
          <w:rFonts w:ascii="Times New Roman" w:cs="Times New Roman" w:eastAsia="Times New Roman" w:hAnsi="Times New Roman"/>
          <w:sz w:val="16"/>
          <w:szCs w:val="16"/>
          <w:i w:val="1"/>
          <w:iCs w:val="1"/>
          <w:color w:val="auto"/>
        </w:rPr>
        <w:t>GasLog Santiago,</w:t>
      </w:r>
      <w:r>
        <w:rPr>
          <w:rFonts w:ascii="Times New Roman" w:cs="Times New Roman" w:eastAsia="Times New Roman" w:hAnsi="Times New Roman"/>
          <w:sz w:val="16"/>
          <w:szCs w:val="16"/>
          <w:color w:val="auto"/>
        </w:rPr>
        <w:t xml:space="preserve"> a TFDE LNG carrier, with a major energy exploration company and extended by one year the time charter agreement of the </w:t>
      </w:r>
      <w:r>
        <w:rPr>
          <w:rFonts w:ascii="Times New Roman" w:cs="Times New Roman" w:eastAsia="Times New Roman" w:hAnsi="Times New Roman"/>
          <w:sz w:val="16"/>
          <w:szCs w:val="16"/>
          <w:i w:val="1"/>
          <w:iCs w:val="1"/>
          <w:color w:val="auto"/>
        </w:rPr>
        <w:t>Methane Jane Elizabeth</w:t>
      </w:r>
      <w:r>
        <w:rPr>
          <w:rFonts w:ascii="Times New Roman" w:cs="Times New Roman" w:eastAsia="Times New Roman" w:hAnsi="Times New Roman"/>
          <w:sz w:val="16"/>
          <w:szCs w:val="16"/>
          <w:color w:val="auto"/>
        </w:rPr>
        <w:t>, a steam turbine propulsion (“Steam”) LNG carrier, with Cheniere Marketing International LLP, a wholly owned subsidiary of Cheniere Energy, Inc. (“Cheniere”), with the contract now due to expire in 2025.</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u w:val="single" w:color="auto"/>
          <w:color w:val="auto"/>
        </w:rPr>
        <w:t>New $2.8 Billion Five-year Sustainability-linked Senior Secured Reducing Revolving Credit Facility</w:t>
      </w:r>
    </w:p>
    <w:p>
      <w:pPr>
        <w:spacing w:after="0" w:line="223" w:lineRule="exact"/>
        <w:rPr>
          <w:sz w:val="20"/>
          <w:szCs w:val="20"/>
          <w:color w:val="auto"/>
        </w:rPr>
      </w:pPr>
    </w:p>
    <w:p>
      <w:pPr>
        <w:ind w:right="140" w:firstLine="324"/>
        <w:spacing w:after="0" w:line="267" w:lineRule="auto"/>
        <w:rPr>
          <w:sz w:val="20"/>
          <w:szCs w:val="20"/>
          <w:color w:val="auto"/>
        </w:rPr>
      </w:pPr>
      <w:r>
        <w:rPr>
          <w:rFonts w:ascii="Times New Roman" w:cs="Times New Roman" w:eastAsia="Times New Roman" w:hAnsi="Times New Roman"/>
          <w:sz w:val="16"/>
          <w:szCs w:val="16"/>
          <w:color w:val="auto"/>
        </w:rPr>
        <w:t>On November 2, 2023, GasLog, signed a new Five-Year Sustainability-Linked Senior Secured Reducing Revolving Credit Facility in the amount of $2.8 billion (the “Facility”). This financing, involving 14 international banks, includes decarbonization and social key performance targets as a component of the Facility pricing. The Facility refinanced the outstanding debt of $2.1 billion secured by 23 LNG carriers across both GasLog and GasLog Partners, following the acquisition (the “Transaction”) by GasLog on July 13, 2023 of all the outstanding common units of GasLog Partners not already beneficially owned by GasLog. The 23 LNG carriers (12 GasLog vessels and 11 GasLog Partners vessels) included in the Facility comprise ten dual-fuel two-stroke engine propulsion (“X-DF”) LNG carriers, ten TFDE LNG carriers and three Steam LNG carriers. The Facility has a five-year tenor, includes two one-year extension options and simplifies GasLog’s debt structure, providing incremental available liquidity to the Company while reducing interest cost and debt service requirements. Citibank, N.A., London Branch and BNP Paribas acted as joint coordinators on the Facility. DNB Bank ASA, London Branch has been appointed as agent and security agent and ABN AMRO BANK N.V. as sustainability co-ordinator. Alpha Bank S.A., Credit Suisse AG, a UBS Group Company, Danish Ship Finance A/S, ING Bank N.V., London Branch, National Bank of Greece S.A., Nordea Bank ABP, Filial I Norge, Oversea-Chinese Banking Corporation Limited, DNB (UK) Limited and Standard Chartered Bank (Singapore) Limited acted as bookrunners and mandated lead arrangers alongside the coordinators, the agent and the sustainability co-ordinator. National Australia Bank Limited and Skandinaviska Enskilda Banken AB (Publ) were mandated lead arrangers. On November 13, 2023, the amount of $2.1 billion was drawn with $672.0 million remaining available as of that date, for general corporate purposes. On December 22, 2023, an additional amount of $129.5 million was drawn to fund the Partial Redemption discussed above.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u w:val="single" w:color="auto"/>
          <w:color w:val="auto"/>
        </w:rPr>
        <w:t>Dividend Declarations</w:t>
      </w:r>
    </w:p>
    <w:p>
      <w:pPr>
        <w:spacing w:after="0" w:line="223" w:lineRule="exact"/>
        <w:rPr>
          <w:sz w:val="20"/>
          <w:szCs w:val="20"/>
          <w:color w:val="auto"/>
        </w:rPr>
      </w:pPr>
    </w:p>
    <w:p>
      <w:pPr>
        <w:ind w:right="160" w:firstLine="324"/>
        <w:spacing w:after="0" w:line="298" w:lineRule="auto"/>
        <w:rPr>
          <w:sz w:val="20"/>
          <w:szCs w:val="20"/>
          <w:color w:val="auto"/>
        </w:rPr>
      </w:pPr>
      <w:r>
        <w:rPr>
          <w:rFonts w:ascii="Times New Roman" w:cs="Times New Roman" w:eastAsia="Times New Roman" w:hAnsi="Times New Roman"/>
          <w:sz w:val="16"/>
          <w:szCs w:val="16"/>
          <w:color w:val="auto"/>
        </w:rPr>
        <w:t>On February 14, 2024, the board of directors of GasLog declared a quarterly cash dividend of $0.25 per common share of GasLog to GasLog’s shareholders of record as of February 15, 2024.</w:t>
      </w:r>
    </w:p>
    <w:p>
      <w:pPr>
        <w:spacing w:after="0" w:line="37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67"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184"/>
        </w:trPr>
        <w:tc>
          <w:tcPr>
            <w:tcW w:w="1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Quarterly Financial Results</w:t>
            </w:r>
          </w:p>
        </w:tc>
        <w:tc>
          <w:tcPr>
            <w:tcW w:w="6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410"/>
        </w:trPr>
        <w:tc>
          <w:tcPr>
            <w:tcW w:w="81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i w:val="1"/>
                <w:iCs w:val="1"/>
                <w:color w:val="auto"/>
              </w:rPr>
              <w:t>Amounts in thousands of U.S. dollars</w:t>
            </w:r>
          </w:p>
        </w:tc>
        <w:tc>
          <w:tcPr>
            <w:tcW w:w="380" w:type="dxa"/>
            <w:vAlign w:val="bottom"/>
          </w:tcPr>
          <w:p>
            <w:pPr>
              <w:spacing w:after="0"/>
              <w:rPr>
                <w:sz w:val="24"/>
                <w:szCs w:val="24"/>
                <w:color w:val="auto"/>
              </w:rPr>
            </w:pPr>
          </w:p>
        </w:tc>
        <w:tc>
          <w:tcPr>
            <w:tcW w:w="2660" w:type="dxa"/>
            <w:vAlign w:val="bottom"/>
            <w:gridSpan w:val="4"/>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For the three months ended</w:t>
            </w:r>
          </w:p>
        </w:tc>
      </w:tr>
      <w:tr>
        <w:trPr>
          <w:trHeight w:val="203"/>
        </w:trPr>
        <w:tc>
          <w:tcPr>
            <w:tcW w:w="1940" w:type="dxa"/>
            <w:vAlign w:val="bottom"/>
          </w:tcPr>
          <w:p>
            <w:pPr>
              <w:spacing w:after="0"/>
              <w:rPr>
                <w:sz w:val="17"/>
                <w:szCs w:val="17"/>
                <w:color w:val="auto"/>
              </w:rPr>
            </w:pPr>
          </w:p>
        </w:tc>
        <w:tc>
          <w:tcPr>
            <w:tcW w:w="6160" w:type="dxa"/>
            <w:vAlign w:val="bottom"/>
          </w:tcPr>
          <w:p>
            <w:pPr>
              <w:spacing w:after="0"/>
              <w:rPr>
                <w:sz w:val="17"/>
                <w:szCs w:val="17"/>
                <w:color w:val="auto"/>
              </w:rPr>
            </w:pPr>
          </w:p>
        </w:tc>
        <w:tc>
          <w:tcPr>
            <w:tcW w:w="1700" w:type="dxa"/>
            <w:vAlign w:val="bottom"/>
            <w:gridSpan w:val="3"/>
          </w:tcPr>
          <w:p>
            <w:pPr>
              <w:ind w:left="20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34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2"/>
        </w:trPr>
        <w:tc>
          <w:tcPr>
            <w:tcW w:w="1940" w:type="dxa"/>
            <w:vAlign w:val="bottom"/>
            <w:tcBorders>
              <w:bottom w:val="single" w:sz="8" w:color="E5FFFF"/>
            </w:tcBorders>
          </w:tcPr>
          <w:p>
            <w:pPr>
              <w:spacing w:after="0"/>
              <w:rPr>
                <w:sz w:val="18"/>
                <w:szCs w:val="18"/>
                <w:color w:val="auto"/>
              </w:rPr>
            </w:pPr>
          </w:p>
        </w:tc>
        <w:tc>
          <w:tcPr>
            <w:tcW w:w="6160" w:type="dxa"/>
            <w:vAlign w:val="bottom"/>
            <w:tcBorders>
              <w:bottom w:val="single" w:sz="8" w:color="E5FF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2022</w:t>
            </w:r>
          </w:p>
        </w:tc>
        <w:tc>
          <w:tcPr>
            <w:tcW w:w="320" w:type="dxa"/>
            <w:vAlign w:val="bottom"/>
            <w:tcBorders>
              <w:bottom w:val="single" w:sz="8" w:color="E5FF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02"/>
        </w:trPr>
        <w:tc>
          <w:tcPr>
            <w:tcW w:w="8100" w:type="dxa"/>
            <w:vAlign w:val="bottom"/>
            <w:gridSpan w:val="2"/>
            <w:shd w:val="clear" w:color="auto" w:fill="E5FFFF"/>
          </w:tcPr>
          <w:p>
            <w:pPr>
              <w:spacing w:after="0"/>
              <w:rPr>
                <w:sz w:val="20"/>
                <w:szCs w:val="20"/>
                <w:color w:val="auto"/>
              </w:rPr>
            </w:pPr>
            <w:r>
              <w:rPr>
                <w:rFonts w:ascii="Times New Roman" w:cs="Times New Roman" w:eastAsia="Times New Roman" w:hAnsi="Times New Roman"/>
                <w:sz w:val="16"/>
                <w:szCs w:val="16"/>
                <w:color w:val="auto"/>
              </w:rPr>
              <w:t>Revenues</w:t>
            </w:r>
          </w:p>
        </w:tc>
        <w:tc>
          <w:tcPr>
            <w:tcW w:w="380" w:type="dxa"/>
            <w:vAlign w:val="bottom"/>
            <w:shd w:val="clear" w:color="auto" w:fill="E5FF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244,847</w:t>
            </w:r>
          </w:p>
        </w:tc>
        <w:tc>
          <w:tcPr>
            <w:tcW w:w="320" w:type="dxa"/>
            <w:vAlign w:val="bottom"/>
            <w:shd w:val="clear" w:color="auto" w:fill="E5FFFF"/>
          </w:tcPr>
          <w:p>
            <w:pPr>
              <w:spacing w:after="0"/>
              <w:rPr>
                <w:sz w:val="17"/>
                <w:szCs w:val="17"/>
                <w:color w:val="auto"/>
              </w:rPr>
            </w:pPr>
          </w:p>
        </w:tc>
        <w:tc>
          <w:tcPr>
            <w:tcW w:w="360" w:type="dxa"/>
            <w:vAlign w:val="bottom"/>
            <w:shd w:val="clear" w:color="auto" w:fill="E5FF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229,948</w:t>
            </w:r>
          </w:p>
        </w:tc>
      </w:tr>
      <w:tr>
        <w:trPr>
          <w:trHeight w:val="203"/>
        </w:trPr>
        <w:tc>
          <w:tcPr>
            <w:tcW w:w="81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Profit for the period</w:t>
            </w:r>
          </w:p>
        </w:tc>
        <w:tc>
          <w:tcPr>
            <w:tcW w:w="3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68,703</w:t>
            </w:r>
          </w:p>
        </w:tc>
        <w:tc>
          <w:tcPr>
            <w:tcW w:w="320" w:type="dxa"/>
            <w:vAlign w:val="bottom"/>
          </w:tcPr>
          <w:p>
            <w:pPr>
              <w:spacing w:after="0"/>
              <w:rPr>
                <w:sz w:val="17"/>
                <w:szCs w:val="17"/>
                <w:color w:val="auto"/>
              </w:rPr>
            </w:pPr>
          </w:p>
        </w:tc>
        <w:tc>
          <w:tcPr>
            <w:tcW w:w="3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31,436</w:t>
            </w:r>
          </w:p>
        </w:tc>
      </w:tr>
      <w:tr>
        <w:trPr>
          <w:trHeight w:val="243"/>
        </w:trPr>
        <w:tc>
          <w:tcPr>
            <w:tcW w:w="8100" w:type="dxa"/>
            <w:vAlign w:val="bottom"/>
            <w:gridSpan w:val="2"/>
            <w:shd w:val="clear" w:color="auto" w:fill="E5FFFF"/>
          </w:tcPr>
          <w:p>
            <w:pPr>
              <w:spacing w:after="0" w:line="243" w:lineRule="exact"/>
              <w:rPr>
                <w:sz w:val="20"/>
                <w:szCs w:val="20"/>
                <w:color w:val="auto"/>
              </w:rPr>
            </w:pPr>
            <w:r>
              <w:rPr>
                <w:rFonts w:ascii="Times New Roman" w:cs="Times New Roman" w:eastAsia="Times New Roman" w:hAnsi="Times New Roman"/>
                <w:sz w:val="16"/>
                <w:szCs w:val="16"/>
                <w:color w:val="auto"/>
              </w:rPr>
              <w:t>Adjusted EBITDA</w:t>
            </w:r>
            <w:r>
              <w:rPr>
                <w:rFonts w:ascii="Times New Roman" w:cs="Times New Roman" w:eastAsia="Times New Roman" w:hAnsi="Times New Roman"/>
                <w:sz w:val="26"/>
                <w:szCs w:val="26"/>
                <w:color w:val="auto"/>
                <w:vertAlign w:val="superscript"/>
              </w:rPr>
              <w:t>1</w:t>
            </w:r>
          </w:p>
        </w:tc>
        <w:tc>
          <w:tcPr>
            <w:tcW w:w="380" w:type="dxa"/>
            <w:vAlign w:val="bottom"/>
            <w:shd w:val="clear" w:color="auto" w:fill="E5FF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190,750</w:t>
            </w:r>
          </w:p>
        </w:tc>
        <w:tc>
          <w:tcPr>
            <w:tcW w:w="320" w:type="dxa"/>
            <w:vAlign w:val="bottom"/>
            <w:shd w:val="clear" w:color="auto" w:fill="E5FFFF"/>
          </w:tcPr>
          <w:p>
            <w:pPr>
              <w:spacing w:after="0"/>
              <w:rPr>
                <w:sz w:val="21"/>
                <w:szCs w:val="21"/>
                <w:color w:val="auto"/>
              </w:rPr>
            </w:pPr>
          </w:p>
        </w:tc>
        <w:tc>
          <w:tcPr>
            <w:tcW w:w="360" w:type="dxa"/>
            <w:vAlign w:val="bottom"/>
            <w:shd w:val="clear" w:color="auto" w:fill="E5FF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178,648</w:t>
            </w:r>
          </w:p>
        </w:tc>
      </w:tr>
      <w:tr>
        <w:trPr>
          <w:trHeight w:val="244"/>
        </w:trPr>
        <w:tc>
          <w:tcPr>
            <w:tcW w:w="8100" w:type="dxa"/>
            <w:vAlign w:val="bottom"/>
            <w:gridSpan w:val="2"/>
          </w:tcPr>
          <w:p>
            <w:pPr>
              <w:spacing w:after="0" w:line="243" w:lineRule="exact"/>
              <w:rPr>
                <w:sz w:val="20"/>
                <w:szCs w:val="20"/>
                <w:color w:val="auto"/>
              </w:rPr>
            </w:pPr>
            <w:r>
              <w:rPr>
                <w:rFonts w:ascii="Times New Roman" w:cs="Times New Roman" w:eastAsia="Times New Roman" w:hAnsi="Times New Roman"/>
                <w:sz w:val="16"/>
                <w:szCs w:val="16"/>
                <w:color w:val="auto"/>
              </w:rPr>
              <w:t>Adjusted Profit</w:t>
            </w:r>
            <w:r>
              <w:rPr>
                <w:rFonts w:ascii="Times New Roman" w:cs="Times New Roman" w:eastAsia="Times New Roman" w:hAnsi="Times New Roman"/>
                <w:sz w:val="26"/>
                <w:szCs w:val="26"/>
                <w:color w:val="auto"/>
                <w:vertAlign w:val="superscript"/>
              </w:rPr>
              <w:t>1</w:t>
            </w:r>
          </w:p>
        </w:tc>
        <w:tc>
          <w:tcPr>
            <w:tcW w:w="3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75,569</w:t>
            </w:r>
          </w:p>
        </w:tc>
        <w:tc>
          <w:tcPr>
            <w:tcW w:w="320" w:type="dxa"/>
            <w:vAlign w:val="bottom"/>
          </w:tcPr>
          <w:p>
            <w:pPr>
              <w:spacing w:after="0"/>
              <w:rPr>
                <w:sz w:val="21"/>
                <w:szCs w:val="21"/>
                <w:color w:val="auto"/>
              </w:rPr>
            </w:pPr>
          </w:p>
        </w:tc>
        <w:tc>
          <w:tcPr>
            <w:tcW w:w="3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53,270</w:t>
            </w:r>
          </w:p>
        </w:tc>
      </w:tr>
    </w:tbl>
    <w:p>
      <w:pPr>
        <w:spacing w:after="0" w:line="21" w:lineRule="exact"/>
        <w:rPr>
          <w:sz w:val="20"/>
          <w:szCs w:val="20"/>
          <w:color w:val="auto"/>
        </w:rPr>
      </w:pPr>
    </w:p>
    <w:p>
      <w:pPr>
        <w:jc w:val="both"/>
        <w:ind w:firstLine="21"/>
        <w:spacing w:after="0" w:line="192" w:lineRule="auto"/>
        <w:tabs>
          <w:tab w:leader="none" w:pos="92" w:val="left"/>
        </w:tabs>
        <w:numPr>
          <w:ilvl w:val="0"/>
          <w:numId w:val="1"/>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3"/>
          <w:szCs w:val="13"/>
          <w:color w:val="auto"/>
        </w:rPr>
        <w:t>Adjusted EBITDA and Adjusted Profit are non-GAAP financial measures and should not be used in isolation or as substitutes for GasLog’s financial results presented in accordance with International Financial Reporting Standards (“IFRS”). For the definitions and reconciliations of these measures to the most directly comparable financial measures calculated and presented in accordance with IFRS, please refer to Exhibit II at the end of this press release.</w:t>
      </w:r>
    </w:p>
    <w:p>
      <w:pPr>
        <w:spacing w:after="0" w:line="180" w:lineRule="exact"/>
        <w:rPr>
          <w:sz w:val="20"/>
          <w:szCs w:val="20"/>
          <w:color w:val="auto"/>
        </w:rPr>
      </w:pPr>
    </w:p>
    <w:p>
      <w:pPr>
        <w:ind w:right="60" w:firstLine="324"/>
        <w:spacing w:after="0" w:line="271" w:lineRule="auto"/>
        <w:rPr>
          <w:sz w:val="20"/>
          <w:szCs w:val="20"/>
          <w:color w:val="auto"/>
        </w:rPr>
      </w:pPr>
      <w:r>
        <w:rPr>
          <w:rFonts w:ascii="Times New Roman" w:cs="Times New Roman" w:eastAsia="Times New Roman" w:hAnsi="Times New Roman"/>
          <w:sz w:val="16"/>
          <w:szCs w:val="16"/>
          <w:color w:val="auto"/>
        </w:rPr>
        <w:t xml:space="preserve">There were 2,944 available days for the quarter ended December 31, 2023, as compared to 3,105 available days for the quarter ended December 31, 2022. Available days represent total calendar days in the period after deducting off-hire days where vessels are undergoing dry-dockings and unavailable days (for example, days before and after a dry-docking where the vessel has limited practical ability for chartering opportunities). The decrease in available days was attributable to the Floating Storage Regasification Unit (“FSRU”) conversion of the </w:t>
      </w:r>
      <w:r>
        <w:rPr>
          <w:rFonts w:ascii="Times New Roman" w:cs="Times New Roman" w:eastAsia="Times New Roman" w:hAnsi="Times New Roman"/>
          <w:sz w:val="16"/>
          <w:szCs w:val="16"/>
          <w:i w:val="1"/>
          <w:iCs w:val="1"/>
          <w:color w:val="auto"/>
        </w:rPr>
        <w:t>Alexandroupolis</w:t>
      </w:r>
      <w:r>
        <w:rPr>
          <w:rFonts w:ascii="Times New Roman" w:cs="Times New Roman" w:eastAsia="Times New Roman" w:hAnsi="Times New Roman"/>
          <w:sz w:val="16"/>
          <w:szCs w:val="16"/>
          <w:color w:val="auto"/>
        </w:rPr>
        <w:t xml:space="preserve"> that started in February 2023 and the sale of the </w:t>
      </w:r>
      <w:r>
        <w:rPr>
          <w:rFonts w:ascii="Times New Roman" w:cs="Times New Roman" w:eastAsia="Times New Roman" w:hAnsi="Times New Roman"/>
          <w:sz w:val="16"/>
          <w:szCs w:val="16"/>
          <w:i w:val="1"/>
          <w:iCs w:val="1"/>
          <w:color w:val="auto"/>
        </w:rPr>
        <w:t>GasLog Athens</w:t>
      </w:r>
      <w:r>
        <w:rPr>
          <w:rFonts w:ascii="Times New Roman" w:cs="Times New Roman" w:eastAsia="Times New Roman" w:hAnsi="Times New Roman"/>
          <w:sz w:val="16"/>
          <w:szCs w:val="16"/>
          <w:color w:val="auto"/>
        </w:rPr>
        <w:t xml:space="preserve"> in July 2023, partially offset by the decrease in off-hire days for scheduled dry-dockings and repairs (23 dry-docking off-hire days in the three-month period ended December 31, 2022, compared to nil dry-docking off-hire days in the three-month period ended December 31, 2023).</w:t>
      </w:r>
    </w:p>
    <w:p>
      <w:pPr>
        <w:spacing w:after="0" w:line="171" w:lineRule="exact"/>
        <w:rPr>
          <w:sz w:val="20"/>
          <w:szCs w:val="20"/>
          <w:color w:val="auto"/>
        </w:rPr>
      </w:pPr>
    </w:p>
    <w:p>
      <w:pPr>
        <w:ind w:right="40" w:firstLine="324"/>
        <w:spacing w:after="0" w:line="281" w:lineRule="auto"/>
        <w:rPr>
          <w:sz w:val="20"/>
          <w:szCs w:val="20"/>
          <w:color w:val="auto"/>
        </w:rPr>
      </w:pPr>
      <w:r>
        <w:rPr>
          <w:rFonts w:ascii="Times New Roman" w:cs="Times New Roman" w:eastAsia="Times New Roman" w:hAnsi="Times New Roman"/>
          <w:sz w:val="16"/>
          <w:szCs w:val="16"/>
          <w:color w:val="auto"/>
        </w:rPr>
        <w:t>Revenues were $229.9 million for the quarter ended December 31, 2023 ($244.8 million for the quarter ended December 31, 2022). The decrease in revenues is mainly attributable to the decrease in available days explained above and the net decrease in revenues from our vessels operating in the spot and short-term markets in the fourth quarter of 2023.</w:t>
      </w:r>
    </w:p>
    <w:p>
      <w:pPr>
        <w:spacing w:after="0" w:line="164" w:lineRule="exact"/>
        <w:rPr>
          <w:sz w:val="20"/>
          <w:szCs w:val="20"/>
          <w:color w:val="auto"/>
        </w:rPr>
      </w:pPr>
    </w:p>
    <w:p>
      <w:pPr>
        <w:ind w:right="220" w:firstLine="324"/>
        <w:spacing w:after="0" w:line="281" w:lineRule="auto"/>
        <w:rPr>
          <w:sz w:val="20"/>
          <w:szCs w:val="20"/>
          <w:color w:val="auto"/>
        </w:rPr>
      </w:pPr>
      <w:r>
        <w:rPr>
          <w:rFonts w:ascii="Times New Roman" w:cs="Times New Roman" w:eastAsia="Times New Roman" w:hAnsi="Times New Roman"/>
          <w:sz w:val="16"/>
          <w:szCs w:val="16"/>
          <w:color w:val="auto"/>
        </w:rPr>
        <w:t>Profit for the period was $31.4 million for the quarter ended December 31, 2023 ($68.7 million for the quarter ended December 31, 2022). The decrease in profit is mainly attributable to the increase of $34.0 million in financial costs, which includes an increase of $27.0 million of write-off of unamortized loan fees due to the Facility refinancing.</w:t>
      </w:r>
    </w:p>
    <w:p>
      <w:pPr>
        <w:spacing w:after="0" w:line="164" w:lineRule="exact"/>
        <w:rPr>
          <w:sz w:val="20"/>
          <w:szCs w:val="20"/>
          <w:color w:val="auto"/>
        </w:rPr>
      </w:pPr>
    </w:p>
    <w:p>
      <w:pPr>
        <w:ind w:right="20" w:firstLine="324"/>
        <w:spacing w:after="0" w:line="281" w:lineRule="auto"/>
        <w:rPr>
          <w:sz w:val="20"/>
          <w:szCs w:val="20"/>
          <w:color w:val="auto"/>
        </w:rPr>
      </w:pPr>
      <w:r>
        <w:rPr>
          <w:rFonts w:ascii="Times New Roman" w:cs="Times New Roman" w:eastAsia="Times New Roman" w:hAnsi="Times New Roman"/>
          <w:sz w:val="16"/>
          <w:szCs w:val="16"/>
          <w:color w:val="auto"/>
        </w:rPr>
        <w:t>Adjusted EBITDA was $178.6 million for the quarter ended December 31, 2023 ($190.8 million for the quarter ended December 31, 2022). The decrease in Adjusted EBITDA is mainly attributable to the decrease in revenues of $14.9 million, as discussed above, partially offset by the decrease of $1.5 million in general and administrative expenses and the decrease of $1.2 million in vessel operating and supervision costs.</w:t>
      </w:r>
    </w:p>
    <w:p>
      <w:pPr>
        <w:spacing w:after="0" w:line="164" w:lineRule="exact"/>
        <w:rPr>
          <w:sz w:val="20"/>
          <w:szCs w:val="20"/>
          <w:color w:val="auto"/>
        </w:rPr>
      </w:pPr>
    </w:p>
    <w:p>
      <w:pPr>
        <w:ind w:right="120" w:firstLine="324"/>
        <w:spacing w:after="0" w:line="281" w:lineRule="auto"/>
        <w:rPr>
          <w:sz w:val="20"/>
          <w:szCs w:val="20"/>
          <w:color w:val="auto"/>
        </w:rPr>
      </w:pPr>
      <w:r>
        <w:rPr>
          <w:rFonts w:ascii="Times New Roman" w:cs="Times New Roman" w:eastAsia="Times New Roman" w:hAnsi="Times New Roman"/>
          <w:sz w:val="16"/>
          <w:szCs w:val="16"/>
          <w:color w:val="auto"/>
        </w:rPr>
        <w:t>Adjusted Profit was $53.3 million for the quarter ended December 31, 2023 ($75.6 million for the quarter ended December 31, 2022). The decrease in Adjusted Profit is mainly attributable to the decrease in Adjusted EBITDA and the increase in financial costs, as a result of the increase in interest rates in the fourth quarter of 2023 as compared to the same period in 2022.</w:t>
      </w:r>
    </w:p>
    <w:p>
      <w:pPr>
        <w:spacing w:after="0" w:line="164" w:lineRule="exact"/>
        <w:rPr>
          <w:sz w:val="20"/>
          <w:szCs w:val="20"/>
          <w:color w:val="auto"/>
        </w:rPr>
      </w:pPr>
    </w:p>
    <w:p>
      <w:pPr>
        <w:ind w:right="160" w:firstLine="324"/>
        <w:spacing w:after="0" w:line="298" w:lineRule="auto"/>
        <w:rPr>
          <w:sz w:val="20"/>
          <w:szCs w:val="20"/>
          <w:color w:val="auto"/>
        </w:rPr>
      </w:pPr>
      <w:r>
        <w:rPr>
          <w:rFonts w:ascii="Times New Roman" w:cs="Times New Roman" w:eastAsia="Times New Roman" w:hAnsi="Times New Roman"/>
          <w:sz w:val="16"/>
          <w:szCs w:val="16"/>
          <w:color w:val="auto"/>
        </w:rPr>
        <w:t>As of December 31, 2023, GasLog had $221.4 million of cash and cash equivalents. An additional amount of $10.0 million of time deposits with an original duration greater than three months was classified under short-term cash deposits.</w:t>
      </w:r>
    </w:p>
    <w:p>
      <w:pPr>
        <w:spacing w:after="0" w:line="151" w:lineRule="exact"/>
        <w:rPr>
          <w:sz w:val="20"/>
          <w:szCs w:val="20"/>
          <w:color w:val="auto"/>
        </w:rPr>
      </w:pPr>
    </w:p>
    <w:p>
      <w:pPr>
        <w:ind w:firstLine="324"/>
        <w:spacing w:after="0" w:line="272" w:lineRule="auto"/>
        <w:rPr>
          <w:sz w:val="20"/>
          <w:szCs w:val="20"/>
          <w:color w:val="auto"/>
        </w:rPr>
      </w:pPr>
      <w:r>
        <w:rPr>
          <w:rFonts w:ascii="Times New Roman" w:cs="Times New Roman" w:eastAsia="Times New Roman" w:hAnsi="Times New Roman"/>
          <w:sz w:val="16"/>
          <w:szCs w:val="16"/>
          <w:color w:val="auto"/>
        </w:rPr>
        <w:t>As of December 31, 2023, GasLog had an aggregate of $3.1 billion of indebtedness outstanding under its credit facilities and bond agreements, of which $107.9 million is repayable within one year. Current bank borrowings include an amount of $88.3 million with respect to the Norwegian Kroner (“NOK”) bond maturing in 2024 (the “NOK 2024 Bonds”). As of December 31, 2023, GasLog had $542.5 million available under the Facility. Subsequently, in January 2024, GasLog prepaid $49.0 million of the outstanding Facility increasing the availability of the Facility to $591.5 million. Furthermore, as of December 31, 2023, GasLog also had an aggregate of $383.4 million of lease liabilities</w:t>
      </w:r>
      <w:r>
        <w:rPr>
          <w:rFonts w:ascii="Times New Roman" w:cs="Times New Roman" w:eastAsia="Times New Roman" w:hAnsi="Times New Roman"/>
          <w:sz w:val="16"/>
          <w:szCs w:val="16"/>
          <w:i w:val="1"/>
          <w:iCs w:val="1"/>
          <w:color w:val="auto"/>
        </w:rPr>
        <w:t>,</w:t>
      </w:r>
      <w:r>
        <w:rPr>
          <w:rFonts w:ascii="Times New Roman" w:cs="Times New Roman" w:eastAsia="Times New Roman" w:hAnsi="Times New Roman"/>
          <w:sz w:val="16"/>
          <w:szCs w:val="16"/>
          <w:color w:val="auto"/>
        </w:rPr>
        <w:t xml:space="preserve"> of which $71.0 million is payable within one year.</w:t>
      </w:r>
    </w:p>
    <w:p>
      <w:pPr>
        <w:spacing w:after="0" w:line="172" w:lineRule="exact"/>
        <w:rPr>
          <w:sz w:val="20"/>
          <w:szCs w:val="20"/>
          <w:color w:val="auto"/>
        </w:rPr>
      </w:pPr>
    </w:p>
    <w:p>
      <w:pPr>
        <w:ind w:right="400" w:firstLine="324"/>
        <w:spacing w:after="0" w:line="298" w:lineRule="auto"/>
        <w:rPr>
          <w:sz w:val="20"/>
          <w:szCs w:val="20"/>
          <w:color w:val="auto"/>
        </w:rPr>
      </w:pPr>
      <w:r>
        <w:rPr>
          <w:rFonts w:ascii="Times New Roman" w:cs="Times New Roman" w:eastAsia="Times New Roman" w:hAnsi="Times New Roman"/>
          <w:sz w:val="16"/>
          <w:szCs w:val="16"/>
          <w:color w:val="auto"/>
        </w:rPr>
        <w:t>As of December 31, 2023, the total remaining balance of the contract prices of the four LNG carriers on order was $576.7 million, of which $330.5 million is due within 12 months and will be funded by the four sale and leaseback agreements entered into on July 6, 2022 with CMB Financial Leasing Co., Ltd. (“CMBFL”).</w:t>
      </w:r>
    </w:p>
    <w:p>
      <w:pPr>
        <w:spacing w:after="0" w:line="151" w:lineRule="exact"/>
        <w:rPr>
          <w:sz w:val="20"/>
          <w:szCs w:val="20"/>
          <w:color w:val="auto"/>
        </w:rPr>
      </w:pPr>
    </w:p>
    <w:p>
      <w:pPr>
        <w:ind w:firstLine="324"/>
        <w:spacing w:after="0" w:line="272" w:lineRule="auto"/>
        <w:rPr>
          <w:sz w:val="20"/>
          <w:szCs w:val="20"/>
          <w:color w:val="auto"/>
        </w:rPr>
      </w:pPr>
      <w:r>
        <w:rPr>
          <w:rFonts w:ascii="Times New Roman" w:cs="Times New Roman" w:eastAsia="Times New Roman" w:hAnsi="Times New Roman"/>
          <w:sz w:val="16"/>
          <w:szCs w:val="16"/>
          <w:color w:val="auto"/>
        </w:rPr>
        <w:t>As of December 31, 2023, GasLog’s current assets totaled $560.4 million, while current liabilities totaled $622.5 million, resulting in a negative working capital position of $62.1 million. Current liabilities include $88.3 million relating to the NOK 2024 Bonds which mature in November 2024 (actual amount owed by GasLog in connection with such maturity is expected to be $98.6 million based on the notional amount, as of December 31, 2023, of the cross currency swaps used to hedge exposure under the NOK 2024 Bonds) and $66.4 million of unearned revenue in relation to hires received in advance of December 31, 2023 (which represents a non-cash liability that will be recognized as revenue in January 2024 as the services are rendered).</w:t>
      </w:r>
    </w:p>
    <w:p>
      <w:pPr>
        <w:spacing w:after="0" w:line="172" w:lineRule="exact"/>
        <w:rPr>
          <w:sz w:val="20"/>
          <w:szCs w:val="20"/>
          <w:color w:val="auto"/>
        </w:rPr>
      </w:pPr>
    </w:p>
    <w:p>
      <w:pPr>
        <w:ind w:right="100" w:firstLine="324"/>
        <w:spacing w:after="0" w:line="272" w:lineRule="auto"/>
        <w:rPr>
          <w:sz w:val="20"/>
          <w:szCs w:val="20"/>
          <w:color w:val="auto"/>
        </w:rPr>
      </w:pPr>
      <w:r>
        <w:rPr>
          <w:rFonts w:ascii="Times New Roman" w:cs="Times New Roman" w:eastAsia="Times New Roman" w:hAnsi="Times New Roman"/>
          <w:sz w:val="16"/>
          <w:szCs w:val="16"/>
          <w:color w:val="auto"/>
        </w:rPr>
        <w:t>Management monitors the Company’s liquidity position throughout the year to ensure that it has access to sufficient funds to meet its forecast cash requirements, including newbuilding and debt service commitments, and to monitor compliance with the financial covenants within its loan and bond facilities. We anticipate that our primary sources of funds for at least twelve months from the date of this report will be available cash, cash from operations, undrawn amounts under our existing facilities, future borrowings and future sale and leaseback transactions. We believe that these anticipated sources of funds will be sufficient to meet our liquidity needs and to comply with our financial covenants for at least twelve months from the date of this report and therefore it is appropriate to prepare the financial statements on a going concern basis.</w:t>
      </w: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1" w:right="3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6"/>
          <w:szCs w:val="16"/>
          <w:b w:val="1"/>
          <w:bCs w:val="1"/>
          <w:u w:val="single" w:color="auto"/>
          <w:color w:val="auto"/>
        </w:rPr>
        <w:t>GasLog Partners Preference Unit Repurchase Programme</w:t>
      </w:r>
    </w:p>
    <w:p>
      <w:pPr>
        <w:spacing w:after="0" w:line="22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color w:val="auto"/>
        </w:rPr>
        <w:t>In the quarter ended December 31, 2023, there were no repurchases of preference units under GasLog Partners’ preference unit repurchase programme.</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Fleet Update</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Owned Fleet</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color w:val="auto"/>
        </w:rPr>
        <w:t>As of February 15, 2024, GasLog’s fleet consisted of the following vessels: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00" w:type="dxa"/>
            <w:vAlign w:val="bottom"/>
          </w:tcPr>
          <w:p>
            <w:pPr>
              <w:spacing w:after="0"/>
              <w:rPr>
                <w:sz w:val="17"/>
                <w:szCs w:val="17"/>
                <w:color w:val="auto"/>
              </w:rPr>
            </w:pPr>
          </w:p>
        </w:tc>
        <w:tc>
          <w:tcPr>
            <w:tcW w:w="2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Cargo</w:t>
            </w: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7"/>
              </w:rPr>
              <w:t>Charter</w:t>
            </w: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Optional</w:t>
            </w:r>
          </w:p>
        </w:tc>
        <w:tc>
          <w:tcPr>
            <w:tcW w:w="0" w:type="dxa"/>
            <w:vAlign w:val="bottom"/>
          </w:tcPr>
          <w:p>
            <w:pPr>
              <w:spacing w:after="0"/>
              <w:rPr>
                <w:sz w:val="1"/>
                <w:szCs w:val="1"/>
                <w:color w:val="auto"/>
              </w:rPr>
            </w:pPr>
          </w:p>
        </w:tc>
      </w:tr>
      <w:tr>
        <w:trPr>
          <w:trHeight w:val="164"/>
        </w:trPr>
        <w:tc>
          <w:tcPr>
            <w:tcW w:w="20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ind w:left="240"/>
              <w:spacing w:after="0" w:line="165" w:lineRule="exact"/>
              <w:rPr>
                <w:sz w:val="20"/>
                <w:szCs w:val="20"/>
                <w:color w:val="auto"/>
              </w:rPr>
            </w:pPr>
            <w:r>
              <w:rPr>
                <w:rFonts w:ascii="Times New Roman" w:cs="Times New Roman" w:eastAsia="Times New Roman" w:hAnsi="Times New Roman"/>
                <w:sz w:val="16"/>
                <w:szCs w:val="16"/>
                <w:b w:val="1"/>
                <w:bCs w:val="1"/>
                <w:color w:val="auto"/>
              </w:rPr>
              <w:t>Year</w:t>
            </w:r>
          </w:p>
        </w:tc>
        <w:tc>
          <w:tcPr>
            <w:tcW w:w="1340" w:type="dxa"/>
            <w:vAlign w:val="bottom"/>
            <w:gridSpan w:val="2"/>
          </w:tcPr>
          <w:p>
            <w:pPr>
              <w:jc w:val="center"/>
              <w:ind w:right="100"/>
              <w:spacing w:after="0" w:line="165" w:lineRule="exact"/>
              <w:rPr>
                <w:sz w:val="20"/>
                <w:szCs w:val="20"/>
                <w:color w:val="auto"/>
              </w:rPr>
            </w:pPr>
            <w:r>
              <w:rPr>
                <w:rFonts w:ascii="Times New Roman" w:cs="Times New Roman" w:eastAsia="Times New Roman" w:hAnsi="Times New Roman"/>
                <w:sz w:val="16"/>
                <w:szCs w:val="16"/>
                <w:b w:val="1"/>
                <w:bCs w:val="1"/>
                <w:color w:val="auto"/>
              </w:rPr>
              <w:t>Capacity</w:t>
            </w:r>
          </w:p>
        </w:tc>
        <w:tc>
          <w:tcPr>
            <w:tcW w:w="1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gridSpan w:val="2"/>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7"/>
        </w:trPr>
        <w:tc>
          <w:tcPr>
            <w:tcW w:w="200" w:type="dxa"/>
            <w:vAlign w:val="bottom"/>
            <w:tcBorders>
              <w:bottom w:val="single" w:sz="8" w:color="auto"/>
            </w:tcBorders>
          </w:tcPr>
          <w:p>
            <w:pPr>
              <w:spacing w:after="0"/>
              <w:rPr>
                <w:sz w:val="22"/>
                <w:szCs w:val="22"/>
                <w:color w:val="auto"/>
              </w:rPr>
            </w:pPr>
          </w:p>
        </w:tc>
        <w:tc>
          <w:tcPr>
            <w:tcW w:w="2860" w:type="dxa"/>
            <w:vAlign w:val="bottom"/>
            <w:tcBorders>
              <w:bottom w:val="single" w:sz="8" w:color="auto"/>
            </w:tcBorders>
          </w:tcPr>
          <w:p>
            <w:pPr>
              <w:ind w:left="900"/>
              <w:spacing w:after="0"/>
              <w:rPr>
                <w:sz w:val="20"/>
                <w:szCs w:val="20"/>
                <w:color w:val="auto"/>
              </w:rPr>
            </w:pPr>
            <w:r>
              <w:rPr>
                <w:rFonts w:ascii="Times New Roman" w:cs="Times New Roman" w:eastAsia="Times New Roman" w:hAnsi="Times New Roman"/>
                <w:sz w:val="16"/>
                <w:szCs w:val="16"/>
                <w:b w:val="1"/>
                <w:bCs w:val="1"/>
                <w:color w:val="auto"/>
              </w:rPr>
              <w:t>Vessel Name</w:t>
            </w:r>
          </w:p>
        </w:tc>
        <w:tc>
          <w:tcPr>
            <w:tcW w:w="120" w:type="dxa"/>
            <w:vAlign w:val="bottom"/>
            <w:tcBorders>
              <w:bottom w:val="single" w:sz="8" w:color="E5FFFF"/>
            </w:tcBorders>
          </w:tcPr>
          <w:p>
            <w:pPr>
              <w:spacing w:after="0"/>
              <w:rPr>
                <w:sz w:val="22"/>
                <w:szCs w:val="22"/>
                <w:color w:val="auto"/>
              </w:rPr>
            </w:pPr>
          </w:p>
        </w:tc>
        <w:tc>
          <w:tcPr>
            <w:tcW w:w="80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6"/>
                <w:szCs w:val="16"/>
                <w:b w:val="1"/>
                <w:bCs w:val="1"/>
                <w:color w:val="auto"/>
              </w:rPr>
              <w:t>Built</w:t>
            </w:r>
          </w:p>
        </w:tc>
        <w:tc>
          <w:tcPr>
            <w:tcW w:w="120" w:type="dxa"/>
            <w:vAlign w:val="bottom"/>
            <w:tcBorders>
              <w:bottom w:val="single" w:sz="8" w:color="E5FFFF"/>
            </w:tcBorders>
          </w:tcPr>
          <w:p>
            <w:pPr>
              <w:spacing w:after="0"/>
              <w:rPr>
                <w:sz w:val="22"/>
                <w:szCs w:val="22"/>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(cbm)</w:t>
            </w:r>
          </w:p>
        </w:tc>
        <w:tc>
          <w:tcPr>
            <w:tcW w:w="100" w:type="dxa"/>
            <w:vAlign w:val="bottom"/>
            <w:tcBorders>
              <w:bottom w:val="single" w:sz="8" w:color="E5FFFF"/>
            </w:tcBorders>
          </w:tcPr>
          <w:p>
            <w:pPr>
              <w:spacing w:after="0"/>
              <w:rPr>
                <w:sz w:val="22"/>
                <w:szCs w:val="22"/>
                <w:color w:val="auto"/>
              </w:rPr>
            </w:pPr>
          </w:p>
        </w:tc>
        <w:tc>
          <w:tcPr>
            <w:tcW w:w="1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Charterer</w:t>
            </w:r>
          </w:p>
        </w:tc>
        <w:tc>
          <w:tcPr>
            <w:tcW w:w="100" w:type="dxa"/>
            <w:vAlign w:val="bottom"/>
            <w:tcBorders>
              <w:bottom w:val="single" w:sz="8" w:color="E5FFFF"/>
            </w:tcBorders>
          </w:tcPr>
          <w:p>
            <w:pPr>
              <w:spacing w:after="0"/>
              <w:rPr>
                <w:sz w:val="22"/>
                <w:szCs w:val="22"/>
                <w:color w:val="auto"/>
              </w:rPr>
            </w:pPr>
          </w:p>
        </w:tc>
        <w:tc>
          <w:tcPr>
            <w:tcW w:w="1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Propulsion</w:t>
            </w:r>
          </w:p>
        </w:tc>
        <w:tc>
          <w:tcPr>
            <w:tcW w:w="100" w:type="dxa"/>
            <w:vAlign w:val="bottom"/>
            <w:tcBorders>
              <w:bottom w:val="single" w:sz="8" w:color="E5FFFF"/>
            </w:tcBorders>
          </w:tcPr>
          <w:p>
            <w:pPr>
              <w:spacing w:after="0"/>
              <w:rPr>
                <w:sz w:val="22"/>
                <w:szCs w:val="22"/>
                <w:color w:val="auto"/>
              </w:rPr>
            </w:pPr>
          </w:p>
        </w:tc>
        <w:tc>
          <w:tcPr>
            <w:tcW w:w="1580" w:type="dxa"/>
            <w:vAlign w:val="bottom"/>
            <w:tcBorders>
              <w:bottom w:val="single" w:sz="8" w:color="auto"/>
            </w:tcBorders>
          </w:tcPr>
          <w:p>
            <w:pPr>
              <w:jc w:val="center"/>
              <w:spacing w:after="0" w:line="256" w:lineRule="exact"/>
              <w:rPr>
                <w:sz w:val="20"/>
                <w:szCs w:val="20"/>
                <w:color w:val="auto"/>
              </w:rPr>
            </w:pPr>
            <w:r>
              <w:rPr>
                <w:rFonts w:ascii="Times New Roman" w:cs="Times New Roman" w:eastAsia="Times New Roman" w:hAnsi="Times New Roman"/>
                <w:sz w:val="16"/>
                <w:szCs w:val="16"/>
                <w:b w:val="1"/>
                <w:bCs w:val="1"/>
                <w:color w:val="auto"/>
                <w:w w:val="95"/>
              </w:rPr>
              <w:t>Expiration</w:t>
            </w:r>
            <w:r>
              <w:rPr>
                <w:rFonts w:ascii="Times New Roman" w:cs="Times New Roman" w:eastAsia="Times New Roman" w:hAnsi="Times New Roman"/>
                <w:sz w:val="26"/>
                <w:szCs w:val="26"/>
                <w:b w:val="1"/>
                <w:bCs w:val="1"/>
                <w:color w:val="auto"/>
                <w:w w:val="95"/>
                <w:vertAlign w:val="superscript"/>
              </w:rPr>
              <w:t>(1)</w:t>
            </w:r>
          </w:p>
        </w:tc>
        <w:tc>
          <w:tcPr>
            <w:tcW w:w="100" w:type="dxa"/>
            <w:vAlign w:val="bottom"/>
            <w:tcBorders>
              <w:bottom w:val="single" w:sz="8" w:color="E5FFFF"/>
            </w:tcBorders>
          </w:tcPr>
          <w:p>
            <w:pPr>
              <w:spacing w:after="0"/>
              <w:rPr>
                <w:sz w:val="22"/>
                <w:szCs w:val="22"/>
                <w:color w:val="auto"/>
              </w:rPr>
            </w:pPr>
          </w:p>
        </w:tc>
        <w:tc>
          <w:tcPr>
            <w:tcW w:w="1000" w:type="dxa"/>
            <w:vAlign w:val="bottom"/>
            <w:tcBorders>
              <w:bottom w:val="single" w:sz="8" w:color="auto"/>
            </w:tcBorders>
          </w:tcPr>
          <w:p>
            <w:pPr>
              <w:jc w:val="center"/>
              <w:spacing w:after="0" w:line="256" w:lineRule="exact"/>
              <w:rPr>
                <w:sz w:val="20"/>
                <w:szCs w:val="20"/>
                <w:color w:val="auto"/>
              </w:rPr>
            </w:pPr>
            <w:r>
              <w:rPr>
                <w:rFonts w:ascii="Times New Roman" w:cs="Times New Roman" w:eastAsia="Times New Roman" w:hAnsi="Times New Roman"/>
                <w:sz w:val="16"/>
                <w:szCs w:val="16"/>
                <w:b w:val="1"/>
                <w:bCs w:val="1"/>
                <w:color w:val="auto"/>
                <w:w w:val="91"/>
              </w:rPr>
              <w:t>Period</w:t>
            </w:r>
            <w:r>
              <w:rPr>
                <w:rFonts w:ascii="Times New Roman" w:cs="Times New Roman" w:eastAsia="Times New Roman" w:hAnsi="Times New Roman"/>
                <w:sz w:val="26"/>
                <w:szCs w:val="26"/>
                <w:b w:val="1"/>
                <w:bCs w:val="1"/>
                <w:color w:val="auto"/>
                <w:w w:val="91"/>
                <w:vertAlign w:val="superscript"/>
              </w:rPr>
              <w:t>(2)</w:t>
            </w:r>
          </w:p>
        </w:tc>
        <w:tc>
          <w:tcPr>
            <w:tcW w:w="0" w:type="dxa"/>
            <w:vAlign w:val="bottom"/>
          </w:tcPr>
          <w:p>
            <w:pPr>
              <w:spacing w:after="0"/>
              <w:rPr>
                <w:sz w:val="1"/>
                <w:szCs w:val="1"/>
                <w:color w:val="auto"/>
              </w:rPr>
            </w:pPr>
          </w:p>
        </w:tc>
      </w:tr>
      <w:tr>
        <w:trPr>
          <w:trHeight w:val="236"/>
        </w:trPr>
        <w:tc>
          <w:tcPr>
            <w:tcW w:w="200" w:type="dxa"/>
            <w:vAlign w:val="bottom"/>
            <w:shd w:val="clear" w:color="auto" w:fill="E5FFFF"/>
          </w:tcPr>
          <w:p>
            <w:pPr>
              <w:spacing w:after="0"/>
              <w:rPr>
                <w:sz w:val="20"/>
                <w:szCs w:val="20"/>
                <w:color w:val="auto"/>
              </w:rPr>
            </w:pPr>
            <w:r>
              <w:rPr>
                <w:rFonts w:ascii="Times New Roman" w:cs="Times New Roman" w:eastAsia="Times New Roman" w:hAnsi="Times New Roman"/>
                <w:sz w:val="16"/>
                <w:szCs w:val="16"/>
                <w:b w:val="1"/>
                <w:bCs w:val="1"/>
                <w:color w:val="auto"/>
              </w:rPr>
              <w:t>1</w:t>
            </w:r>
          </w:p>
        </w:tc>
        <w:tc>
          <w:tcPr>
            <w:tcW w:w="2860" w:type="dxa"/>
            <w:vAlign w:val="bottom"/>
            <w:shd w:val="clear" w:color="auto" w:fill="E5FFFF"/>
          </w:tcPr>
          <w:p>
            <w:pPr>
              <w:ind w:left="40"/>
              <w:spacing w:after="0" w:line="236" w:lineRule="exact"/>
              <w:rPr>
                <w:sz w:val="20"/>
                <w:szCs w:val="20"/>
                <w:color w:val="auto"/>
              </w:rPr>
            </w:pPr>
            <w:r>
              <w:rPr>
                <w:rFonts w:ascii="Times New Roman" w:cs="Times New Roman" w:eastAsia="Times New Roman" w:hAnsi="Times New Roman"/>
                <w:sz w:val="16"/>
                <w:szCs w:val="16"/>
                <w:i w:val="1"/>
                <w:iCs w:val="1"/>
                <w:color w:val="auto"/>
              </w:rPr>
              <w:t xml:space="preserve">Alexandroupolis </w:t>
            </w:r>
            <w:r>
              <w:rPr>
                <w:rFonts w:ascii="Times New Roman" w:cs="Times New Roman" w:eastAsia="Times New Roman" w:hAnsi="Times New Roman"/>
                <w:sz w:val="26"/>
                <w:szCs w:val="26"/>
                <w:color w:val="auto"/>
                <w:vertAlign w:val="superscript"/>
              </w:rPr>
              <w:t>(3)</w:t>
            </w:r>
          </w:p>
        </w:tc>
        <w:tc>
          <w:tcPr>
            <w:tcW w:w="120" w:type="dxa"/>
            <w:vAlign w:val="bottom"/>
            <w:shd w:val="clear" w:color="auto" w:fill="E5FFFF"/>
          </w:tcPr>
          <w:p>
            <w:pPr>
              <w:spacing w:after="0"/>
              <w:rPr>
                <w:sz w:val="20"/>
                <w:szCs w:val="20"/>
                <w:color w:val="auto"/>
              </w:rPr>
            </w:pPr>
          </w:p>
        </w:tc>
        <w:tc>
          <w:tcPr>
            <w:tcW w:w="800" w:type="dxa"/>
            <w:vAlign w:val="bottom"/>
            <w:shd w:val="clear" w:color="auto" w:fill="E5FFFF"/>
          </w:tcPr>
          <w:p>
            <w:pPr>
              <w:ind w:left="240"/>
              <w:spacing w:after="0"/>
              <w:rPr>
                <w:sz w:val="20"/>
                <w:szCs w:val="20"/>
                <w:color w:val="auto"/>
              </w:rPr>
            </w:pPr>
            <w:r>
              <w:rPr>
                <w:rFonts w:ascii="Times New Roman" w:cs="Times New Roman" w:eastAsia="Times New Roman" w:hAnsi="Times New Roman"/>
                <w:sz w:val="16"/>
                <w:szCs w:val="16"/>
                <w:color w:val="auto"/>
              </w:rPr>
              <w:t>2010</w:t>
            </w:r>
          </w:p>
        </w:tc>
        <w:tc>
          <w:tcPr>
            <w:tcW w:w="120" w:type="dxa"/>
            <w:vAlign w:val="bottom"/>
            <w:shd w:val="clear" w:color="auto" w:fill="E5FFFF"/>
          </w:tcPr>
          <w:p>
            <w:pPr>
              <w:spacing w:after="0"/>
              <w:rPr>
                <w:sz w:val="20"/>
                <w:szCs w:val="20"/>
                <w:color w:val="auto"/>
              </w:rPr>
            </w:pPr>
          </w:p>
        </w:tc>
        <w:tc>
          <w:tcPr>
            <w:tcW w:w="1240" w:type="dxa"/>
            <w:vAlign w:val="bottom"/>
            <w:shd w:val="clear" w:color="auto" w:fill="E5FFFF"/>
          </w:tcPr>
          <w:p>
            <w:pPr>
              <w:jc w:val="center"/>
              <w:spacing w:after="0"/>
              <w:rPr>
                <w:sz w:val="20"/>
                <w:szCs w:val="20"/>
                <w:color w:val="auto"/>
              </w:rPr>
            </w:pPr>
            <w:r>
              <w:rPr>
                <w:rFonts w:ascii="Times New Roman" w:cs="Times New Roman" w:eastAsia="Times New Roman" w:hAnsi="Times New Roman"/>
                <w:sz w:val="16"/>
                <w:szCs w:val="16"/>
                <w:color w:val="auto"/>
                <w:w w:val="99"/>
              </w:rPr>
              <w:t>153,600</w:t>
            </w:r>
          </w:p>
        </w:tc>
        <w:tc>
          <w:tcPr>
            <w:tcW w:w="100" w:type="dxa"/>
            <w:vAlign w:val="bottom"/>
            <w:shd w:val="clear" w:color="auto" w:fill="E5FFFF"/>
          </w:tcPr>
          <w:p>
            <w:pPr>
              <w:spacing w:after="0"/>
              <w:rPr>
                <w:sz w:val="20"/>
                <w:szCs w:val="20"/>
                <w:color w:val="auto"/>
              </w:rPr>
            </w:pPr>
          </w:p>
        </w:tc>
        <w:tc>
          <w:tcPr>
            <w:tcW w:w="1680" w:type="dxa"/>
            <w:vAlign w:val="bottom"/>
            <w:gridSpan w:val="2"/>
            <w:shd w:val="clear" w:color="auto" w:fill="E5FFFF"/>
          </w:tcPr>
          <w:p>
            <w:pPr>
              <w:jc w:val="center"/>
              <w:ind w:right="80"/>
              <w:spacing w:after="0"/>
              <w:rPr>
                <w:sz w:val="20"/>
                <w:szCs w:val="20"/>
                <w:color w:val="auto"/>
              </w:rPr>
            </w:pPr>
            <w:r>
              <w:rPr>
                <w:rFonts w:ascii="Times New Roman" w:cs="Times New Roman" w:eastAsia="Times New Roman" w:hAnsi="Times New Roman"/>
                <w:sz w:val="16"/>
                <w:szCs w:val="16"/>
                <w:color w:val="auto"/>
              </w:rPr>
              <w:t>n/a</w:t>
            </w:r>
          </w:p>
        </w:tc>
        <w:tc>
          <w:tcPr>
            <w:tcW w:w="1440" w:type="dxa"/>
            <w:vAlign w:val="bottom"/>
            <w:gridSpan w:val="2"/>
            <w:shd w:val="clear" w:color="auto" w:fill="E5FFFF"/>
          </w:tcPr>
          <w:p>
            <w:pPr>
              <w:jc w:val="center"/>
              <w:ind w:right="100"/>
              <w:spacing w:after="0"/>
              <w:rPr>
                <w:sz w:val="20"/>
                <w:szCs w:val="20"/>
                <w:color w:val="auto"/>
              </w:rPr>
            </w:pPr>
            <w:r>
              <w:rPr>
                <w:rFonts w:ascii="Times New Roman" w:cs="Times New Roman" w:eastAsia="Times New Roman" w:hAnsi="Times New Roman"/>
                <w:sz w:val="16"/>
                <w:szCs w:val="16"/>
                <w:color w:val="auto"/>
              </w:rPr>
              <w:t>TFDE</w:t>
            </w:r>
          </w:p>
        </w:tc>
        <w:tc>
          <w:tcPr>
            <w:tcW w:w="1680" w:type="dxa"/>
            <w:vAlign w:val="bottom"/>
            <w:gridSpan w:val="2"/>
            <w:shd w:val="clear" w:color="auto" w:fill="E5FFFF"/>
          </w:tcPr>
          <w:p>
            <w:pPr>
              <w:jc w:val="center"/>
              <w:ind w:right="100"/>
              <w:spacing w:after="0"/>
              <w:rPr>
                <w:sz w:val="20"/>
                <w:szCs w:val="20"/>
                <w:color w:val="auto"/>
              </w:rPr>
            </w:pPr>
            <w:r>
              <w:rPr>
                <w:rFonts w:ascii="Times New Roman" w:cs="Times New Roman" w:eastAsia="Times New Roman" w:hAnsi="Times New Roman"/>
                <w:sz w:val="16"/>
                <w:szCs w:val="16"/>
                <w:color w:val="auto"/>
                <w:w w:val="91"/>
              </w:rPr>
              <w:t>n/a</w:t>
            </w:r>
          </w:p>
        </w:tc>
        <w:tc>
          <w:tcPr>
            <w:tcW w:w="1000" w:type="dxa"/>
            <w:vAlign w:val="bottom"/>
            <w:shd w:val="clear" w:color="auto" w:fill="E5FFFF"/>
          </w:tcPr>
          <w:p>
            <w:pPr>
              <w:jc w:val="center"/>
              <w:spacing w:after="0"/>
              <w:rPr>
                <w:sz w:val="20"/>
                <w:szCs w:val="20"/>
                <w:color w:val="auto"/>
              </w:rPr>
            </w:pPr>
            <w:r>
              <w:rPr>
                <w:rFonts w:ascii="Times New Roman" w:cs="Times New Roman" w:eastAsia="Times New Roman" w:hAnsi="Times New Roman"/>
                <w:sz w:val="16"/>
                <w:szCs w:val="16"/>
                <w:color w:val="auto"/>
              </w:rPr>
              <w:t>n/a</w:t>
            </w:r>
          </w:p>
        </w:tc>
        <w:tc>
          <w:tcPr>
            <w:tcW w:w="0" w:type="dxa"/>
            <w:vAlign w:val="bottom"/>
          </w:tcPr>
          <w:p>
            <w:pPr>
              <w:spacing w:after="0"/>
              <w:rPr>
                <w:sz w:val="1"/>
                <w:szCs w:val="1"/>
                <w:color w:val="auto"/>
              </w:rPr>
            </w:pPr>
          </w:p>
        </w:tc>
      </w:tr>
      <w:tr>
        <w:trPr>
          <w:trHeight w:val="203"/>
        </w:trPr>
        <w:tc>
          <w:tcPr>
            <w:tcW w:w="2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2</w:t>
            </w:r>
          </w:p>
        </w:tc>
        <w:tc>
          <w:tcPr>
            <w:tcW w:w="2980" w:type="dxa"/>
            <w:vAlign w:val="bottom"/>
            <w:gridSpan w:val="2"/>
          </w:tcPr>
          <w:p>
            <w:pPr>
              <w:ind w:left="40"/>
              <w:spacing w:after="0"/>
              <w:rPr>
                <w:sz w:val="20"/>
                <w:szCs w:val="20"/>
                <w:color w:val="auto"/>
              </w:rPr>
            </w:pPr>
            <w:r>
              <w:rPr>
                <w:rFonts w:ascii="Times New Roman" w:cs="Times New Roman" w:eastAsia="Times New Roman" w:hAnsi="Times New Roman"/>
                <w:sz w:val="16"/>
                <w:szCs w:val="16"/>
                <w:i w:val="1"/>
                <w:iCs w:val="1"/>
                <w:color w:val="auto"/>
              </w:rPr>
              <w:t>Methane Jane Elizabeth*</w:t>
            </w:r>
          </w:p>
        </w:tc>
        <w:tc>
          <w:tcPr>
            <w:tcW w:w="8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2006</w:t>
            </w:r>
          </w:p>
        </w:tc>
        <w:tc>
          <w:tcPr>
            <w:tcW w:w="120" w:type="dxa"/>
            <w:vAlign w:val="bottom"/>
          </w:tcPr>
          <w:p>
            <w:pPr>
              <w:spacing w:after="0"/>
              <w:rPr>
                <w:sz w:val="17"/>
                <w:szCs w:val="17"/>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145,000</w:t>
            </w:r>
          </w:p>
        </w:tc>
        <w:tc>
          <w:tcPr>
            <w:tcW w:w="100" w:type="dxa"/>
            <w:vAlign w:val="bottom"/>
          </w:tcPr>
          <w:p>
            <w:pPr>
              <w:spacing w:after="0"/>
              <w:rPr>
                <w:sz w:val="17"/>
                <w:szCs w:val="17"/>
                <w:color w:val="auto"/>
              </w:rPr>
            </w:pPr>
          </w:p>
        </w:tc>
        <w:tc>
          <w:tcPr>
            <w:tcW w:w="16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Cheniere</w:t>
            </w:r>
          </w:p>
        </w:tc>
        <w:tc>
          <w:tcPr>
            <w:tcW w:w="14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Steam</w:t>
            </w:r>
          </w:p>
        </w:tc>
        <w:tc>
          <w:tcPr>
            <w:tcW w:w="16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March 2025</w:t>
            </w:r>
          </w:p>
        </w:tc>
        <w:tc>
          <w:tcPr>
            <w:tcW w:w="10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190"/>
        </w:trPr>
        <w:tc>
          <w:tcPr>
            <w:tcW w:w="200" w:type="dxa"/>
            <w:vAlign w:val="bottom"/>
            <w:shd w:val="clear" w:color="auto" w:fill="E5FFFF"/>
          </w:tcPr>
          <w:p>
            <w:pPr>
              <w:spacing w:after="0"/>
              <w:rPr>
                <w:sz w:val="16"/>
                <w:szCs w:val="16"/>
                <w:color w:val="auto"/>
              </w:rPr>
            </w:pPr>
          </w:p>
        </w:tc>
        <w:tc>
          <w:tcPr>
            <w:tcW w:w="2860" w:type="dxa"/>
            <w:vAlign w:val="bottom"/>
            <w:shd w:val="clear" w:color="auto" w:fill="E5FFFF"/>
          </w:tcPr>
          <w:p>
            <w:pPr>
              <w:spacing w:after="0"/>
              <w:rPr>
                <w:sz w:val="16"/>
                <w:szCs w:val="16"/>
                <w:color w:val="auto"/>
              </w:rPr>
            </w:pPr>
          </w:p>
        </w:tc>
        <w:tc>
          <w:tcPr>
            <w:tcW w:w="120" w:type="dxa"/>
            <w:vAlign w:val="bottom"/>
            <w:shd w:val="clear" w:color="auto" w:fill="E5FFFF"/>
          </w:tcPr>
          <w:p>
            <w:pPr>
              <w:spacing w:after="0"/>
              <w:rPr>
                <w:sz w:val="16"/>
                <w:szCs w:val="16"/>
                <w:color w:val="auto"/>
              </w:rPr>
            </w:pPr>
          </w:p>
        </w:tc>
        <w:tc>
          <w:tcPr>
            <w:tcW w:w="800" w:type="dxa"/>
            <w:vAlign w:val="bottom"/>
            <w:shd w:val="clear" w:color="auto" w:fill="E5FFFF"/>
          </w:tcPr>
          <w:p>
            <w:pPr>
              <w:spacing w:after="0"/>
              <w:rPr>
                <w:sz w:val="16"/>
                <w:szCs w:val="16"/>
                <w:color w:val="auto"/>
              </w:rPr>
            </w:pPr>
          </w:p>
        </w:tc>
        <w:tc>
          <w:tcPr>
            <w:tcW w:w="120" w:type="dxa"/>
            <w:vAlign w:val="bottom"/>
            <w:shd w:val="clear" w:color="auto" w:fill="E5FFFF"/>
          </w:tcPr>
          <w:p>
            <w:pPr>
              <w:spacing w:after="0"/>
              <w:rPr>
                <w:sz w:val="16"/>
                <w:szCs w:val="16"/>
                <w:color w:val="auto"/>
              </w:rPr>
            </w:pPr>
          </w:p>
        </w:tc>
        <w:tc>
          <w:tcPr>
            <w:tcW w:w="1240" w:type="dxa"/>
            <w:vAlign w:val="bottom"/>
            <w:shd w:val="clear" w:color="auto" w:fill="E5FFFF"/>
          </w:tcPr>
          <w:p>
            <w:pPr>
              <w:spacing w:after="0"/>
              <w:rPr>
                <w:sz w:val="16"/>
                <w:szCs w:val="16"/>
                <w:color w:val="auto"/>
              </w:rPr>
            </w:pPr>
          </w:p>
        </w:tc>
        <w:tc>
          <w:tcPr>
            <w:tcW w:w="100" w:type="dxa"/>
            <w:vAlign w:val="bottom"/>
            <w:shd w:val="clear" w:color="auto" w:fill="E5FFFF"/>
          </w:tcPr>
          <w:p>
            <w:pPr>
              <w:spacing w:after="0"/>
              <w:rPr>
                <w:sz w:val="16"/>
                <w:szCs w:val="16"/>
                <w:color w:val="auto"/>
              </w:rPr>
            </w:pPr>
          </w:p>
        </w:tc>
        <w:tc>
          <w:tcPr>
            <w:tcW w:w="1680" w:type="dxa"/>
            <w:vAlign w:val="bottom"/>
            <w:gridSpan w:val="2"/>
            <w:shd w:val="clear" w:color="auto" w:fill="E5FFFF"/>
          </w:tcPr>
          <w:p>
            <w:pPr>
              <w:jc w:val="center"/>
              <w:ind w:right="100"/>
              <w:spacing w:after="0"/>
              <w:rPr>
                <w:sz w:val="20"/>
                <w:szCs w:val="20"/>
                <w:color w:val="auto"/>
              </w:rPr>
            </w:pPr>
            <w:r>
              <w:rPr>
                <w:rFonts w:ascii="Times New Roman" w:cs="Times New Roman" w:eastAsia="Times New Roman" w:hAnsi="Times New Roman"/>
                <w:sz w:val="16"/>
                <w:szCs w:val="16"/>
                <w:color w:val="auto"/>
              </w:rPr>
              <w:t>Energy Trading</w:t>
            </w:r>
          </w:p>
        </w:tc>
        <w:tc>
          <w:tcPr>
            <w:tcW w:w="1340" w:type="dxa"/>
            <w:vAlign w:val="bottom"/>
            <w:shd w:val="clear" w:color="auto" w:fill="E5FFFF"/>
          </w:tcPr>
          <w:p>
            <w:pPr>
              <w:spacing w:after="0"/>
              <w:rPr>
                <w:sz w:val="16"/>
                <w:szCs w:val="16"/>
                <w:color w:val="auto"/>
              </w:rPr>
            </w:pPr>
          </w:p>
        </w:tc>
        <w:tc>
          <w:tcPr>
            <w:tcW w:w="100" w:type="dxa"/>
            <w:vAlign w:val="bottom"/>
            <w:shd w:val="clear" w:color="auto" w:fill="E5FFFF"/>
          </w:tcPr>
          <w:p>
            <w:pPr>
              <w:spacing w:after="0"/>
              <w:rPr>
                <w:sz w:val="16"/>
                <w:szCs w:val="16"/>
                <w:color w:val="auto"/>
              </w:rPr>
            </w:pPr>
          </w:p>
        </w:tc>
        <w:tc>
          <w:tcPr>
            <w:tcW w:w="1580" w:type="dxa"/>
            <w:vAlign w:val="bottom"/>
            <w:shd w:val="clear" w:color="auto" w:fill="E5FFFF"/>
          </w:tcPr>
          <w:p>
            <w:pPr>
              <w:spacing w:after="0"/>
              <w:rPr>
                <w:sz w:val="16"/>
                <w:szCs w:val="16"/>
                <w:color w:val="auto"/>
              </w:rPr>
            </w:pPr>
          </w:p>
        </w:tc>
        <w:tc>
          <w:tcPr>
            <w:tcW w:w="100" w:type="dxa"/>
            <w:vAlign w:val="bottom"/>
            <w:shd w:val="clear" w:color="auto" w:fill="E5FFFF"/>
          </w:tcPr>
          <w:p>
            <w:pPr>
              <w:spacing w:after="0"/>
              <w:rPr>
                <w:sz w:val="16"/>
                <w:szCs w:val="16"/>
                <w:color w:val="auto"/>
              </w:rPr>
            </w:pPr>
          </w:p>
        </w:tc>
        <w:tc>
          <w:tcPr>
            <w:tcW w:w="1000" w:type="dxa"/>
            <w:vAlign w:val="bottom"/>
            <w:shd w:val="clear" w:color="auto" w:fill="E5FFFF"/>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200" w:type="dxa"/>
            <w:vAlign w:val="bottom"/>
            <w:shd w:val="clear" w:color="auto" w:fill="E5FFFF"/>
          </w:tcPr>
          <w:p>
            <w:pPr>
              <w:spacing w:after="0"/>
              <w:rPr>
                <w:sz w:val="20"/>
                <w:szCs w:val="20"/>
                <w:color w:val="auto"/>
              </w:rPr>
            </w:pPr>
            <w:r>
              <w:rPr>
                <w:rFonts w:ascii="Times New Roman" w:cs="Times New Roman" w:eastAsia="Times New Roman" w:hAnsi="Times New Roman"/>
                <w:sz w:val="16"/>
                <w:szCs w:val="16"/>
                <w:b w:val="1"/>
                <w:bCs w:val="1"/>
                <w:color w:val="auto"/>
              </w:rPr>
              <w:t>3</w:t>
            </w:r>
          </w:p>
        </w:tc>
        <w:tc>
          <w:tcPr>
            <w:tcW w:w="2980" w:type="dxa"/>
            <w:vAlign w:val="bottom"/>
            <w:gridSpan w:val="2"/>
            <w:shd w:val="clear" w:color="auto" w:fill="E5FFFF"/>
          </w:tcPr>
          <w:p>
            <w:pPr>
              <w:ind w:left="40"/>
              <w:spacing w:after="0"/>
              <w:rPr>
                <w:sz w:val="20"/>
                <w:szCs w:val="20"/>
                <w:color w:val="auto"/>
              </w:rPr>
            </w:pPr>
            <w:r>
              <w:rPr>
                <w:rFonts w:ascii="Times New Roman" w:cs="Times New Roman" w:eastAsia="Times New Roman" w:hAnsi="Times New Roman"/>
                <w:sz w:val="16"/>
                <w:szCs w:val="16"/>
                <w:i w:val="1"/>
                <w:iCs w:val="1"/>
                <w:color w:val="auto"/>
              </w:rPr>
              <w:t>GasLog Seattle*</w:t>
            </w:r>
          </w:p>
        </w:tc>
        <w:tc>
          <w:tcPr>
            <w:tcW w:w="800" w:type="dxa"/>
            <w:vAlign w:val="bottom"/>
            <w:shd w:val="clear" w:color="auto" w:fill="E5FFFF"/>
          </w:tcPr>
          <w:p>
            <w:pPr>
              <w:ind w:left="240"/>
              <w:spacing w:after="0"/>
              <w:rPr>
                <w:sz w:val="20"/>
                <w:szCs w:val="20"/>
                <w:color w:val="auto"/>
              </w:rPr>
            </w:pPr>
            <w:r>
              <w:rPr>
                <w:rFonts w:ascii="Times New Roman" w:cs="Times New Roman" w:eastAsia="Times New Roman" w:hAnsi="Times New Roman"/>
                <w:sz w:val="16"/>
                <w:szCs w:val="16"/>
                <w:color w:val="auto"/>
              </w:rPr>
              <w:t>2013</w:t>
            </w:r>
          </w:p>
        </w:tc>
        <w:tc>
          <w:tcPr>
            <w:tcW w:w="120" w:type="dxa"/>
            <w:vAlign w:val="bottom"/>
            <w:shd w:val="clear" w:color="auto" w:fill="E5FFFF"/>
          </w:tcPr>
          <w:p>
            <w:pPr>
              <w:spacing w:after="0"/>
              <w:rPr>
                <w:sz w:val="22"/>
                <w:szCs w:val="22"/>
                <w:color w:val="auto"/>
              </w:rPr>
            </w:pPr>
          </w:p>
        </w:tc>
        <w:tc>
          <w:tcPr>
            <w:tcW w:w="1240" w:type="dxa"/>
            <w:vAlign w:val="bottom"/>
            <w:shd w:val="clear" w:color="auto" w:fill="E5FFFF"/>
          </w:tcPr>
          <w:p>
            <w:pPr>
              <w:jc w:val="center"/>
              <w:spacing w:after="0"/>
              <w:rPr>
                <w:sz w:val="20"/>
                <w:szCs w:val="20"/>
                <w:color w:val="auto"/>
              </w:rPr>
            </w:pPr>
            <w:r>
              <w:rPr>
                <w:rFonts w:ascii="Times New Roman" w:cs="Times New Roman" w:eastAsia="Times New Roman" w:hAnsi="Times New Roman"/>
                <w:sz w:val="16"/>
                <w:szCs w:val="16"/>
                <w:color w:val="auto"/>
                <w:w w:val="99"/>
              </w:rPr>
              <w:t>155,000</w:t>
            </w:r>
          </w:p>
        </w:tc>
        <w:tc>
          <w:tcPr>
            <w:tcW w:w="100" w:type="dxa"/>
            <w:vAlign w:val="bottom"/>
            <w:shd w:val="clear" w:color="auto" w:fill="E5FFFF"/>
          </w:tcPr>
          <w:p>
            <w:pPr>
              <w:spacing w:after="0"/>
              <w:rPr>
                <w:sz w:val="22"/>
                <w:szCs w:val="22"/>
                <w:color w:val="auto"/>
              </w:rPr>
            </w:pPr>
          </w:p>
        </w:tc>
        <w:tc>
          <w:tcPr>
            <w:tcW w:w="1680" w:type="dxa"/>
            <w:vAlign w:val="bottom"/>
            <w:gridSpan w:val="2"/>
            <w:shd w:val="clear" w:color="auto" w:fill="E5FFFF"/>
          </w:tcPr>
          <w:p>
            <w:pPr>
              <w:jc w:val="center"/>
              <w:ind w:right="100"/>
              <w:spacing w:after="0" w:line="256" w:lineRule="exact"/>
              <w:rPr>
                <w:sz w:val="20"/>
                <w:szCs w:val="20"/>
                <w:color w:val="auto"/>
              </w:rPr>
            </w:pPr>
            <w:r>
              <w:rPr>
                <w:rFonts w:ascii="Times New Roman" w:cs="Times New Roman" w:eastAsia="Times New Roman" w:hAnsi="Times New Roman"/>
                <w:sz w:val="16"/>
                <w:szCs w:val="16"/>
                <w:color w:val="auto"/>
                <w:w w:val="94"/>
              </w:rPr>
              <w:t xml:space="preserve">Company </w:t>
            </w:r>
            <w:r>
              <w:rPr>
                <w:rFonts w:ascii="Times New Roman" w:cs="Times New Roman" w:eastAsia="Times New Roman" w:hAnsi="Times New Roman"/>
                <w:sz w:val="26"/>
                <w:szCs w:val="26"/>
                <w:color w:val="auto"/>
                <w:w w:val="94"/>
                <w:vertAlign w:val="superscript"/>
              </w:rPr>
              <w:t>(4)</w:t>
            </w:r>
          </w:p>
        </w:tc>
        <w:tc>
          <w:tcPr>
            <w:tcW w:w="1440" w:type="dxa"/>
            <w:vAlign w:val="bottom"/>
            <w:gridSpan w:val="2"/>
            <w:shd w:val="clear" w:color="auto" w:fill="E5FFFF"/>
          </w:tcPr>
          <w:p>
            <w:pPr>
              <w:jc w:val="center"/>
              <w:ind w:right="100"/>
              <w:spacing w:after="0"/>
              <w:rPr>
                <w:sz w:val="20"/>
                <w:szCs w:val="20"/>
                <w:color w:val="auto"/>
              </w:rPr>
            </w:pPr>
            <w:r>
              <w:rPr>
                <w:rFonts w:ascii="Times New Roman" w:cs="Times New Roman" w:eastAsia="Times New Roman" w:hAnsi="Times New Roman"/>
                <w:sz w:val="16"/>
                <w:szCs w:val="16"/>
                <w:color w:val="auto"/>
              </w:rPr>
              <w:t>TFDE</w:t>
            </w:r>
          </w:p>
        </w:tc>
        <w:tc>
          <w:tcPr>
            <w:tcW w:w="1680" w:type="dxa"/>
            <w:vAlign w:val="bottom"/>
            <w:gridSpan w:val="2"/>
            <w:shd w:val="clear" w:color="auto" w:fill="E5FFFF"/>
          </w:tcPr>
          <w:p>
            <w:pPr>
              <w:jc w:val="center"/>
              <w:ind w:right="100"/>
              <w:spacing w:after="0"/>
              <w:rPr>
                <w:sz w:val="20"/>
                <w:szCs w:val="20"/>
                <w:color w:val="auto"/>
              </w:rPr>
            </w:pPr>
            <w:r>
              <w:rPr>
                <w:rFonts w:ascii="Times New Roman" w:cs="Times New Roman" w:eastAsia="Times New Roman" w:hAnsi="Times New Roman"/>
                <w:sz w:val="16"/>
                <w:szCs w:val="16"/>
                <w:color w:val="auto"/>
              </w:rPr>
              <w:t>March 2024</w:t>
            </w:r>
          </w:p>
        </w:tc>
        <w:tc>
          <w:tcPr>
            <w:tcW w:w="1000" w:type="dxa"/>
            <w:vAlign w:val="bottom"/>
            <w:shd w:val="clear" w:color="auto" w:fill="E5FF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189"/>
        </w:trPr>
        <w:tc>
          <w:tcPr>
            <w:tcW w:w="20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4</w:t>
            </w:r>
          </w:p>
        </w:tc>
        <w:tc>
          <w:tcPr>
            <w:tcW w:w="298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i w:val="1"/>
                <w:iCs w:val="1"/>
                <w:color w:val="auto"/>
              </w:rPr>
              <w:t>GasLog Savannah</w:t>
            </w: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Multinational Oil and</w:t>
            </w: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w w:val="92"/>
              </w:rPr>
              <w:t xml:space="preserve">2025 </w:t>
            </w:r>
            <w:r>
              <w:rPr>
                <w:rFonts w:ascii="Times New Roman" w:cs="Times New Roman" w:eastAsia="Times New Roman" w:hAnsi="Times New Roman"/>
                <w:sz w:val="26"/>
                <w:szCs w:val="26"/>
                <w:color w:val="auto"/>
                <w:w w:val="92"/>
                <w:vertAlign w:val="superscript"/>
              </w:rPr>
              <w:t>(5)</w:t>
            </w:r>
          </w:p>
        </w:tc>
        <w:tc>
          <w:tcPr>
            <w:tcW w:w="0" w:type="dxa"/>
            <w:vAlign w:val="bottom"/>
          </w:tcPr>
          <w:p>
            <w:pPr>
              <w:spacing w:after="0"/>
              <w:rPr>
                <w:sz w:val="1"/>
                <w:szCs w:val="1"/>
                <w:color w:val="auto"/>
              </w:rPr>
            </w:pPr>
          </w:p>
        </w:tc>
      </w:tr>
      <w:tr>
        <w:trPr>
          <w:trHeight w:val="216"/>
        </w:trPr>
        <w:tc>
          <w:tcPr>
            <w:tcW w:w="200" w:type="dxa"/>
            <w:vAlign w:val="bottom"/>
            <w:vMerge w:val="continue"/>
          </w:tcPr>
          <w:p>
            <w:pPr>
              <w:spacing w:after="0"/>
              <w:rPr>
                <w:sz w:val="18"/>
                <w:szCs w:val="18"/>
                <w:color w:val="auto"/>
              </w:rPr>
            </w:pPr>
          </w:p>
        </w:tc>
        <w:tc>
          <w:tcPr>
            <w:tcW w:w="2980" w:type="dxa"/>
            <w:vAlign w:val="bottom"/>
            <w:gridSpan w:val="2"/>
            <w:vMerge w:val="continue"/>
          </w:tcPr>
          <w:p>
            <w:pPr>
              <w:spacing w:after="0"/>
              <w:rPr>
                <w:sz w:val="18"/>
                <w:szCs w:val="18"/>
                <w:color w:val="auto"/>
              </w:rPr>
            </w:pPr>
          </w:p>
        </w:tc>
        <w:tc>
          <w:tcPr>
            <w:tcW w:w="8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2010</w:t>
            </w:r>
          </w:p>
        </w:tc>
        <w:tc>
          <w:tcPr>
            <w:tcW w:w="12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155,000</w:t>
            </w:r>
          </w:p>
        </w:tc>
        <w:tc>
          <w:tcPr>
            <w:tcW w:w="100" w:type="dxa"/>
            <w:vAlign w:val="bottom"/>
          </w:tcPr>
          <w:p>
            <w:pPr>
              <w:spacing w:after="0"/>
              <w:rPr>
                <w:sz w:val="18"/>
                <w:szCs w:val="18"/>
                <w:color w:val="auto"/>
              </w:rPr>
            </w:pPr>
          </w:p>
        </w:tc>
        <w:tc>
          <w:tcPr>
            <w:tcW w:w="168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rPr>
              <w:t>Gas Company</w:t>
            </w:r>
          </w:p>
        </w:tc>
        <w:tc>
          <w:tcPr>
            <w:tcW w:w="14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TFDE</w:t>
            </w:r>
          </w:p>
        </w:tc>
        <w:tc>
          <w:tcPr>
            <w:tcW w:w="16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8"/>
              </w:rPr>
              <w:t>July 2024</w:t>
            </w:r>
          </w:p>
        </w:tc>
        <w:tc>
          <w:tcPr>
            <w:tcW w:w="10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0" w:type="dxa"/>
            <w:vAlign w:val="bottom"/>
            <w:shd w:val="clear" w:color="auto" w:fill="E5FFFF"/>
          </w:tcPr>
          <w:p>
            <w:pPr>
              <w:spacing w:after="0"/>
              <w:rPr>
                <w:sz w:val="20"/>
                <w:szCs w:val="20"/>
                <w:color w:val="auto"/>
              </w:rPr>
            </w:pPr>
            <w:r>
              <w:rPr>
                <w:rFonts w:ascii="Times New Roman" w:cs="Times New Roman" w:eastAsia="Times New Roman" w:hAnsi="Times New Roman"/>
                <w:sz w:val="16"/>
                <w:szCs w:val="16"/>
                <w:b w:val="1"/>
                <w:bCs w:val="1"/>
                <w:color w:val="auto"/>
              </w:rPr>
              <w:t>5</w:t>
            </w:r>
          </w:p>
        </w:tc>
        <w:tc>
          <w:tcPr>
            <w:tcW w:w="2980" w:type="dxa"/>
            <w:vAlign w:val="bottom"/>
            <w:gridSpan w:val="2"/>
            <w:shd w:val="clear" w:color="auto" w:fill="E5FFFF"/>
          </w:tcPr>
          <w:p>
            <w:pPr>
              <w:ind w:left="40"/>
              <w:spacing w:after="0"/>
              <w:rPr>
                <w:sz w:val="20"/>
                <w:szCs w:val="20"/>
                <w:color w:val="auto"/>
              </w:rPr>
            </w:pPr>
            <w:r>
              <w:rPr>
                <w:rFonts w:ascii="Times New Roman" w:cs="Times New Roman" w:eastAsia="Times New Roman" w:hAnsi="Times New Roman"/>
                <w:sz w:val="16"/>
                <w:szCs w:val="16"/>
                <w:i w:val="1"/>
                <w:iCs w:val="1"/>
                <w:color w:val="auto"/>
              </w:rPr>
              <w:t>Methane Alison Victoria*</w:t>
            </w:r>
          </w:p>
        </w:tc>
        <w:tc>
          <w:tcPr>
            <w:tcW w:w="800" w:type="dxa"/>
            <w:vAlign w:val="bottom"/>
            <w:shd w:val="clear" w:color="auto" w:fill="E5FFFF"/>
          </w:tcPr>
          <w:p>
            <w:pPr>
              <w:ind w:left="240"/>
              <w:spacing w:after="0"/>
              <w:rPr>
                <w:sz w:val="20"/>
                <w:szCs w:val="20"/>
                <w:color w:val="auto"/>
              </w:rPr>
            </w:pPr>
            <w:r>
              <w:rPr>
                <w:rFonts w:ascii="Times New Roman" w:cs="Times New Roman" w:eastAsia="Times New Roman" w:hAnsi="Times New Roman"/>
                <w:sz w:val="16"/>
                <w:szCs w:val="16"/>
                <w:color w:val="auto"/>
              </w:rPr>
              <w:t>2007</w:t>
            </w:r>
          </w:p>
        </w:tc>
        <w:tc>
          <w:tcPr>
            <w:tcW w:w="120" w:type="dxa"/>
            <w:vAlign w:val="bottom"/>
            <w:shd w:val="clear" w:color="auto" w:fill="E5FFFF"/>
          </w:tcPr>
          <w:p>
            <w:pPr>
              <w:spacing w:after="0"/>
              <w:rPr>
                <w:sz w:val="21"/>
                <w:szCs w:val="21"/>
                <w:color w:val="auto"/>
              </w:rPr>
            </w:pPr>
          </w:p>
        </w:tc>
        <w:tc>
          <w:tcPr>
            <w:tcW w:w="1240" w:type="dxa"/>
            <w:vAlign w:val="bottom"/>
            <w:shd w:val="clear" w:color="auto" w:fill="E5FFFF"/>
          </w:tcPr>
          <w:p>
            <w:pPr>
              <w:jc w:val="center"/>
              <w:spacing w:after="0"/>
              <w:rPr>
                <w:sz w:val="20"/>
                <w:szCs w:val="20"/>
                <w:color w:val="auto"/>
              </w:rPr>
            </w:pPr>
            <w:r>
              <w:rPr>
                <w:rFonts w:ascii="Times New Roman" w:cs="Times New Roman" w:eastAsia="Times New Roman" w:hAnsi="Times New Roman"/>
                <w:sz w:val="16"/>
                <w:szCs w:val="16"/>
                <w:color w:val="auto"/>
                <w:w w:val="99"/>
              </w:rPr>
              <w:t>145,000</w:t>
            </w:r>
          </w:p>
        </w:tc>
        <w:tc>
          <w:tcPr>
            <w:tcW w:w="100" w:type="dxa"/>
            <w:vAlign w:val="bottom"/>
            <w:shd w:val="clear" w:color="auto" w:fill="E5FFFF"/>
          </w:tcPr>
          <w:p>
            <w:pPr>
              <w:spacing w:after="0"/>
              <w:rPr>
                <w:sz w:val="21"/>
                <w:szCs w:val="21"/>
                <w:color w:val="auto"/>
              </w:rPr>
            </w:pPr>
          </w:p>
        </w:tc>
        <w:tc>
          <w:tcPr>
            <w:tcW w:w="1680" w:type="dxa"/>
            <w:vAlign w:val="bottom"/>
            <w:gridSpan w:val="2"/>
            <w:shd w:val="clear" w:color="auto" w:fill="E5FFFF"/>
          </w:tcPr>
          <w:p>
            <w:pPr>
              <w:jc w:val="center"/>
              <w:ind w:right="100"/>
              <w:spacing w:after="0" w:line="243" w:lineRule="exact"/>
              <w:rPr>
                <w:sz w:val="20"/>
                <w:szCs w:val="20"/>
                <w:color w:val="auto"/>
              </w:rPr>
            </w:pPr>
            <w:r>
              <w:rPr>
                <w:rFonts w:ascii="Times New Roman" w:cs="Times New Roman" w:eastAsia="Times New Roman" w:hAnsi="Times New Roman"/>
                <w:sz w:val="16"/>
                <w:szCs w:val="16"/>
                <w:color w:val="auto"/>
                <w:w w:val="97"/>
              </w:rPr>
              <w:t xml:space="preserve">CNTIC VPower </w:t>
            </w:r>
            <w:r>
              <w:rPr>
                <w:rFonts w:ascii="Times New Roman" w:cs="Times New Roman" w:eastAsia="Times New Roman" w:hAnsi="Times New Roman"/>
                <w:sz w:val="26"/>
                <w:szCs w:val="26"/>
                <w:color w:val="auto"/>
                <w:w w:val="97"/>
                <w:vertAlign w:val="superscript"/>
              </w:rPr>
              <w:t>(6)</w:t>
            </w:r>
          </w:p>
        </w:tc>
        <w:tc>
          <w:tcPr>
            <w:tcW w:w="1440" w:type="dxa"/>
            <w:vAlign w:val="bottom"/>
            <w:gridSpan w:val="2"/>
            <w:shd w:val="clear" w:color="auto" w:fill="E5FFFF"/>
          </w:tcPr>
          <w:p>
            <w:pPr>
              <w:jc w:val="center"/>
              <w:ind w:right="100"/>
              <w:spacing w:after="0"/>
              <w:rPr>
                <w:sz w:val="20"/>
                <w:szCs w:val="20"/>
                <w:color w:val="auto"/>
              </w:rPr>
            </w:pPr>
            <w:r>
              <w:rPr>
                <w:rFonts w:ascii="Times New Roman" w:cs="Times New Roman" w:eastAsia="Times New Roman" w:hAnsi="Times New Roman"/>
                <w:sz w:val="16"/>
                <w:szCs w:val="16"/>
                <w:color w:val="auto"/>
              </w:rPr>
              <w:t>Steam</w:t>
            </w:r>
          </w:p>
        </w:tc>
        <w:tc>
          <w:tcPr>
            <w:tcW w:w="1680" w:type="dxa"/>
            <w:vAlign w:val="bottom"/>
            <w:gridSpan w:val="2"/>
            <w:shd w:val="clear" w:color="auto" w:fill="E5FFFF"/>
          </w:tcPr>
          <w:p>
            <w:pPr>
              <w:jc w:val="center"/>
              <w:ind w:right="100"/>
              <w:spacing w:after="0"/>
              <w:rPr>
                <w:sz w:val="20"/>
                <w:szCs w:val="20"/>
                <w:color w:val="auto"/>
              </w:rPr>
            </w:pPr>
            <w:r>
              <w:rPr>
                <w:rFonts w:ascii="Times New Roman" w:cs="Times New Roman" w:eastAsia="Times New Roman" w:hAnsi="Times New Roman"/>
                <w:sz w:val="16"/>
                <w:szCs w:val="16"/>
                <w:color w:val="auto"/>
              </w:rPr>
              <w:t>October 2024</w:t>
            </w:r>
          </w:p>
        </w:tc>
        <w:tc>
          <w:tcPr>
            <w:tcW w:w="1000" w:type="dxa"/>
            <w:vAlign w:val="bottom"/>
            <w:shd w:val="clear" w:color="auto" w:fill="E5FFFF"/>
          </w:tcPr>
          <w:p>
            <w:pPr>
              <w:jc w:val="center"/>
              <w:spacing w:after="0" w:line="243" w:lineRule="exact"/>
              <w:rPr>
                <w:sz w:val="20"/>
                <w:szCs w:val="20"/>
                <w:color w:val="auto"/>
              </w:rPr>
            </w:pPr>
            <w:r>
              <w:rPr>
                <w:rFonts w:ascii="Times New Roman" w:cs="Times New Roman" w:eastAsia="Times New Roman" w:hAnsi="Times New Roman"/>
                <w:sz w:val="16"/>
                <w:szCs w:val="16"/>
                <w:color w:val="auto"/>
                <w:w w:val="92"/>
              </w:rPr>
              <w:t xml:space="preserve">2025 </w:t>
            </w:r>
            <w:r>
              <w:rPr>
                <w:rFonts w:ascii="Times New Roman" w:cs="Times New Roman" w:eastAsia="Times New Roman" w:hAnsi="Times New Roman"/>
                <w:sz w:val="26"/>
                <w:szCs w:val="26"/>
                <w:color w:val="auto"/>
                <w:w w:val="92"/>
                <w:vertAlign w:val="superscript"/>
              </w:rPr>
              <w:t>(6)</w:t>
            </w:r>
          </w:p>
        </w:tc>
        <w:tc>
          <w:tcPr>
            <w:tcW w:w="0" w:type="dxa"/>
            <w:vAlign w:val="bottom"/>
          </w:tcPr>
          <w:p>
            <w:pPr>
              <w:spacing w:after="0"/>
              <w:rPr>
                <w:sz w:val="1"/>
                <w:szCs w:val="1"/>
                <w:color w:val="auto"/>
              </w:rPr>
            </w:pPr>
          </w:p>
        </w:tc>
      </w:tr>
      <w:tr>
        <w:trPr>
          <w:trHeight w:val="243"/>
        </w:trPr>
        <w:tc>
          <w:tcPr>
            <w:tcW w:w="2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6</w:t>
            </w:r>
          </w:p>
        </w:tc>
        <w:tc>
          <w:tcPr>
            <w:tcW w:w="2980" w:type="dxa"/>
            <w:vAlign w:val="bottom"/>
            <w:gridSpan w:val="2"/>
          </w:tcPr>
          <w:p>
            <w:pPr>
              <w:ind w:left="40"/>
              <w:spacing w:after="0"/>
              <w:rPr>
                <w:sz w:val="20"/>
                <w:szCs w:val="20"/>
                <w:color w:val="auto"/>
              </w:rPr>
            </w:pPr>
            <w:r>
              <w:rPr>
                <w:rFonts w:ascii="Times New Roman" w:cs="Times New Roman" w:eastAsia="Times New Roman" w:hAnsi="Times New Roman"/>
                <w:sz w:val="16"/>
                <w:szCs w:val="16"/>
                <w:i w:val="1"/>
                <w:iCs w:val="1"/>
                <w:color w:val="auto"/>
              </w:rPr>
              <w:t>GasLog Greece*</w:t>
            </w:r>
          </w:p>
        </w:tc>
        <w:tc>
          <w:tcPr>
            <w:tcW w:w="8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2016</w:t>
            </w:r>
          </w:p>
        </w:tc>
        <w:tc>
          <w:tcPr>
            <w:tcW w:w="120" w:type="dxa"/>
            <w:vAlign w:val="bottom"/>
          </w:tcPr>
          <w:p>
            <w:pPr>
              <w:spacing w:after="0"/>
              <w:rPr>
                <w:sz w:val="21"/>
                <w:szCs w:val="21"/>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174,000</w:t>
            </w:r>
          </w:p>
        </w:tc>
        <w:tc>
          <w:tcPr>
            <w:tcW w:w="100" w:type="dxa"/>
            <w:vAlign w:val="bottom"/>
          </w:tcPr>
          <w:p>
            <w:pPr>
              <w:spacing w:after="0"/>
              <w:rPr>
                <w:sz w:val="21"/>
                <w:szCs w:val="21"/>
                <w:color w:val="auto"/>
              </w:rPr>
            </w:pPr>
          </w:p>
        </w:tc>
        <w:tc>
          <w:tcPr>
            <w:tcW w:w="16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Shell</w:t>
            </w:r>
          </w:p>
        </w:tc>
        <w:tc>
          <w:tcPr>
            <w:tcW w:w="14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TFDE</w:t>
            </w:r>
          </w:p>
        </w:tc>
        <w:tc>
          <w:tcPr>
            <w:tcW w:w="16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March 2026</w:t>
            </w:r>
          </w:p>
        </w:tc>
        <w:tc>
          <w:tcPr>
            <w:tcW w:w="1000" w:type="dxa"/>
            <w:vAlign w:val="bottom"/>
          </w:tcPr>
          <w:p>
            <w:pPr>
              <w:jc w:val="center"/>
              <w:spacing w:after="0" w:line="243" w:lineRule="exact"/>
              <w:rPr>
                <w:sz w:val="20"/>
                <w:szCs w:val="20"/>
                <w:color w:val="auto"/>
              </w:rPr>
            </w:pPr>
            <w:r>
              <w:rPr>
                <w:rFonts w:ascii="Times New Roman" w:cs="Times New Roman" w:eastAsia="Times New Roman" w:hAnsi="Times New Roman"/>
                <w:sz w:val="16"/>
                <w:szCs w:val="16"/>
                <w:color w:val="auto"/>
                <w:w w:val="92"/>
              </w:rPr>
              <w:t xml:space="preserve">2031 </w:t>
            </w:r>
            <w:r>
              <w:rPr>
                <w:rFonts w:ascii="Times New Roman" w:cs="Times New Roman" w:eastAsia="Times New Roman" w:hAnsi="Times New Roman"/>
                <w:sz w:val="26"/>
                <w:szCs w:val="26"/>
                <w:color w:val="auto"/>
                <w:w w:val="92"/>
                <w:vertAlign w:val="superscript"/>
              </w:rPr>
              <w:t>(7)</w:t>
            </w:r>
          </w:p>
        </w:tc>
        <w:tc>
          <w:tcPr>
            <w:tcW w:w="0" w:type="dxa"/>
            <w:vAlign w:val="bottom"/>
          </w:tcPr>
          <w:p>
            <w:pPr>
              <w:spacing w:after="0"/>
              <w:rPr>
                <w:sz w:val="1"/>
                <w:szCs w:val="1"/>
                <w:color w:val="auto"/>
              </w:rPr>
            </w:pPr>
          </w:p>
        </w:tc>
      </w:tr>
      <w:tr>
        <w:trPr>
          <w:trHeight w:val="203"/>
        </w:trPr>
        <w:tc>
          <w:tcPr>
            <w:tcW w:w="200" w:type="dxa"/>
            <w:vAlign w:val="bottom"/>
            <w:shd w:val="clear" w:color="auto" w:fill="E5FFFF"/>
          </w:tcPr>
          <w:p>
            <w:pPr>
              <w:spacing w:after="0"/>
              <w:rPr>
                <w:sz w:val="20"/>
                <w:szCs w:val="20"/>
                <w:color w:val="auto"/>
              </w:rPr>
            </w:pPr>
            <w:r>
              <w:rPr>
                <w:rFonts w:ascii="Times New Roman" w:cs="Times New Roman" w:eastAsia="Times New Roman" w:hAnsi="Times New Roman"/>
                <w:sz w:val="16"/>
                <w:szCs w:val="16"/>
                <w:b w:val="1"/>
                <w:bCs w:val="1"/>
                <w:color w:val="auto"/>
              </w:rPr>
              <w:t>7</w:t>
            </w:r>
          </w:p>
        </w:tc>
        <w:tc>
          <w:tcPr>
            <w:tcW w:w="2980" w:type="dxa"/>
            <w:vAlign w:val="bottom"/>
            <w:gridSpan w:val="2"/>
            <w:shd w:val="clear" w:color="auto" w:fill="E5FFFF"/>
          </w:tcPr>
          <w:p>
            <w:pPr>
              <w:ind w:left="40"/>
              <w:spacing w:after="0"/>
              <w:rPr>
                <w:sz w:val="20"/>
                <w:szCs w:val="20"/>
                <w:color w:val="auto"/>
              </w:rPr>
            </w:pPr>
            <w:r>
              <w:rPr>
                <w:rFonts w:ascii="Times New Roman" w:cs="Times New Roman" w:eastAsia="Times New Roman" w:hAnsi="Times New Roman"/>
                <w:sz w:val="16"/>
                <w:szCs w:val="16"/>
                <w:i w:val="1"/>
                <w:iCs w:val="1"/>
                <w:color w:val="auto"/>
              </w:rPr>
              <w:t>Methane Rita Andrea*</w:t>
            </w:r>
          </w:p>
        </w:tc>
        <w:tc>
          <w:tcPr>
            <w:tcW w:w="800" w:type="dxa"/>
            <w:vAlign w:val="bottom"/>
            <w:shd w:val="clear" w:color="auto" w:fill="E5FFFF"/>
          </w:tcPr>
          <w:p>
            <w:pPr>
              <w:ind w:left="240"/>
              <w:spacing w:after="0"/>
              <w:rPr>
                <w:sz w:val="20"/>
                <w:szCs w:val="20"/>
                <w:color w:val="auto"/>
              </w:rPr>
            </w:pPr>
            <w:r>
              <w:rPr>
                <w:rFonts w:ascii="Times New Roman" w:cs="Times New Roman" w:eastAsia="Times New Roman" w:hAnsi="Times New Roman"/>
                <w:sz w:val="16"/>
                <w:szCs w:val="16"/>
                <w:color w:val="auto"/>
              </w:rPr>
              <w:t>2006</w:t>
            </w:r>
          </w:p>
        </w:tc>
        <w:tc>
          <w:tcPr>
            <w:tcW w:w="120" w:type="dxa"/>
            <w:vAlign w:val="bottom"/>
            <w:shd w:val="clear" w:color="auto" w:fill="E5FFFF"/>
          </w:tcPr>
          <w:p>
            <w:pPr>
              <w:spacing w:after="0"/>
              <w:rPr>
                <w:sz w:val="17"/>
                <w:szCs w:val="17"/>
                <w:color w:val="auto"/>
              </w:rPr>
            </w:pPr>
          </w:p>
        </w:tc>
        <w:tc>
          <w:tcPr>
            <w:tcW w:w="1240" w:type="dxa"/>
            <w:vAlign w:val="bottom"/>
            <w:shd w:val="clear" w:color="auto" w:fill="E5FFFF"/>
          </w:tcPr>
          <w:p>
            <w:pPr>
              <w:jc w:val="center"/>
              <w:spacing w:after="0"/>
              <w:rPr>
                <w:sz w:val="20"/>
                <w:szCs w:val="20"/>
                <w:color w:val="auto"/>
              </w:rPr>
            </w:pPr>
            <w:r>
              <w:rPr>
                <w:rFonts w:ascii="Times New Roman" w:cs="Times New Roman" w:eastAsia="Times New Roman" w:hAnsi="Times New Roman"/>
                <w:sz w:val="16"/>
                <w:szCs w:val="16"/>
                <w:color w:val="auto"/>
                <w:w w:val="99"/>
              </w:rPr>
              <w:t>145,000</w:t>
            </w:r>
          </w:p>
        </w:tc>
        <w:tc>
          <w:tcPr>
            <w:tcW w:w="100" w:type="dxa"/>
            <w:vAlign w:val="bottom"/>
            <w:shd w:val="clear" w:color="auto" w:fill="E5FFFF"/>
          </w:tcPr>
          <w:p>
            <w:pPr>
              <w:spacing w:after="0"/>
              <w:rPr>
                <w:sz w:val="17"/>
                <w:szCs w:val="17"/>
                <w:color w:val="auto"/>
              </w:rPr>
            </w:pPr>
          </w:p>
        </w:tc>
        <w:tc>
          <w:tcPr>
            <w:tcW w:w="1680" w:type="dxa"/>
            <w:vAlign w:val="bottom"/>
            <w:gridSpan w:val="2"/>
            <w:shd w:val="clear" w:color="auto" w:fill="E5FFFF"/>
          </w:tcPr>
          <w:p>
            <w:pPr>
              <w:jc w:val="center"/>
              <w:ind w:right="80"/>
              <w:spacing w:after="0"/>
              <w:rPr>
                <w:sz w:val="20"/>
                <w:szCs w:val="20"/>
                <w:color w:val="auto"/>
              </w:rPr>
            </w:pPr>
            <w:r>
              <w:rPr>
                <w:rFonts w:ascii="Times New Roman" w:cs="Times New Roman" w:eastAsia="Times New Roman" w:hAnsi="Times New Roman"/>
                <w:sz w:val="16"/>
                <w:szCs w:val="16"/>
                <w:color w:val="auto"/>
              </w:rPr>
              <w:t>Asian LNG buyer</w:t>
            </w:r>
          </w:p>
        </w:tc>
        <w:tc>
          <w:tcPr>
            <w:tcW w:w="1440" w:type="dxa"/>
            <w:vAlign w:val="bottom"/>
            <w:gridSpan w:val="2"/>
            <w:shd w:val="clear" w:color="auto" w:fill="E5FFFF"/>
          </w:tcPr>
          <w:p>
            <w:pPr>
              <w:jc w:val="center"/>
              <w:ind w:right="100"/>
              <w:spacing w:after="0"/>
              <w:rPr>
                <w:sz w:val="20"/>
                <w:szCs w:val="20"/>
                <w:color w:val="auto"/>
              </w:rPr>
            </w:pPr>
            <w:r>
              <w:rPr>
                <w:rFonts w:ascii="Times New Roman" w:cs="Times New Roman" w:eastAsia="Times New Roman" w:hAnsi="Times New Roman"/>
                <w:sz w:val="16"/>
                <w:szCs w:val="16"/>
                <w:color w:val="auto"/>
              </w:rPr>
              <w:t>Steam</w:t>
            </w:r>
          </w:p>
        </w:tc>
        <w:tc>
          <w:tcPr>
            <w:tcW w:w="1680" w:type="dxa"/>
            <w:vAlign w:val="bottom"/>
            <w:gridSpan w:val="2"/>
            <w:shd w:val="clear" w:color="auto" w:fill="E5FFFF"/>
          </w:tcPr>
          <w:p>
            <w:pPr>
              <w:jc w:val="center"/>
              <w:ind w:right="100"/>
              <w:spacing w:after="0"/>
              <w:rPr>
                <w:sz w:val="20"/>
                <w:szCs w:val="20"/>
                <w:color w:val="auto"/>
              </w:rPr>
            </w:pPr>
            <w:r>
              <w:rPr>
                <w:rFonts w:ascii="Times New Roman" w:cs="Times New Roman" w:eastAsia="Times New Roman" w:hAnsi="Times New Roman"/>
                <w:sz w:val="16"/>
                <w:szCs w:val="16"/>
                <w:color w:val="auto"/>
              </w:rPr>
              <w:t>March 2026</w:t>
            </w:r>
          </w:p>
        </w:tc>
        <w:tc>
          <w:tcPr>
            <w:tcW w:w="1000" w:type="dxa"/>
            <w:vAlign w:val="bottom"/>
            <w:shd w:val="clear" w:color="auto" w:fill="E5FF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189"/>
        </w:trPr>
        <w:tc>
          <w:tcPr>
            <w:tcW w:w="20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8</w:t>
            </w:r>
          </w:p>
        </w:tc>
        <w:tc>
          <w:tcPr>
            <w:tcW w:w="298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i w:val="1"/>
                <w:iCs w:val="1"/>
                <w:color w:val="auto"/>
              </w:rPr>
              <w:t>GasLog Santiago*</w:t>
            </w: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Major Energy</w:t>
            </w: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w w:val="92"/>
              </w:rPr>
              <w:t xml:space="preserve">2027 </w:t>
            </w:r>
            <w:r>
              <w:rPr>
                <w:rFonts w:ascii="Times New Roman" w:cs="Times New Roman" w:eastAsia="Times New Roman" w:hAnsi="Times New Roman"/>
                <w:sz w:val="26"/>
                <w:szCs w:val="26"/>
                <w:color w:val="auto"/>
                <w:w w:val="92"/>
                <w:vertAlign w:val="superscript"/>
              </w:rPr>
              <w:t>(8)</w:t>
            </w:r>
          </w:p>
        </w:tc>
        <w:tc>
          <w:tcPr>
            <w:tcW w:w="0" w:type="dxa"/>
            <w:vAlign w:val="bottom"/>
          </w:tcPr>
          <w:p>
            <w:pPr>
              <w:spacing w:after="0"/>
              <w:rPr>
                <w:sz w:val="1"/>
                <w:szCs w:val="1"/>
                <w:color w:val="auto"/>
              </w:rPr>
            </w:pPr>
          </w:p>
        </w:tc>
      </w:tr>
      <w:tr>
        <w:trPr>
          <w:trHeight w:val="216"/>
        </w:trPr>
        <w:tc>
          <w:tcPr>
            <w:tcW w:w="200" w:type="dxa"/>
            <w:vAlign w:val="bottom"/>
            <w:vMerge w:val="continue"/>
          </w:tcPr>
          <w:p>
            <w:pPr>
              <w:spacing w:after="0"/>
              <w:rPr>
                <w:sz w:val="18"/>
                <w:szCs w:val="18"/>
                <w:color w:val="auto"/>
              </w:rPr>
            </w:pPr>
          </w:p>
        </w:tc>
        <w:tc>
          <w:tcPr>
            <w:tcW w:w="2980" w:type="dxa"/>
            <w:vAlign w:val="bottom"/>
            <w:gridSpan w:val="2"/>
            <w:vMerge w:val="continue"/>
          </w:tcPr>
          <w:p>
            <w:pPr>
              <w:spacing w:after="0"/>
              <w:rPr>
                <w:sz w:val="18"/>
                <w:szCs w:val="18"/>
                <w:color w:val="auto"/>
              </w:rPr>
            </w:pPr>
          </w:p>
        </w:tc>
        <w:tc>
          <w:tcPr>
            <w:tcW w:w="8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2013</w:t>
            </w:r>
          </w:p>
        </w:tc>
        <w:tc>
          <w:tcPr>
            <w:tcW w:w="12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155,000</w:t>
            </w:r>
          </w:p>
        </w:tc>
        <w:tc>
          <w:tcPr>
            <w:tcW w:w="100" w:type="dxa"/>
            <w:vAlign w:val="bottom"/>
          </w:tcPr>
          <w:p>
            <w:pPr>
              <w:spacing w:after="0"/>
              <w:rPr>
                <w:sz w:val="18"/>
                <w:szCs w:val="18"/>
                <w:color w:val="auto"/>
              </w:rPr>
            </w:pPr>
          </w:p>
        </w:tc>
        <w:tc>
          <w:tcPr>
            <w:tcW w:w="16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Exploration Company</w:t>
            </w:r>
          </w:p>
        </w:tc>
        <w:tc>
          <w:tcPr>
            <w:tcW w:w="14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TFDE</w:t>
            </w:r>
          </w:p>
        </w:tc>
        <w:tc>
          <w:tcPr>
            <w:tcW w:w="16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March 2026</w:t>
            </w:r>
          </w:p>
        </w:tc>
        <w:tc>
          <w:tcPr>
            <w:tcW w:w="10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0" w:type="dxa"/>
            <w:vAlign w:val="bottom"/>
            <w:shd w:val="clear" w:color="auto" w:fill="E5FFFF"/>
          </w:tcPr>
          <w:p>
            <w:pPr>
              <w:spacing w:after="0"/>
              <w:rPr>
                <w:sz w:val="20"/>
                <w:szCs w:val="20"/>
                <w:color w:val="auto"/>
              </w:rPr>
            </w:pPr>
            <w:r>
              <w:rPr>
                <w:rFonts w:ascii="Times New Roman" w:cs="Times New Roman" w:eastAsia="Times New Roman" w:hAnsi="Times New Roman"/>
                <w:sz w:val="16"/>
                <w:szCs w:val="16"/>
                <w:b w:val="1"/>
                <w:bCs w:val="1"/>
                <w:color w:val="auto"/>
              </w:rPr>
              <w:t>9</w:t>
            </w:r>
          </w:p>
        </w:tc>
        <w:tc>
          <w:tcPr>
            <w:tcW w:w="2980" w:type="dxa"/>
            <w:vAlign w:val="bottom"/>
            <w:gridSpan w:val="2"/>
            <w:shd w:val="clear" w:color="auto" w:fill="E5FFFF"/>
          </w:tcPr>
          <w:p>
            <w:pPr>
              <w:ind w:left="40"/>
              <w:spacing w:after="0"/>
              <w:rPr>
                <w:sz w:val="20"/>
                <w:szCs w:val="20"/>
                <w:color w:val="auto"/>
              </w:rPr>
            </w:pPr>
            <w:r>
              <w:rPr>
                <w:rFonts w:ascii="Times New Roman" w:cs="Times New Roman" w:eastAsia="Times New Roman" w:hAnsi="Times New Roman"/>
                <w:sz w:val="16"/>
                <w:szCs w:val="16"/>
                <w:i w:val="1"/>
                <w:iCs w:val="1"/>
                <w:color w:val="auto"/>
              </w:rPr>
              <w:t>GasLog Glasgow*</w:t>
            </w:r>
          </w:p>
        </w:tc>
        <w:tc>
          <w:tcPr>
            <w:tcW w:w="800" w:type="dxa"/>
            <w:vAlign w:val="bottom"/>
            <w:shd w:val="clear" w:color="auto" w:fill="E5FFFF"/>
          </w:tcPr>
          <w:p>
            <w:pPr>
              <w:ind w:left="240"/>
              <w:spacing w:after="0"/>
              <w:rPr>
                <w:sz w:val="20"/>
                <w:szCs w:val="20"/>
                <w:color w:val="auto"/>
              </w:rPr>
            </w:pPr>
            <w:r>
              <w:rPr>
                <w:rFonts w:ascii="Times New Roman" w:cs="Times New Roman" w:eastAsia="Times New Roman" w:hAnsi="Times New Roman"/>
                <w:sz w:val="16"/>
                <w:szCs w:val="16"/>
                <w:color w:val="auto"/>
              </w:rPr>
              <w:t>2016</w:t>
            </w:r>
          </w:p>
        </w:tc>
        <w:tc>
          <w:tcPr>
            <w:tcW w:w="120" w:type="dxa"/>
            <w:vAlign w:val="bottom"/>
            <w:shd w:val="clear" w:color="auto" w:fill="E5FFFF"/>
          </w:tcPr>
          <w:p>
            <w:pPr>
              <w:spacing w:after="0"/>
              <w:rPr>
                <w:sz w:val="21"/>
                <w:szCs w:val="21"/>
                <w:color w:val="auto"/>
              </w:rPr>
            </w:pPr>
          </w:p>
        </w:tc>
        <w:tc>
          <w:tcPr>
            <w:tcW w:w="1240" w:type="dxa"/>
            <w:vAlign w:val="bottom"/>
            <w:shd w:val="clear" w:color="auto" w:fill="E5FFFF"/>
          </w:tcPr>
          <w:p>
            <w:pPr>
              <w:jc w:val="center"/>
              <w:spacing w:after="0"/>
              <w:rPr>
                <w:sz w:val="20"/>
                <w:szCs w:val="20"/>
                <w:color w:val="auto"/>
              </w:rPr>
            </w:pPr>
            <w:r>
              <w:rPr>
                <w:rFonts w:ascii="Times New Roman" w:cs="Times New Roman" w:eastAsia="Times New Roman" w:hAnsi="Times New Roman"/>
                <w:sz w:val="16"/>
                <w:szCs w:val="16"/>
                <w:color w:val="auto"/>
                <w:w w:val="99"/>
              </w:rPr>
              <w:t>174,000</w:t>
            </w:r>
          </w:p>
        </w:tc>
        <w:tc>
          <w:tcPr>
            <w:tcW w:w="100" w:type="dxa"/>
            <w:vAlign w:val="bottom"/>
            <w:shd w:val="clear" w:color="auto" w:fill="E5FFFF"/>
          </w:tcPr>
          <w:p>
            <w:pPr>
              <w:spacing w:after="0"/>
              <w:rPr>
                <w:sz w:val="21"/>
                <w:szCs w:val="21"/>
                <w:color w:val="auto"/>
              </w:rPr>
            </w:pPr>
          </w:p>
        </w:tc>
        <w:tc>
          <w:tcPr>
            <w:tcW w:w="1680" w:type="dxa"/>
            <w:vAlign w:val="bottom"/>
            <w:gridSpan w:val="2"/>
            <w:shd w:val="clear" w:color="auto" w:fill="E5FFFF"/>
          </w:tcPr>
          <w:p>
            <w:pPr>
              <w:jc w:val="center"/>
              <w:ind w:right="100"/>
              <w:spacing w:after="0"/>
              <w:rPr>
                <w:sz w:val="20"/>
                <w:szCs w:val="20"/>
                <w:color w:val="auto"/>
              </w:rPr>
            </w:pPr>
            <w:r>
              <w:rPr>
                <w:rFonts w:ascii="Times New Roman" w:cs="Times New Roman" w:eastAsia="Times New Roman" w:hAnsi="Times New Roman"/>
                <w:sz w:val="16"/>
                <w:szCs w:val="16"/>
                <w:color w:val="auto"/>
              </w:rPr>
              <w:t>Shell</w:t>
            </w:r>
          </w:p>
        </w:tc>
        <w:tc>
          <w:tcPr>
            <w:tcW w:w="1440" w:type="dxa"/>
            <w:vAlign w:val="bottom"/>
            <w:gridSpan w:val="2"/>
            <w:shd w:val="clear" w:color="auto" w:fill="E5FFFF"/>
          </w:tcPr>
          <w:p>
            <w:pPr>
              <w:jc w:val="center"/>
              <w:ind w:right="100"/>
              <w:spacing w:after="0"/>
              <w:rPr>
                <w:sz w:val="20"/>
                <w:szCs w:val="20"/>
                <w:color w:val="auto"/>
              </w:rPr>
            </w:pPr>
            <w:r>
              <w:rPr>
                <w:rFonts w:ascii="Times New Roman" w:cs="Times New Roman" w:eastAsia="Times New Roman" w:hAnsi="Times New Roman"/>
                <w:sz w:val="16"/>
                <w:szCs w:val="16"/>
                <w:color w:val="auto"/>
              </w:rPr>
              <w:t>TFDE</w:t>
            </w:r>
          </w:p>
        </w:tc>
        <w:tc>
          <w:tcPr>
            <w:tcW w:w="1680" w:type="dxa"/>
            <w:vAlign w:val="bottom"/>
            <w:gridSpan w:val="2"/>
            <w:shd w:val="clear" w:color="auto" w:fill="E5FFFF"/>
          </w:tcPr>
          <w:p>
            <w:pPr>
              <w:jc w:val="center"/>
              <w:ind w:right="100"/>
              <w:spacing w:after="0"/>
              <w:rPr>
                <w:sz w:val="20"/>
                <w:szCs w:val="20"/>
                <w:color w:val="auto"/>
              </w:rPr>
            </w:pPr>
            <w:r>
              <w:rPr>
                <w:rFonts w:ascii="Times New Roman" w:cs="Times New Roman" w:eastAsia="Times New Roman" w:hAnsi="Times New Roman"/>
                <w:sz w:val="16"/>
                <w:szCs w:val="16"/>
                <w:color w:val="auto"/>
              </w:rPr>
              <w:t>June 2026</w:t>
            </w:r>
          </w:p>
        </w:tc>
        <w:tc>
          <w:tcPr>
            <w:tcW w:w="1000" w:type="dxa"/>
            <w:vAlign w:val="bottom"/>
            <w:shd w:val="clear" w:color="auto" w:fill="E5FFFF"/>
          </w:tcPr>
          <w:p>
            <w:pPr>
              <w:jc w:val="center"/>
              <w:spacing w:after="0" w:line="243" w:lineRule="exact"/>
              <w:rPr>
                <w:sz w:val="20"/>
                <w:szCs w:val="20"/>
                <w:color w:val="auto"/>
              </w:rPr>
            </w:pPr>
            <w:r>
              <w:rPr>
                <w:rFonts w:ascii="Times New Roman" w:cs="Times New Roman" w:eastAsia="Times New Roman" w:hAnsi="Times New Roman"/>
                <w:sz w:val="16"/>
                <w:szCs w:val="16"/>
                <w:color w:val="auto"/>
                <w:w w:val="92"/>
              </w:rPr>
              <w:t xml:space="preserve">2031 </w:t>
            </w:r>
            <w:r>
              <w:rPr>
                <w:rFonts w:ascii="Times New Roman" w:cs="Times New Roman" w:eastAsia="Times New Roman" w:hAnsi="Times New Roman"/>
                <w:sz w:val="26"/>
                <w:szCs w:val="26"/>
                <w:color w:val="auto"/>
                <w:w w:val="92"/>
                <w:vertAlign w:val="superscript"/>
              </w:rPr>
              <w:t>(7)</w:t>
            </w:r>
          </w:p>
        </w:tc>
        <w:tc>
          <w:tcPr>
            <w:tcW w:w="0" w:type="dxa"/>
            <w:vAlign w:val="bottom"/>
          </w:tcPr>
          <w:p>
            <w:pPr>
              <w:spacing w:after="0"/>
              <w:rPr>
                <w:sz w:val="1"/>
                <w:szCs w:val="1"/>
                <w:color w:val="auto"/>
              </w:rPr>
            </w:pPr>
          </w:p>
        </w:tc>
      </w:tr>
      <w:tr>
        <w:trPr>
          <w:trHeight w:val="243"/>
        </w:trPr>
        <w:tc>
          <w:tcPr>
            <w:tcW w:w="2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10</w:t>
            </w:r>
          </w:p>
        </w:tc>
        <w:tc>
          <w:tcPr>
            <w:tcW w:w="2980" w:type="dxa"/>
            <w:vAlign w:val="bottom"/>
            <w:gridSpan w:val="2"/>
          </w:tcPr>
          <w:p>
            <w:pPr>
              <w:ind w:left="40"/>
              <w:spacing w:after="0"/>
              <w:rPr>
                <w:sz w:val="20"/>
                <w:szCs w:val="20"/>
                <w:color w:val="auto"/>
              </w:rPr>
            </w:pPr>
            <w:r>
              <w:rPr>
                <w:rFonts w:ascii="Times New Roman" w:cs="Times New Roman" w:eastAsia="Times New Roman" w:hAnsi="Times New Roman"/>
                <w:sz w:val="16"/>
                <w:szCs w:val="16"/>
                <w:i w:val="1"/>
                <w:iCs w:val="1"/>
                <w:color w:val="auto"/>
              </w:rPr>
              <w:t>GasLog Genoa</w:t>
            </w:r>
          </w:p>
        </w:tc>
        <w:tc>
          <w:tcPr>
            <w:tcW w:w="8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2018</w:t>
            </w:r>
          </w:p>
        </w:tc>
        <w:tc>
          <w:tcPr>
            <w:tcW w:w="120" w:type="dxa"/>
            <w:vAlign w:val="bottom"/>
          </w:tcPr>
          <w:p>
            <w:pPr>
              <w:spacing w:after="0"/>
              <w:rPr>
                <w:sz w:val="21"/>
                <w:szCs w:val="21"/>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174,000</w:t>
            </w:r>
          </w:p>
        </w:tc>
        <w:tc>
          <w:tcPr>
            <w:tcW w:w="100" w:type="dxa"/>
            <w:vAlign w:val="bottom"/>
          </w:tcPr>
          <w:p>
            <w:pPr>
              <w:spacing w:after="0"/>
              <w:rPr>
                <w:sz w:val="21"/>
                <w:szCs w:val="21"/>
                <w:color w:val="auto"/>
              </w:rPr>
            </w:pPr>
          </w:p>
        </w:tc>
        <w:tc>
          <w:tcPr>
            <w:tcW w:w="16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Shell</w:t>
            </w:r>
          </w:p>
        </w:tc>
        <w:tc>
          <w:tcPr>
            <w:tcW w:w="14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X-DF</w:t>
            </w:r>
          </w:p>
        </w:tc>
        <w:tc>
          <w:tcPr>
            <w:tcW w:w="16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March 2027</w:t>
            </w:r>
          </w:p>
        </w:tc>
        <w:tc>
          <w:tcPr>
            <w:tcW w:w="1000" w:type="dxa"/>
            <w:vAlign w:val="bottom"/>
          </w:tcPr>
          <w:p>
            <w:pPr>
              <w:jc w:val="center"/>
              <w:spacing w:after="0" w:line="243" w:lineRule="exact"/>
              <w:rPr>
                <w:sz w:val="20"/>
                <w:szCs w:val="20"/>
                <w:color w:val="auto"/>
              </w:rPr>
            </w:pPr>
            <w:r>
              <w:rPr>
                <w:rFonts w:ascii="Times New Roman" w:cs="Times New Roman" w:eastAsia="Times New Roman" w:hAnsi="Times New Roman"/>
                <w:sz w:val="16"/>
                <w:szCs w:val="16"/>
                <w:color w:val="auto"/>
                <w:w w:val="96"/>
              </w:rPr>
              <w:t xml:space="preserve">2030-2033 </w:t>
            </w:r>
            <w:r>
              <w:rPr>
                <w:rFonts w:ascii="Times New Roman" w:cs="Times New Roman" w:eastAsia="Times New Roman" w:hAnsi="Times New Roman"/>
                <w:sz w:val="26"/>
                <w:szCs w:val="26"/>
                <w:color w:val="auto"/>
                <w:w w:val="96"/>
                <w:vertAlign w:val="superscript"/>
              </w:rPr>
              <w:t>(7)</w:t>
            </w:r>
          </w:p>
        </w:tc>
        <w:tc>
          <w:tcPr>
            <w:tcW w:w="0" w:type="dxa"/>
            <w:vAlign w:val="bottom"/>
          </w:tcPr>
          <w:p>
            <w:pPr>
              <w:spacing w:after="0"/>
              <w:rPr>
                <w:sz w:val="1"/>
                <w:szCs w:val="1"/>
                <w:color w:val="auto"/>
              </w:rPr>
            </w:pPr>
          </w:p>
        </w:tc>
      </w:tr>
      <w:tr>
        <w:trPr>
          <w:trHeight w:val="243"/>
        </w:trPr>
        <w:tc>
          <w:tcPr>
            <w:tcW w:w="200" w:type="dxa"/>
            <w:vAlign w:val="bottom"/>
            <w:shd w:val="clear" w:color="auto" w:fill="E5FFFF"/>
          </w:tcPr>
          <w:p>
            <w:pPr>
              <w:spacing w:after="0"/>
              <w:rPr>
                <w:sz w:val="20"/>
                <w:szCs w:val="20"/>
                <w:color w:val="auto"/>
              </w:rPr>
            </w:pPr>
            <w:r>
              <w:rPr>
                <w:rFonts w:ascii="Times New Roman" w:cs="Times New Roman" w:eastAsia="Times New Roman" w:hAnsi="Times New Roman"/>
                <w:sz w:val="16"/>
                <w:szCs w:val="16"/>
                <w:b w:val="1"/>
                <w:bCs w:val="1"/>
                <w:color w:val="auto"/>
              </w:rPr>
              <w:t>11</w:t>
            </w:r>
          </w:p>
        </w:tc>
        <w:tc>
          <w:tcPr>
            <w:tcW w:w="2980" w:type="dxa"/>
            <w:vAlign w:val="bottom"/>
            <w:gridSpan w:val="2"/>
            <w:shd w:val="clear" w:color="auto" w:fill="E5FFFF"/>
          </w:tcPr>
          <w:p>
            <w:pPr>
              <w:ind w:left="40"/>
              <w:spacing w:after="0"/>
              <w:rPr>
                <w:sz w:val="20"/>
                <w:szCs w:val="20"/>
                <w:color w:val="auto"/>
              </w:rPr>
            </w:pPr>
            <w:r>
              <w:rPr>
                <w:rFonts w:ascii="Times New Roman" w:cs="Times New Roman" w:eastAsia="Times New Roman" w:hAnsi="Times New Roman"/>
                <w:sz w:val="16"/>
                <w:szCs w:val="16"/>
                <w:i w:val="1"/>
                <w:iCs w:val="1"/>
                <w:color w:val="auto"/>
              </w:rPr>
              <w:t>GasLog Windsor</w:t>
            </w:r>
          </w:p>
        </w:tc>
        <w:tc>
          <w:tcPr>
            <w:tcW w:w="800" w:type="dxa"/>
            <w:vAlign w:val="bottom"/>
            <w:shd w:val="clear" w:color="auto" w:fill="E5FFFF"/>
          </w:tcPr>
          <w:p>
            <w:pPr>
              <w:ind w:left="240"/>
              <w:spacing w:after="0"/>
              <w:rPr>
                <w:sz w:val="20"/>
                <w:szCs w:val="20"/>
                <w:color w:val="auto"/>
              </w:rPr>
            </w:pPr>
            <w:r>
              <w:rPr>
                <w:rFonts w:ascii="Times New Roman" w:cs="Times New Roman" w:eastAsia="Times New Roman" w:hAnsi="Times New Roman"/>
                <w:sz w:val="16"/>
                <w:szCs w:val="16"/>
                <w:color w:val="auto"/>
              </w:rPr>
              <w:t>2020</w:t>
            </w:r>
          </w:p>
        </w:tc>
        <w:tc>
          <w:tcPr>
            <w:tcW w:w="120" w:type="dxa"/>
            <w:vAlign w:val="bottom"/>
            <w:shd w:val="clear" w:color="auto" w:fill="E5FFFF"/>
          </w:tcPr>
          <w:p>
            <w:pPr>
              <w:spacing w:after="0"/>
              <w:rPr>
                <w:sz w:val="21"/>
                <w:szCs w:val="21"/>
                <w:color w:val="auto"/>
              </w:rPr>
            </w:pPr>
          </w:p>
        </w:tc>
        <w:tc>
          <w:tcPr>
            <w:tcW w:w="1240" w:type="dxa"/>
            <w:vAlign w:val="bottom"/>
            <w:shd w:val="clear" w:color="auto" w:fill="E5FFFF"/>
          </w:tcPr>
          <w:p>
            <w:pPr>
              <w:jc w:val="center"/>
              <w:spacing w:after="0"/>
              <w:rPr>
                <w:sz w:val="20"/>
                <w:szCs w:val="20"/>
                <w:color w:val="auto"/>
              </w:rPr>
            </w:pPr>
            <w:r>
              <w:rPr>
                <w:rFonts w:ascii="Times New Roman" w:cs="Times New Roman" w:eastAsia="Times New Roman" w:hAnsi="Times New Roman"/>
                <w:sz w:val="16"/>
                <w:szCs w:val="16"/>
                <w:color w:val="auto"/>
                <w:w w:val="99"/>
              </w:rPr>
              <w:t>180,000</w:t>
            </w:r>
          </w:p>
        </w:tc>
        <w:tc>
          <w:tcPr>
            <w:tcW w:w="100" w:type="dxa"/>
            <w:vAlign w:val="bottom"/>
            <w:shd w:val="clear" w:color="auto" w:fill="E5FFFF"/>
          </w:tcPr>
          <w:p>
            <w:pPr>
              <w:spacing w:after="0"/>
              <w:rPr>
                <w:sz w:val="21"/>
                <w:szCs w:val="21"/>
                <w:color w:val="auto"/>
              </w:rPr>
            </w:pPr>
          </w:p>
        </w:tc>
        <w:tc>
          <w:tcPr>
            <w:tcW w:w="1680" w:type="dxa"/>
            <w:vAlign w:val="bottom"/>
            <w:gridSpan w:val="2"/>
            <w:shd w:val="clear" w:color="auto" w:fill="E5FFFF"/>
          </w:tcPr>
          <w:p>
            <w:pPr>
              <w:jc w:val="center"/>
              <w:ind w:right="100"/>
              <w:spacing w:after="0" w:line="243" w:lineRule="exact"/>
              <w:rPr>
                <w:sz w:val="20"/>
                <w:szCs w:val="20"/>
                <w:color w:val="auto"/>
              </w:rPr>
            </w:pPr>
            <w:r>
              <w:rPr>
                <w:rFonts w:ascii="Times New Roman" w:cs="Times New Roman" w:eastAsia="Times New Roman" w:hAnsi="Times New Roman"/>
                <w:sz w:val="16"/>
                <w:szCs w:val="16"/>
                <w:color w:val="auto"/>
                <w:w w:val="94"/>
              </w:rPr>
              <w:t xml:space="preserve">Centrica </w:t>
            </w:r>
            <w:r>
              <w:rPr>
                <w:rFonts w:ascii="Times New Roman" w:cs="Times New Roman" w:eastAsia="Times New Roman" w:hAnsi="Times New Roman"/>
                <w:sz w:val="26"/>
                <w:szCs w:val="26"/>
                <w:color w:val="auto"/>
                <w:w w:val="94"/>
                <w:vertAlign w:val="superscript"/>
              </w:rPr>
              <w:t>(9)</w:t>
            </w:r>
          </w:p>
        </w:tc>
        <w:tc>
          <w:tcPr>
            <w:tcW w:w="1440" w:type="dxa"/>
            <w:vAlign w:val="bottom"/>
            <w:gridSpan w:val="2"/>
            <w:shd w:val="clear" w:color="auto" w:fill="E5FFFF"/>
          </w:tcPr>
          <w:p>
            <w:pPr>
              <w:jc w:val="center"/>
              <w:ind w:right="100"/>
              <w:spacing w:after="0"/>
              <w:rPr>
                <w:sz w:val="20"/>
                <w:szCs w:val="20"/>
                <w:color w:val="auto"/>
              </w:rPr>
            </w:pPr>
            <w:r>
              <w:rPr>
                <w:rFonts w:ascii="Times New Roman" w:cs="Times New Roman" w:eastAsia="Times New Roman" w:hAnsi="Times New Roman"/>
                <w:sz w:val="16"/>
                <w:szCs w:val="16"/>
                <w:color w:val="auto"/>
              </w:rPr>
              <w:t>X-DF</w:t>
            </w:r>
          </w:p>
        </w:tc>
        <w:tc>
          <w:tcPr>
            <w:tcW w:w="1680" w:type="dxa"/>
            <w:vAlign w:val="bottom"/>
            <w:gridSpan w:val="2"/>
            <w:shd w:val="clear" w:color="auto" w:fill="E5FFFF"/>
          </w:tcPr>
          <w:p>
            <w:pPr>
              <w:jc w:val="center"/>
              <w:ind w:right="100"/>
              <w:spacing w:after="0"/>
              <w:rPr>
                <w:sz w:val="20"/>
                <w:szCs w:val="20"/>
                <w:color w:val="auto"/>
              </w:rPr>
            </w:pPr>
            <w:r>
              <w:rPr>
                <w:rFonts w:ascii="Times New Roman" w:cs="Times New Roman" w:eastAsia="Times New Roman" w:hAnsi="Times New Roman"/>
                <w:sz w:val="16"/>
                <w:szCs w:val="16"/>
                <w:color w:val="auto"/>
              </w:rPr>
              <w:t>April 2027</w:t>
            </w:r>
          </w:p>
        </w:tc>
        <w:tc>
          <w:tcPr>
            <w:tcW w:w="1000" w:type="dxa"/>
            <w:vAlign w:val="bottom"/>
            <w:shd w:val="clear" w:color="auto" w:fill="E5FFFF"/>
          </w:tcPr>
          <w:p>
            <w:pPr>
              <w:jc w:val="center"/>
              <w:spacing w:after="0" w:line="243" w:lineRule="exact"/>
              <w:rPr>
                <w:sz w:val="20"/>
                <w:szCs w:val="20"/>
                <w:color w:val="auto"/>
              </w:rPr>
            </w:pPr>
            <w:r>
              <w:rPr>
                <w:rFonts w:ascii="Times New Roman" w:cs="Times New Roman" w:eastAsia="Times New Roman" w:hAnsi="Times New Roman"/>
                <w:sz w:val="16"/>
                <w:szCs w:val="16"/>
                <w:color w:val="auto"/>
                <w:w w:val="96"/>
              </w:rPr>
              <w:t xml:space="preserve">2029-2033 </w:t>
            </w:r>
            <w:r>
              <w:rPr>
                <w:rFonts w:ascii="Times New Roman" w:cs="Times New Roman" w:eastAsia="Times New Roman" w:hAnsi="Times New Roman"/>
                <w:sz w:val="26"/>
                <w:szCs w:val="26"/>
                <w:color w:val="auto"/>
                <w:w w:val="96"/>
                <w:vertAlign w:val="superscript"/>
              </w:rPr>
              <w:t>(9)</w:t>
            </w:r>
          </w:p>
        </w:tc>
        <w:tc>
          <w:tcPr>
            <w:tcW w:w="0" w:type="dxa"/>
            <w:vAlign w:val="bottom"/>
          </w:tcPr>
          <w:p>
            <w:pPr>
              <w:spacing w:after="0"/>
              <w:rPr>
                <w:sz w:val="1"/>
                <w:szCs w:val="1"/>
                <w:color w:val="auto"/>
              </w:rPr>
            </w:pPr>
          </w:p>
        </w:tc>
      </w:tr>
      <w:tr>
        <w:trPr>
          <w:trHeight w:val="243"/>
        </w:trPr>
        <w:tc>
          <w:tcPr>
            <w:tcW w:w="2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12</w:t>
            </w:r>
          </w:p>
        </w:tc>
        <w:tc>
          <w:tcPr>
            <w:tcW w:w="2980" w:type="dxa"/>
            <w:vAlign w:val="bottom"/>
            <w:gridSpan w:val="2"/>
          </w:tcPr>
          <w:p>
            <w:pPr>
              <w:ind w:left="40"/>
              <w:spacing w:after="0"/>
              <w:rPr>
                <w:sz w:val="20"/>
                <w:szCs w:val="20"/>
                <w:color w:val="auto"/>
              </w:rPr>
            </w:pPr>
            <w:r>
              <w:rPr>
                <w:rFonts w:ascii="Times New Roman" w:cs="Times New Roman" w:eastAsia="Times New Roman" w:hAnsi="Times New Roman"/>
                <w:sz w:val="16"/>
                <w:szCs w:val="16"/>
                <w:i w:val="1"/>
                <w:iCs w:val="1"/>
                <w:color w:val="auto"/>
              </w:rPr>
              <w:t>GasLog Westminster</w:t>
            </w:r>
          </w:p>
        </w:tc>
        <w:tc>
          <w:tcPr>
            <w:tcW w:w="8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2020</w:t>
            </w:r>
          </w:p>
        </w:tc>
        <w:tc>
          <w:tcPr>
            <w:tcW w:w="120" w:type="dxa"/>
            <w:vAlign w:val="bottom"/>
          </w:tcPr>
          <w:p>
            <w:pPr>
              <w:spacing w:after="0"/>
              <w:rPr>
                <w:sz w:val="21"/>
                <w:szCs w:val="21"/>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180,000</w:t>
            </w:r>
          </w:p>
        </w:tc>
        <w:tc>
          <w:tcPr>
            <w:tcW w:w="100" w:type="dxa"/>
            <w:vAlign w:val="bottom"/>
          </w:tcPr>
          <w:p>
            <w:pPr>
              <w:spacing w:after="0"/>
              <w:rPr>
                <w:sz w:val="21"/>
                <w:szCs w:val="21"/>
                <w:color w:val="auto"/>
              </w:rPr>
            </w:pPr>
          </w:p>
        </w:tc>
        <w:tc>
          <w:tcPr>
            <w:tcW w:w="16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9"/>
              </w:rPr>
              <w:t>Centrica</w:t>
            </w:r>
          </w:p>
        </w:tc>
        <w:tc>
          <w:tcPr>
            <w:tcW w:w="14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X-DF</w:t>
            </w:r>
          </w:p>
        </w:tc>
        <w:tc>
          <w:tcPr>
            <w:tcW w:w="16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8"/>
              </w:rPr>
              <w:t>July 2027</w:t>
            </w:r>
          </w:p>
        </w:tc>
        <w:tc>
          <w:tcPr>
            <w:tcW w:w="1000" w:type="dxa"/>
            <w:vAlign w:val="bottom"/>
          </w:tcPr>
          <w:p>
            <w:pPr>
              <w:jc w:val="center"/>
              <w:spacing w:after="0" w:line="243" w:lineRule="exact"/>
              <w:rPr>
                <w:sz w:val="20"/>
                <w:szCs w:val="20"/>
                <w:color w:val="auto"/>
              </w:rPr>
            </w:pPr>
            <w:r>
              <w:rPr>
                <w:rFonts w:ascii="Times New Roman" w:cs="Times New Roman" w:eastAsia="Times New Roman" w:hAnsi="Times New Roman"/>
                <w:sz w:val="16"/>
                <w:szCs w:val="16"/>
                <w:color w:val="auto"/>
                <w:w w:val="96"/>
              </w:rPr>
              <w:t xml:space="preserve">2029-2033 </w:t>
            </w:r>
            <w:r>
              <w:rPr>
                <w:rFonts w:ascii="Times New Roman" w:cs="Times New Roman" w:eastAsia="Times New Roman" w:hAnsi="Times New Roman"/>
                <w:sz w:val="26"/>
                <w:szCs w:val="26"/>
                <w:color w:val="auto"/>
                <w:w w:val="96"/>
                <w:vertAlign w:val="superscript"/>
              </w:rPr>
              <w:t>(9)</w:t>
            </w:r>
          </w:p>
        </w:tc>
        <w:tc>
          <w:tcPr>
            <w:tcW w:w="0" w:type="dxa"/>
            <w:vAlign w:val="bottom"/>
          </w:tcPr>
          <w:p>
            <w:pPr>
              <w:spacing w:after="0"/>
              <w:rPr>
                <w:sz w:val="1"/>
                <w:szCs w:val="1"/>
                <w:color w:val="auto"/>
              </w:rPr>
            </w:pPr>
          </w:p>
        </w:tc>
      </w:tr>
      <w:tr>
        <w:trPr>
          <w:trHeight w:val="243"/>
        </w:trPr>
        <w:tc>
          <w:tcPr>
            <w:tcW w:w="200" w:type="dxa"/>
            <w:vAlign w:val="bottom"/>
            <w:shd w:val="clear" w:color="auto" w:fill="E5FFFF"/>
          </w:tcPr>
          <w:p>
            <w:pPr>
              <w:spacing w:after="0"/>
              <w:rPr>
                <w:sz w:val="20"/>
                <w:szCs w:val="20"/>
                <w:color w:val="auto"/>
              </w:rPr>
            </w:pPr>
            <w:r>
              <w:rPr>
                <w:rFonts w:ascii="Times New Roman" w:cs="Times New Roman" w:eastAsia="Times New Roman" w:hAnsi="Times New Roman"/>
                <w:sz w:val="16"/>
                <w:szCs w:val="16"/>
                <w:b w:val="1"/>
                <w:bCs w:val="1"/>
                <w:color w:val="auto"/>
              </w:rPr>
              <w:t>13</w:t>
            </w:r>
          </w:p>
        </w:tc>
        <w:tc>
          <w:tcPr>
            <w:tcW w:w="2980" w:type="dxa"/>
            <w:vAlign w:val="bottom"/>
            <w:gridSpan w:val="2"/>
            <w:shd w:val="clear" w:color="auto" w:fill="E5FFFF"/>
          </w:tcPr>
          <w:p>
            <w:pPr>
              <w:ind w:left="40"/>
              <w:spacing w:after="0"/>
              <w:rPr>
                <w:sz w:val="20"/>
                <w:szCs w:val="20"/>
                <w:color w:val="auto"/>
              </w:rPr>
            </w:pPr>
            <w:r>
              <w:rPr>
                <w:rFonts w:ascii="Times New Roman" w:cs="Times New Roman" w:eastAsia="Times New Roman" w:hAnsi="Times New Roman"/>
                <w:sz w:val="16"/>
                <w:szCs w:val="16"/>
                <w:i w:val="1"/>
                <w:iCs w:val="1"/>
                <w:color w:val="auto"/>
              </w:rPr>
              <w:t>GasLog Georgetown</w:t>
            </w:r>
          </w:p>
        </w:tc>
        <w:tc>
          <w:tcPr>
            <w:tcW w:w="800" w:type="dxa"/>
            <w:vAlign w:val="bottom"/>
            <w:shd w:val="clear" w:color="auto" w:fill="E5FFFF"/>
          </w:tcPr>
          <w:p>
            <w:pPr>
              <w:ind w:left="240"/>
              <w:spacing w:after="0"/>
              <w:rPr>
                <w:sz w:val="20"/>
                <w:szCs w:val="20"/>
                <w:color w:val="auto"/>
              </w:rPr>
            </w:pPr>
            <w:r>
              <w:rPr>
                <w:rFonts w:ascii="Times New Roman" w:cs="Times New Roman" w:eastAsia="Times New Roman" w:hAnsi="Times New Roman"/>
                <w:sz w:val="16"/>
                <w:szCs w:val="16"/>
                <w:color w:val="auto"/>
              </w:rPr>
              <w:t>2020</w:t>
            </w:r>
          </w:p>
        </w:tc>
        <w:tc>
          <w:tcPr>
            <w:tcW w:w="120" w:type="dxa"/>
            <w:vAlign w:val="bottom"/>
            <w:shd w:val="clear" w:color="auto" w:fill="E5FFFF"/>
          </w:tcPr>
          <w:p>
            <w:pPr>
              <w:spacing w:after="0"/>
              <w:rPr>
                <w:sz w:val="21"/>
                <w:szCs w:val="21"/>
                <w:color w:val="auto"/>
              </w:rPr>
            </w:pPr>
          </w:p>
        </w:tc>
        <w:tc>
          <w:tcPr>
            <w:tcW w:w="1240" w:type="dxa"/>
            <w:vAlign w:val="bottom"/>
            <w:shd w:val="clear" w:color="auto" w:fill="E5FFFF"/>
          </w:tcPr>
          <w:p>
            <w:pPr>
              <w:jc w:val="center"/>
              <w:spacing w:after="0"/>
              <w:rPr>
                <w:sz w:val="20"/>
                <w:szCs w:val="20"/>
                <w:color w:val="auto"/>
              </w:rPr>
            </w:pPr>
            <w:r>
              <w:rPr>
                <w:rFonts w:ascii="Times New Roman" w:cs="Times New Roman" w:eastAsia="Times New Roman" w:hAnsi="Times New Roman"/>
                <w:sz w:val="16"/>
                <w:szCs w:val="16"/>
                <w:color w:val="auto"/>
                <w:w w:val="99"/>
              </w:rPr>
              <w:t>174,000</w:t>
            </w:r>
          </w:p>
        </w:tc>
        <w:tc>
          <w:tcPr>
            <w:tcW w:w="100" w:type="dxa"/>
            <w:vAlign w:val="bottom"/>
            <w:shd w:val="clear" w:color="auto" w:fill="E5FFFF"/>
          </w:tcPr>
          <w:p>
            <w:pPr>
              <w:spacing w:after="0"/>
              <w:rPr>
                <w:sz w:val="21"/>
                <w:szCs w:val="21"/>
                <w:color w:val="auto"/>
              </w:rPr>
            </w:pPr>
          </w:p>
        </w:tc>
        <w:tc>
          <w:tcPr>
            <w:tcW w:w="1680" w:type="dxa"/>
            <w:vAlign w:val="bottom"/>
            <w:gridSpan w:val="2"/>
            <w:shd w:val="clear" w:color="auto" w:fill="E5FFFF"/>
          </w:tcPr>
          <w:p>
            <w:pPr>
              <w:jc w:val="center"/>
              <w:ind w:right="100"/>
              <w:spacing w:after="0"/>
              <w:rPr>
                <w:sz w:val="20"/>
                <w:szCs w:val="20"/>
                <w:color w:val="auto"/>
              </w:rPr>
            </w:pPr>
            <w:r>
              <w:rPr>
                <w:rFonts w:ascii="Times New Roman" w:cs="Times New Roman" w:eastAsia="Times New Roman" w:hAnsi="Times New Roman"/>
                <w:sz w:val="16"/>
                <w:szCs w:val="16"/>
                <w:color w:val="auto"/>
              </w:rPr>
              <w:t>Cheniere</w:t>
            </w:r>
          </w:p>
        </w:tc>
        <w:tc>
          <w:tcPr>
            <w:tcW w:w="1440" w:type="dxa"/>
            <w:vAlign w:val="bottom"/>
            <w:gridSpan w:val="2"/>
            <w:shd w:val="clear" w:color="auto" w:fill="E5FFFF"/>
          </w:tcPr>
          <w:p>
            <w:pPr>
              <w:jc w:val="center"/>
              <w:ind w:right="100"/>
              <w:spacing w:after="0"/>
              <w:rPr>
                <w:sz w:val="20"/>
                <w:szCs w:val="20"/>
                <w:color w:val="auto"/>
              </w:rPr>
            </w:pPr>
            <w:r>
              <w:rPr>
                <w:rFonts w:ascii="Times New Roman" w:cs="Times New Roman" w:eastAsia="Times New Roman" w:hAnsi="Times New Roman"/>
                <w:sz w:val="16"/>
                <w:szCs w:val="16"/>
                <w:color w:val="auto"/>
              </w:rPr>
              <w:t>X-DF</w:t>
            </w:r>
          </w:p>
        </w:tc>
        <w:tc>
          <w:tcPr>
            <w:tcW w:w="1680" w:type="dxa"/>
            <w:vAlign w:val="bottom"/>
            <w:gridSpan w:val="2"/>
            <w:shd w:val="clear" w:color="auto" w:fill="E5FFFF"/>
          </w:tcPr>
          <w:p>
            <w:pPr>
              <w:jc w:val="center"/>
              <w:ind w:right="100"/>
              <w:spacing w:after="0"/>
              <w:rPr>
                <w:sz w:val="20"/>
                <w:szCs w:val="20"/>
                <w:color w:val="auto"/>
              </w:rPr>
            </w:pPr>
            <w:r>
              <w:rPr>
                <w:rFonts w:ascii="Times New Roman" w:cs="Times New Roman" w:eastAsia="Times New Roman" w:hAnsi="Times New Roman"/>
                <w:sz w:val="16"/>
                <w:szCs w:val="16"/>
                <w:color w:val="auto"/>
              </w:rPr>
              <w:t>November 2027</w:t>
            </w:r>
          </w:p>
        </w:tc>
        <w:tc>
          <w:tcPr>
            <w:tcW w:w="1000" w:type="dxa"/>
            <w:vAlign w:val="bottom"/>
            <w:shd w:val="clear" w:color="auto" w:fill="E5FFFF"/>
          </w:tcPr>
          <w:p>
            <w:pPr>
              <w:jc w:val="center"/>
              <w:spacing w:after="0" w:line="243" w:lineRule="exact"/>
              <w:rPr>
                <w:sz w:val="20"/>
                <w:szCs w:val="20"/>
                <w:color w:val="auto"/>
              </w:rPr>
            </w:pPr>
            <w:r>
              <w:rPr>
                <w:rFonts w:ascii="Times New Roman" w:cs="Times New Roman" w:eastAsia="Times New Roman" w:hAnsi="Times New Roman"/>
                <w:sz w:val="16"/>
                <w:szCs w:val="16"/>
                <w:color w:val="auto"/>
                <w:w w:val="93"/>
              </w:rPr>
              <w:t xml:space="preserve">2030-2034 </w:t>
            </w:r>
            <w:r>
              <w:rPr>
                <w:rFonts w:ascii="Times New Roman" w:cs="Times New Roman" w:eastAsia="Times New Roman" w:hAnsi="Times New Roman"/>
                <w:sz w:val="26"/>
                <w:szCs w:val="26"/>
                <w:color w:val="auto"/>
                <w:w w:val="93"/>
                <w:vertAlign w:val="superscript"/>
              </w:rPr>
              <w:t>(10)</w:t>
            </w:r>
          </w:p>
        </w:tc>
        <w:tc>
          <w:tcPr>
            <w:tcW w:w="0" w:type="dxa"/>
            <w:vAlign w:val="bottom"/>
          </w:tcPr>
          <w:p>
            <w:pPr>
              <w:spacing w:after="0"/>
              <w:rPr>
                <w:sz w:val="1"/>
                <w:szCs w:val="1"/>
                <w:color w:val="auto"/>
              </w:rPr>
            </w:pPr>
          </w:p>
        </w:tc>
      </w:tr>
      <w:tr>
        <w:trPr>
          <w:trHeight w:val="243"/>
        </w:trPr>
        <w:tc>
          <w:tcPr>
            <w:tcW w:w="2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14</w:t>
            </w:r>
          </w:p>
        </w:tc>
        <w:tc>
          <w:tcPr>
            <w:tcW w:w="2980" w:type="dxa"/>
            <w:vAlign w:val="bottom"/>
            <w:gridSpan w:val="2"/>
          </w:tcPr>
          <w:p>
            <w:pPr>
              <w:ind w:left="40"/>
              <w:spacing w:after="0"/>
              <w:rPr>
                <w:sz w:val="20"/>
                <w:szCs w:val="20"/>
                <w:color w:val="auto"/>
              </w:rPr>
            </w:pPr>
            <w:r>
              <w:rPr>
                <w:rFonts w:ascii="Times New Roman" w:cs="Times New Roman" w:eastAsia="Times New Roman" w:hAnsi="Times New Roman"/>
                <w:sz w:val="16"/>
                <w:szCs w:val="16"/>
                <w:i w:val="1"/>
                <w:iCs w:val="1"/>
                <w:color w:val="auto"/>
              </w:rPr>
              <w:t>GasLog Galveston</w:t>
            </w:r>
          </w:p>
        </w:tc>
        <w:tc>
          <w:tcPr>
            <w:tcW w:w="8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2021</w:t>
            </w:r>
          </w:p>
        </w:tc>
        <w:tc>
          <w:tcPr>
            <w:tcW w:w="120" w:type="dxa"/>
            <w:vAlign w:val="bottom"/>
          </w:tcPr>
          <w:p>
            <w:pPr>
              <w:spacing w:after="0"/>
              <w:rPr>
                <w:sz w:val="21"/>
                <w:szCs w:val="21"/>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174,000</w:t>
            </w:r>
          </w:p>
        </w:tc>
        <w:tc>
          <w:tcPr>
            <w:tcW w:w="100" w:type="dxa"/>
            <w:vAlign w:val="bottom"/>
          </w:tcPr>
          <w:p>
            <w:pPr>
              <w:spacing w:after="0"/>
              <w:rPr>
                <w:sz w:val="21"/>
                <w:szCs w:val="21"/>
                <w:color w:val="auto"/>
              </w:rPr>
            </w:pPr>
          </w:p>
        </w:tc>
        <w:tc>
          <w:tcPr>
            <w:tcW w:w="16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Cheniere</w:t>
            </w:r>
          </w:p>
        </w:tc>
        <w:tc>
          <w:tcPr>
            <w:tcW w:w="14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X-DF</w:t>
            </w:r>
          </w:p>
        </w:tc>
        <w:tc>
          <w:tcPr>
            <w:tcW w:w="16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January 2028</w:t>
            </w:r>
          </w:p>
        </w:tc>
        <w:tc>
          <w:tcPr>
            <w:tcW w:w="1000" w:type="dxa"/>
            <w:vAlign w:val="bottom"/>
          </w:tcPr>
          <w:p>
            <w:pPr>
              <w:jc w:val="center"/>
              <w:spacing w:after="0" w:line="243" w:lineRule="exact"/>
              <w:rPr>
                <w:sz w:val="20"/>
                <w:szCs w:val="20"/>
                <w:color w:val="auto"/>
              </w:rPr>
            </w:pPr>
            <w:r>
              <w:rPr>
                <w:rFonts w:ascii="Times New Roman" w:cs="Times New Roman" w:eastAsia="Times New Roman" w:hAnsi="Times New Roman"/>
                <w:sz w:val="16"/>
                <w:szCs w:val="16"/>
                <w:color w:val="auto"/>
                <w:w w:val="93"/>
              </w:rPr>
              <w:t xml:space="preserve">2031-2035 </w:t>
            </w:r>
            <w:r>
              <w:rPr>
                <w:rFonts w:ascii="Times New Roman" w:cs="Times New Roman" w:eastAsia="Times New Roman" w:hAnsi="Times New Roman"/>
                <w:sz w:val="26"/>
                <w:szCs w:val="26"/>
                <w:color w:val="auto"/>
                <w:w w:val="93"/>
                <w:vertAlign w:val="superscript"/>
              </w:rPr>
              <w:t>(10)</w:t>
            </w:r>
          </w:p>
        </w:tc>
        <w:tc>
          <w:tcPr>
            <w:tcW w:w="0" w:type="dxa"/>
            <w:vAlign w:val="bottom"/>
          </w:tcPr>
          <w:p>
            <w:pPr>
              <w:spacing w:after="0"/>
              <w:rPr>
                <w:sz w:val="1"/>
                <w:szCs w:val="1"/>
                <w:color w:val="auto"/>
              </w:rPr>
            </w:pPr>
          </w:p>
        </w:tc>
      </w:tr>
      <w:tr>
        <w:trPr>
          <w:trHeight w:val="243"/>
        </w:trPr>
        <w:tc>
          <w:tcPr>
            <w:tcW w:w="200" w:type="dxa"/>
            <w:vAlign w:val="bottom"/>
            <w:shd w:val="clear" w:color="auto" w:fill="E5FFFF"/>
          </w:tcPr>
          <w:p>
            <w:pPr>
              <w:spacing w:after="0"/>
              <w:rPr>
                <w:sz w:val="20"/>
                <w:szCs w:val="20"/>
                <w:color w:val="auto"/>
              </w:rPr>
            </w:pPr>
            <w:r>
              <w:rPr>
                <w:rFonts w:ascii="Times New Roman" w:cs="Times New Roman" w:eastAsia="Times New Roman" w:hAnsi="Times New Roman"/>
                <w:sz w:val="16"/>
                <w:szCs w:val="16"/>
                <w:b w:val="1"/>
                <w:bCs w:val="1"/>
                <w:color w:val="auto"/>
              </w:rPr>
              <w:t>15</w:t>
            </w:r>
          </w:p>
        </w:tc>
        <w:tc>
          <w:tcPr>
            <w:tcW w:w="2980" w:type="dxa"/>
            <w:vAlign w:val="bottom"/>
            <w:gridSpan w:val="2"/>
            <w:shd w:val="clear" w:color="auto" w:fill="E5FFFF"/>
          </w:tcPr>
          <w:p>
            <w:pPr>
              <w:ind w:left="40"/>
              <w:spacing w:after="0"/>
              <w:rPr>
                <w:sz w:val="20"/>
                <w:szCs w:val="20"/>
                <w:color w:val="auto"/>
              </w:rPr>
            </w:pPr>
            <w:r>
              <w:rPr>
                <w:rFonts w:ascii="Times New Roman" w:cs="Times New Roman" w:eastAsia="Times New Roman" w:hAnsi="Times New Roman"/>
                <w:sz w:val="16"/>
                <w:szCs w:val="16"/>
                <w:i w:val="1"/>
                <w:iCs w:val="1"/>
                <w:color w:val="auto"/>
              </w:rPr>
              <w:t>GasLog Wellington</w:t>
            </w:r>
          </w:p>
        </w:tc>
        <w:tc>
          <w:tcPr>
            <w:tcW w:w="800" w:type="dxa"/>
            <w:vAlign w:val="bottom"/>
            <w:shd w:val="clear" w:color="auto" w:fill="E5FFFF"/>
          </w:tcPr>
          <w:p>
            <w:pPr>
              <w:ind w:left="240"/>
              <w:spacing w:after="0"/>
              <w:rPr>
                <w:sz w:val="20"/>
                <w:szCs w:val="20"/>
                <w:color w:val="auto"/>
              </w:rPr>
            </w:pPr>
            <w:r>
              <w:rPr>
                <w:rFonts w:ascii="Times New Roman" w:cs="Times New Roman" w:eastAsia="Times New Roman" w:hAnsi="Times New Roman"/>
                <w:sz w:val="16"/>
                <w:szCs w:val="16"/>
                <w:color w:val="auto"/>
              </w:rPr>
              <w:t>2021</w:t>
            </w:r>
          </w:p>
        </w:tc>
        <w:tc>
          <w:tcPr>
            <w:tcW w:w="120" w:type="dxa"/>
            <w:vAlign w:val="bottom"/>
            <w:shd w:val="clear" w:color="auto" w:fill="E5FFFF"/>
          </w:tcPr>
          <w:p>
            <w:pPr>
              <w:spacing w:after="0"/>
              <w:rPr>
                <w:sz w:val="21"/>
                <w:szCs w:val="21"/>
                <w:color w:val="auto"/>
              </w:rPr>
            </w:pPr>
          </w:p>
        </w:tc>
        <w:tc>
          <w:tcPr>
            <w:tcW w:w="1240" w:type="dxa"/>
            <w:vAlign w:val="bottom"/>
            <w:shd w:val="clear" w:color="auto" w:fill="E5FFFF"/>
          </w:tcPr>
          <w:p>
            <w:pPr>
              <w:jc w:val="center"/>
              <w:spacing w:after="0"/>
              <w:rPr>
                <w:sz w:val="20"/>
                <w:szCs w:val="20"/>
                <w:color w:val="auto"/>
              </w:rPr>
            </w:pPr>
            <w:r>
              <w:rPr>
                <w:rFonts w:ascii="Times New Roman" w:cs="Times New Roman" w:eastAsia="Times New Roman" w:hAnsi="Times New Roman"/>
                <w:sz w:val="16"/>
                <w:szCs w:val="16"/>
                <w:color w:val="auto"/>
                <w:w w:val="99"/>
              </w:rPr>
              <w:t>180,000</w:t>
            </w:r>
          </w:p>
        </w:tc>
        <w:tc>
          <w:tcPr>
            <w:tcW w:w="100" w:type="dxa"/>
            <w:vAlign w:val="bottom"/>
            <w:shd w:val="clear" w:color="auto" w:fill="E5FFFF"/>
          </w:tcPr>
          <w:p>
            <w:pPr>
              <w:spacing w:after="0"/>
              <w:rPr>
                <w:sz w:val="21"/>
                <w:szCs w:val="21"/>
                <w:color w:val="auto"/>
              </w:rPr>
            </w:pPr>
          </w:p>
        </w:tc>
        <w:tc>
          <w:tcPr>
            <w:tcW w:w="1680" w:type="dxa"/>
            <w:vAlign w:val="bottom"/>
            <w:gridSpan w:val="2"/>
            <w:shd w:val="clear" w:color="auto" w:fill="E5FFFF"/>
          </w:tcPr>
          <w:p>
            <w:pPr>
              <w:jc w:val="center"/>
              <w:ind w:right="100"/>
              <w:spacing w:after="0"/>
              <w:rPr>
                <w:sz w:val="20"/>
                <w:szCs w:val="20"/>
                <w:color w:val="auto"/>
              </w:rPr>
            </w:pPr>
            <w:r>
              <w:rPr>
                <w:rFonts w:ascii="Times New Roman" w:cs="Times New Roman" w:eastAsia="Times New Roman" w:hAnsi="Times New Roman"/>
                <w:sz w:val="16"/>
                <w:szCs w:val="16"/>
                <w:color w:val="auto"/>
              </w:rPr>
              <w:t>Cheniere</w:t>
            </w:r>
          </w:p>
        </w:tc>
        <w:tc>
          <w:tcPr>
            <w:tcW w:w="1440" w:type="dxa"/>
            <w:vAlign w:val="bottom"/>
            <w:gridSpan w:val="2"/>
            <w:shd w:val="clear" w:color="auto" w:fill="E5FFFF"/>
          </w:tcPr>
          <w:p>
            <w:pPr>
              <w:jc w:val="center"/>
              <w:ind w:right="100"/>
              <w:spacing w:after="0"/>
              <w:rPr>
                <w:sz w:val="20"/>
                <w:szCs w:val="20"/>
                <w:color w:val="auto"/>
              </w:rPr>
            </w:pPr>
            <w:r>
              <w:rPr>
                <w:rFonts w:ascii="Times New Roman" w:cs="Times New Roman" w:eastAsia="Times New Roman" w:hAnsi="Times New Roman"/>
                <w:sz w:val="16"/>
                <w:szCs w:val="16"/>
                <w:color w:val="auto"/>
              </w:rPr>
              <w:t>X-DF</w:t>
            </w:r>
          </w:p>
        </w:tc>
        <w:tc>
          <w:tcPr>
            <w:tcW w:w="1680" w:type="dxa"/>
            <w:vAlign w:val="bottom"/>
            <w:gridSpan w:val="2"/>
            <w:shd w:val="clear" w:color="auto" w:fill="E5FFFF"/>
          </w:tcPr>
          <w:p>
            <w:pPr>
              <w:jc w:val="center"/>
              <w:ind w:right="100"/>
              <w:spacing w:after="0"/>
              <w:rPr>
                <w:sz w:val="20"/>
                <w:szCs w:val="20"/>
                <w:color w:val="auto"/>
              </w:rPr>
            </w:pPr>
            <w:r>
              <w:rPr>
                <w:rFonts w:ascii="Times New Roman" w:cs="Times New Roman" w:eastAsia="Times New Roman" w:hAnsi="Times New Roman"/>
                <w:sz w:val="16"/>
                <w:szCs w:val="16"/>
                <w:color w:val="auto"/>
              </w:rPr>
              <w:t>June 2028</w:t>
            </w:r>
          </w:p>
        </w:tc>
        <w:tc>
          <w:tcPr>
            <w:tcW w:w="1000" w:type="dxa"/>
            <w:vAlign w:val="bottom"/>
            <w:shd w:val="clear" w:color="auto" w:fill="E5FFFF"/>
          </w:tcPr>
          <w:p>
            <w:pPr>
              <w:jc w:val="center"/>
              <w:spacing w:after="0" w:line="243" w:lineRule="exact"/>
              <w:rPr>
                <w:sz w:val="20"/>
                <w:szCs w:val="20"/>
                <w:color w:val="auto"/>
              </w:rPr>
            </w:pPr>
            <w:r>
              <w:rPr>
                <w:rFonts w:ascii="Times New Roman" w:cs="Times New Roman" w:eastAsia="Times New Roman" w:hAnsi="Times New Roman"/>
                <w:sz w:val="16"/>
                <w:szCs w:val="16"/>
                <w:color w:val="auto"/>
                <w:w w:val="93"/>
              </w:rPr>
              <w:t xml:space="preserve">2031-2035 </w:t>
            </w:r>
            <w:r>
              <w:rPr>
                <w:rFonts w:ascii="Times New Roman" w:cs="Times New Roman" w:eastAsia="Times New Roman" w:hAnsi="Times New Roman"/>
                <w:sz w:val="26"/>
                <w:szCs w:val="26"/>
                <w:color w:val="auto"/>
                <w:w w:val="93"/>
                <w:vertAlign w:val="superscript"/>
              </w:rPr>
              <w:t>(10)</w:t>
            </w:r>
          </w:p>
        </w:tc>
        <w:tc>
          <w:tcPr>
            <w:tcW w:w="0" w:type="dxa"/>
            <w:vAlign w:val="bottom"/>
          </w:tcPr>
          <w:p>
            <w:pPr>
              <w:spacing w:after="0"/>
              <w:rPr>
                <w:sz w:val="1"/>
                <w:szCs w:val="1"/>
                <w:color w:val="auto"/>
              </w:rPr>
            </w:pPr>
          </w:p>
        </w:tc>
      </w:tr>
      <w:tr>
        <w:trPr>
          <w:trHeight w:val="243"/>
        </w:trPr>
        <w:tc>
          <w:tcPr>
            <w:tcW w:w="2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16</w:t>
            </w:r>
          </w:p>
        </w:tc>
        <w:tc>
          <w:tcPr>
            <w:tcW w:w="2980" w:type="dxa"/>
            <w:vAlign w:val="bottom"/>
            <w:gridSpan w:val="2"/>
          </w:tcPr>
          <w:p>
            <w:pPr>
              <w:ind w:left="40"/>
              <w:spacing w:after="0"/>
              <w:rPr>
                <w:sz w:val="20"/>
                <w:szCs w:val="20"/>
                <w:color w:val="auto"/>
              </w:rPr>
            </w:pPr>
            <w:r>
              <w:rPr>
                <w:rFonts w:ascii="Times New Roman" w:cs="Times New Roman" w:eastAsia="Times New Roman" w:hAnsi="Times New Roman"/>
                <w:sz w:val="16"/>
                <w:szCs w:val="16"/>
                <w:i w:val="1"/>
                <w:iCs w:val="1"/>
                <w:color w:val="auto"/>
              </w:rPr>
              <w:t>GasLog Winchester</w:t>
            </w:r>
          </w:p>
        </w:tc>
        <w:tc>
          <w:tcPr>
            <w:tcW w:w="8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2021</w:t>
            </w:r>
          </w:p>
        </w:tc>
        <w:tc>
          <w:tcPr>
            <w:tcW w:w="120" w:type="dxa"/>
            <w:vAlign w:val="bottom"/>
          </w:tcPr>
          <w:p>
            <w:pPr>
              <w:spacing w:after="0"/>
              <w:rPr>
                <w:sz w:val="21"/>
                <w:szCs w:val="21"/>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180,000</w:t>
            </w:r>
          </w:p>
        </w:tc>
        <w:tc>
          <w:tcPr>
            <w:tcW w:w="100" w:type="dxa"/>
            <w:vAlign w:val="bottom"/>
          </w:tcPr>
          <w:p>
            <w:pPr>
              <w:spacing w:after="0"/>
              <w:rPr>
                <w:sz w:val="21"/>
                <w:szCs w:val="21"/>
                <w:color w:val="auto"/>
              </w:rPr>
            </w:pPr>
          </w:p>
        </w:tc>
        <w:tc>
          <w:tcPr>
            <w:tcW w:w="16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Cheniere</w:t>
            </w:r>
          </w:p>
        </w:tc>
        <w:tc>
          <w:tcPr>
            <w:tcW w:w="14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X-DF</w:t>
            </w:r>
          </w:p>
        </w:tc>
        <w:tc>
          <w:tcPr>
            <w:tcW w:w="16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9"/>
              </w:rPr>
              <w:t>August 2028</w:t>
            </w:r>
          </w:p>
        </w:tc>
        <w:tc>
          <w:tcPr>
            <w:tcW w:w="1000" w:type="dxa"/>
            <w:vAlign w:val="bottom"/>
          </w:tcPr>
          <w:p>
            <w:pPr>
              <w:jc w:val="center"/>
              <w:spacing w:after="0" w:line="243" w:lineRule="exact"/>
              <w:rPr>
                <w:sz w:val="20"/>
                <w:szCs w:val="20"/>
                <w:color w:val="auto"/>
              </w:rPr>
            </w:pPr>
            <w:r>
              <w:rPr>
                <w:rFonts w:ascii="Times New Roman" w:cs="Times New Roman" w:eastAsia="Times New Roman" w:hAnsi="Times New Roman"/>
                <w:sz w:val="16"/>
                <w:szCs w:val="16"/>
                <w:color w:val="auto"/>
                <w:w w:val="93"/>
              </w:rPr>
              <w:t xml:space="preserve">2031-2035 </w:t>
            </w:r>
            <w:r>
              <w:rPr>
                <w:rFonts w:ascii="Times New Roman" w:cs="Times New Roman" w:eastAsia="Times New Roman" w:hAnsi="Times New Roman"/>
                <w:sz w:val="26"/>
                <w:szCs w:val="26"/>
                <w:color w:val="auto"/>
                <w:w w:val="93"/>
                <w:vertAlign w:val="superscript"/>
              </w:rPr>
              <w:t>(10)</w:t>
            </w:r>
          </w:p>
        </w:tc>
        <w:tc>
          <w:tcPr>
            <w:tcW w:w="0" w:type="dxa"/>
            <w:vAlign w:val="bottom"/>
          </w:tcPr>
          <w:p>
            <w:pPr>
              <w:spacing w:after="0"/>
              <w:rPr>
                <w:sz w:val="1"/>
                <w:szCs w:val="1"/>
                <w:color w:val="auto"/>
              </w:rPr>
            </w:pPr>
          </w:p>
        </w:tc>
      </w:tr>
      <w:tr>
        <w:trPr>
          <w:trHeight w:val="243"/>
        </w:trPr>
        <w:tc>
          <w:tcPr>
            <w:tcW w:w="200" w:type="dxa"/>
            <w:vAlign w:val="bottom"/>
            <w:shd w:val="clear" w:color="auto" w:fill="E5FFFF"/>
          </w:tcPr>
          <w:p>
            <w:pPr>
              <w:spacing w:after="0"/>
              <w:rPr>
                <w:sz w:val="20"/>
                <w:szCs w:val="20"/>
                <w:color w:val="auto"/>
              </w:rPr>
            </w:pPr>
            <w:r>
              <w:rPr>
                <w:rFonts w:ascii="Times New Roman" w:cs="Times New Roman" w:eastAsia="Times New Roman" w:hAnsi="Times New Roman"/>
                <w:sz w:val="16"/>
                <w:szCs w:val="16"/>
                <w:b w:val="1"/>
                <w:bCs w:val="1"/>
                <w:color w:val="auto"/>
              </w:rPr>
              <w:t>17</w:t>
            </w:r>
          </w:p>
        </w:tc>
        <w:tc>
          <w:tcPr>
            <w:tcW w:w="2980" w:type="dxa"/>
            <w:vAlign w:val="bottom"/>
            <w:gridSpan w:val="2"/>
            <w:shd w:val="clear" w:color="auto" w:fill="E5FFFF"/>
          </w:tcPr>
          <w:p>
            <w:pPr>
              <w:ind w:left="40"/>
              <w:spacing w:after="0"/>
              <w:rPr>
                <w:sz w:val="20"/>
                <w:szCs w:val="20"/>
                <w:color w:val="auto"/>
              </w:rPr>
            </w:pPr>
            <w:r>
              <w:rPr>
                <w:rFonts w:ascii="Times New Roman" w:cs="Times New Roman" w:eastAsia="Times New Roman" w:hAnsi="Times New Roman"/>
                <w:sz w:val="16"/>
                <w:szCs w:val="16"/>
                <w:i w:val="1"/>
                <w:iCs w:val="1"/>
                <w:color w:val="auto"/>
              </w:rPr>
              <w:t>GasLog Geneva*</w:t>
            </w:r>
          </w:p>
        </w:tc>
        <w:tc>
          <w:tcPr>
            <w:tcW w:w="800" w:type="dxa"/>
            <w:vAlign w:val="bottom"/>
            <w:shd w:val="clear" w:color="auto" w:fill="E5FFFF"/>
          </w:tcPr>
          <w:p>
            <w:pPr>
              <w:ind w:left="240"/>
              <w:spacing w:after="0"/>
              <w:rPr>
                <w:sz w:val="20"/>
                <w:szCs w:val="20"/>
                <w:color w:val="auto"/>
              </w:rPr>
            </w:pPr>
            <w:r>
              <w:rPr>
                <w:rFonts w:ascii="Times New Roman" w:cs="Times New Roman" w:eastAsia="Times New Roman" w:hAnsi="Times New Roman"/>
                <w:sz w:val="16"/>
                <w:szCs w:val="16"/>
                <w:color w:val="auto"/>
              </w:rPr>
              <w:t>2016</w:t>
            </w:r>
          </w:p>
        </w:tc>
        <w:tc>
          <w:tcPr>
            <w:tcW w:w="120" w:type="dxa"/>
            <w:vAlign w:val="bottom"/>
            <w:shd w:val="clear" w:color="auto" w:fill="E5FFFF"/>
          </w:tcPr>
          <w:p>
            <w:pPr>
              <w:spacing w:after="0"/>
              <w:rPr>
                <w:sz w:val="21"/>
                <w:szCs w:val="21"/>
                <w:color w:val="auto"/>
              </w:rPr>
            </w:pPr>
          </w:p>
        </w:tc>
        <w:tc>
          <w:tcPr>
            <w:tcW w:w="1240" w:type="dxa"/>
            <w:vAlign w:val="bottom"/>
            <w:shd w:val="clear" w:color="auto" w:fill="E5FFFF"/>
          </w:tcPr>
          <w:p>
            <w:pPr>
              <w:jc w:val="center"/>
              <w:spacing w:after="0"/>
              <w:rPr>
                <w:sz w:val="20"/>
                <w:szCs w:val="20"/>
                <w:color w:val="auto"/>
              </w:rPr>
            </w:pPr>
            <w:r>
              <w:rPr>
                <w:rFonts w:ascii="Times New Roman" w:cs="Times New Roman" w:eastAsia="Times New Roman" w:hAnsi="Times New Roman"/>
                <w:sz w:val="16"/>
                <w:szCs w:val="16"/>
                <w:color w:val="auto"/>
                <w:w w:val="99"/>
              </w:rPr>
              <w:t>174,000</w:t>
            </w:r>
          </w:p>
        </w:tc>
        <w:tc>
          <w:tcPr>
            <w:tcW w:w="100" w:type="dxa"/>
            <w:vAlign w:val="bottom"/>
            <w:shd w:val="clear" w:color="auto" w:fill="E5FFFF"/>
          </w:tcPr>
          <w:p>
            <w:pPr>
              <w:spacing w:after="0"/>
              <w:rPr>
                <w:sz w:val="21"/>
                <w:szCs w:val="21"/>
                <w:color w:val="auto"/>
              </w:rPr>
            </w:pPr>
          </w:p>
        </w:tc>
        <w:tc>
          <w:tcPr>
            <w:tcW w:w="1680" w:type="dxa"/>
            <w:vAlign w:val="bottom"/>
            <w:gridSpan w:val="2"/>
            <w:shd w:val="clear" w:color="auto" w:fill="E5FFFF"/>
          </w:tcPr>
          <w:p>
            <w:pPr>
              <w:jc w:val="center"/>
              <w:ind w:right="100"/>
              <w:spacing w:after="0"/>
              <w:rPr>
                <w:sz w:val="20"/>
                <w:szCs w:val="20"/>
                <w:color w:val="auto"/>
              </w:rPr>
            </w:pPr>
            <w:r>
              <w:rPr>
                <w:rFonts w:ascii="Times New Roman" w:cs="Times New Roman" w:eastAsia="Times New Roman" w:hAnsi="Times New Roman"/>
                <w:sz w:val="16"/>
                <w:szCs w:val="16"/>
                <w:color w:val="auto"/>
              </w:rPr>
              <w:t>Shell</w:t>
            </w:r>
          </w:p>
        </w:tc>
        <w:tc>
          <w:tcPr>
            <w:tcW w:w="1440" w:type="dxa"/>
            <w:vAlign w:val="bottom"/>
            <w:gridSpan w:val="2"/>
            <w:shd w:val="clear" w:color="auto" w:fill="E5FFFF"/>
          </w:tcPr>
          <w:p>
            <w:pPr>
              <w:jc w:val="center"/>
              <w:ind w:right="100"/>
              <w:spacing w:after="0"/>
              <w:rPr>
                <w:sz w:val="20"/>
                <w:szCs w:val="20"/>
                <w:color w:val="auto"/>
              </w:rPr>
            </w:pPr>
            <w:r>
              <w:rPr>
                <w:rFonts w:ascii="Times New Roman" w:cs="Times New Roman" w:eastAsia="Times New Roman" w:hAnsi="Times New Roman"/>
                <w:sz w:val="16"/>
                <w:szCs w:val="16"/>
                <w:color w:val="auto"/>
              </w:rPr>
              <w:t>TFDE</w:t>
            </w:r>
          </w:p>
        </w:tc>
        <w:tc>
          <w:tcPr>
            <w:tcW w:w="1680" w:type="dxa"/>
            <w:vAlign w:val="bottom"/>
            <w:gridSpan w:val="2"/>
            <w:shd w:val="clear" w:color="auto" w:fill="E5FFFF"/>
          </w:tcPr>
          <w:p>
            <w:pPr>
              <w:jc w:val="center"/>
              <w:ind w:right="100"/>
              <w:spacing w:after="0"/>
              <w:rPr>
                <w:sz w:val="20"/>
                <w:szCs w:val="20"/>
                <w:color w:val="auto"/>
              </w:rPr>
            </w:pPr>
            <w:r>
              <w:rPr>
                <w:rFonts w:ascii="Times New Roman" w:cs="Times New Roman" w:eastAsia="Times New Roman" w:hAnsi="Times New Roman"/>
                <w:sz w:val="16"/>
                <w:szCs w:val="16"/>
                <w:color w:val="auto"/>
              </w:rPr>
              <w:t>September 2028</w:t>
            </w:r>
          </w:p>
        </w:tc>
        <w:tc>
          <w:tcPr>
            <w:tcW w:w="1000" w:type="dxa"/>
            <w:vAlign w:val="bottom"/>
            <w:shd w:val="clear" w:color="auto" w:fill="E5FFFF"/>
          </w:tcPr>
          <w:p>
            <w:pPr>
              <w:jc w:val="center"/>
              <w:spacing w:after="0" w:line="243" w:lineRule="exact"/>
              <w:rPr>
                <w:sz w:val="20"/>
                <w:szCs w:val="20"/>
                <w:color w:val="auto"/>
              </w:rPr>
            </w:pPr>
            <w:r>
              <w:rPr>
                <w:rFonts w:ascii="Times New Roman" w:cs="Times New Roman" w:eastAsia="Times New Roman" w:hAnsi="Times New Roman"/>
                <w:sz w:val="16"/>
                <w:szCs w:val="16"/>
                <w:color w:val="auto"/>
                <w:w w:val="92"/>
              </w:rPr>
              <w:t xml:space="preserve">2031 </w:t>
            </w:r>
            <w:r>
              <w:rPr>
                <w:rFonts w:ascii="Times New Roman" w:cs="Times New Roman" w:eastAsia="Times New Roman" w:hAnsi="Times New Roman"/>
                <w:sz w:val="26"/>
                <w:szCs w:val="26"/>
                <w:color w:val="auto"/>
                <w:w w:val="92"/>
                <w:vertAlign w:val="superscript"/>
              </w:rPr>
              <w:t>(7)</w:t>
            </w:r>
          </w:p>
        </w:tc>
        <w:tc>
          <w:tcPr>
            <w:tcW w:w="0" w:type="dxa"/>
            <w:vAlign w:val="bottom"/>
          </w:tcPr>
          <w:p>
            <w:pPr>
              <w:spacing w:after="0"/>
              <w:rPr>
                <w:sz w:val="1"/>
                <w:szCs w:val="1"/>
                <w:color w:val="auto"/>
              </w:rPr>
            </w:pPr>
          </w:p>
        </w:tc>
      </w:tr>
      <w:tr>
        <w:trPr>
          <w:trHeight w:val="243"/>
        </w:trPr>
        <w:tc>
          <w:tcPr>
            <w:tcW w:w="2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18</w:t>
            </w:r>
          </w:p>
        </w:tc>
        <w:tc>
          <w:tcPr>
            <w:tcW w:w="2980" w:type="dxa"/>
            <w:vAlign w:val="bottom"/>
            <w:gridSpan w:val="2"/>
          </w:tcPr>
          <w:p>
            <w:pPr>
              <w:ind w:left="40"/>
              <w:spacing w:after="0"/>
              <w:rPr>
                <w:sz w:val="20"/>
                <w:szCs w:val="20"/>
                <w:color w:val="auto"/>
              </w:rPr>
            </w:pPr>
            <w:r>
              <w:rPr>
                <w:rFonts w:ascii="Times New Roman" w:cs="Times New Roman" w:eastAsia="Times New Roman" w:hAnsi="Times New Roman"/>
                <w:sz w:val="16"/>
                <w:szCs w:val="16"/>
                <w:i w:val="1"/>
                <w:iCs w:val="1"/>
                <w:color w:val="auto"/>
              </w:rPr>
              <w:t>GasLog Gibraltar*</w:t>
            </w:r>
          </w:p>
        </w:tc>
        <w:tc>
          <w:tcPr>
            <w:tcW w:w="8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2016</w:t>
            </w:r>
          </w:p>
        </w:tc>
        <w:tc>
          <w:tcPr>
            <w:tcW w:w="120" w:type="dxa"/>
            <w:vAlign w:val="bottom"/>
          </w:tcPr>
          <w:p>
            <w:pPr>
              <w:spacing w:after="0"/>
              <w:rPr>
                <w:sz w:val="21"/>
                <w:szCs w:val="21"/>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174,000</w:t>
            </w:r>
          </w:p>
        </w:tc>
        <w:tc>
          <w:tcPr>
            <w:tcW w:w="100" w:type="dxa"/>
            <w:vAlign w:val="bottom"/>
          </w:tcPr>
          <w:p>
            <w:pPr>
              <w:spacing w:after="0"/>
              <w:rPr>
                <w:sz w:val="21"/>
                <w:szCs w:val="21"/>
                <w:color w:val="auto"/>
              </w:rPr>
            </w:pPr>
          </w:p>
        </w:tc>
        <w:tc>
          <w:tcPr>
            <w:tcW w:w="16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Shell</w:t>
            </w:r>
          </w:p>
        </w:tc>
        <w:tc>
          <w:tcPr>
            <w:tcW w:w="14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TFDE</w:t>
            </w:r>
          </w:p>
        </w:tc>
        <w:tc>
          <w:tcPr>
            <w:tcW w:w="16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October 2028</w:t>
            </w:r>
          </w:p>
        </w:tc>
        <w:tc>
          <w:tcPr>
            <w:tcW w:w="1000" w:type="dxa"/>
            <w:vAlign w:val="bottom"/>
          </w:tcPr>
          <w:p>
            <w:pPr>
              <w:jc w:val="center"/>
              <w:spacing w:after="0" w:line="243" w:lineRule="exact"/>
              <w:rPr>
                <w:sz w:val="20"/>
                <w:szCs w:val="20"/>
                <w:color w:val="auto"/>
              </w:rPr>
            </w:pPr>
            <w:r>
              <w:rPr>
                <w:rFonts w:ascii="Times New Roman" w:cs="Times New Roman" w:eastAsia="Times New Roman" w:hAnsi="Times New Roman"/>
                <w:sz w:val="16"/>
                <w:szCs w:val="16"/>
                <w:color w:val="auto"/>
                <w:w w:val="92"/>
              </w:rPr>
              <w:t xml:space="preserve">2031 </w:t>
            </w:r>
            <w:r>
              <w:rPr>
                <w:rFonts w:ascii="Times New Roman" w:cs="Times New Roman" w:eastAsia="Times New Roman" w:hAnsi="Times New Roman"/>
                <w:sz w:val="26"/>
                <w:szCs w:val="26"/>
                <w:color w:val="auto"/>
                <w:w w:val="92"/>
                <w:vertAlign w:val="superscript"/>
              </w:rPr>
              <w:t>(7)</w:t>
            </w:r>
          </w:p>
        </w:tc>
        <w:tc>
          <w:tcPr>
            <w:tcW w:w="0" w:type="dxa"/>
            <w:vAlign w:val="bottom"/>
          </w:tcPr>
          <w:p>
            <w:pPr>
              <w:spacing w:after="0"/>
              <w:rPr>
                <w:sz w:val="1"/>
                <w:szCs w:val="1"/>
                <w:color w:val="auto"/>
              </w:rPr>
            </w:pPr>
          </w:p>
        </w:tc>
      </w:tr>
      <w:tr>
        <w:trPr>
          <w:trHeight w:val="243"/>
        </w:trPr>
        <w:tc>
          <w:tcPr>
            <w:tcW w:w="200" w:type="dxa"/>
            <w:vAlign w:val="bottom"/>
            <w:shd w:val="clear" w:color="auto" w:fill="E5FFFF"/>
          </w:tcPr>
          <w:p>
            <w:pPr>
              <w:spacing w:after="0"/>
              <w:rPr>
                <w:sz w:val="20"/>
                <w:szCs w:val="20"/>
                <w:color w:val="auto"/>
              </w:rPr>
            </w:pPr>
            <w:r>
              <w:rPr>
                <w:rFonts w:ascii="Times New Roman" w:cs="Times New Roman" w:eastAsia="Times New Roman" w:hAnsi="Times New Roman"/>
                <w:sz w:val="16"/>
                <w:szCs w:val="16"/>
                <w:b w:val="1"/>
                <w:bCs w:val="1"/>
                <w:color w:val="auto"/>
              </w:rPr>
              <w:t>19</w:t>
            </w:r>
          </w:p>
        </w:tc>
        <w:tc>
          <w:tcPr>
            <w:tcW w:w="2980" w:type="dxa"/>
            <w:vAlign w:val="bottom"/>
            <w:gridSpan w:val="2"/>
            <w:shd w:val="clear" w:color="auto" w:fill="E5FFFF"/>
          </w:tcPr>
          <w:p>
            <w:pPr>
              <w:ind w:left="40"/>
              <w:spacing w:after="0"/>
              <w:rPr>
                <w:sz w:val="20"/>
                <w:szCs w:val="20"/>
                <w:color w:val="auto"/>
              </w:rPr>
            </w:pPr>
            <w:r>
              <w:rPr>
                <w:rFonts w:ascii="Times New Roman" w:cs="Times New Roman" w:eastAsia="Times New Roman" w:hAnsi="Times New Roman"/>
                <w:sz w:val="16"/>
                <w:szCs w:val="16"/>
                <w:i w:val="1"/>
                <w:iCs w:val="1"/>
                <w:color w:val="auto"/>
              </w:rPr>
              <w:t>GasLog Gladstone</w:t>
            </w:r>
          </w:p>
        </w:tc>
        <w:tc>
          <w:tcPr>
            <w:tcW w:w="800" w:type="dxa"/>
            <w:vAlign w:val="bottom"/>
            <w:shd w:val="clear" w:color="auto" w:fill="E5FFFF"/>
          </w:tcPr>
          <w:p>
            <w:pPr>
              <w:ind w:left="240"/>
              <w:spacing w:after="0"/>
              <w:rPr>
                <w:sz w:val="20"/>
                <w:szCs w:val="20"/>
                <w:color w:val="auto"/>
              </w:rPr>
            </w:pPr>
            <w:r>
              <w:rPr>
                <w:rFonts w:ascii="Times New Roman" w:cs="Times New Roman" w:eastAsia="Times New Roman" w:hAnsi="Times New Roman"/>
                <w:sz w:val="16"/>
                <w:szCs w:val="16"/>
                <w:color w:val="auto"/>
              </w:rPr>
              <w:t>2019</w:t>
            </w:r>
          </w:p>
        </w:tc>
        <w:tc>
          <w:tcPr>
            <w:tcW w:w="120" w:type="dxa"/>
            <w:vAlign w:val="bottom"/>
            <w:shd w:val="clear" w:color="auto" w:fill="E5FFFF"/>
          </w:tcPr>
          <w:p>
            <w:pPr>
              <w:spacing w:after="0"/>
              <w:rPr>
                <w:sz w:val="21"/>
                <w:szCs w:val="21"/>
                <w:color w:val="auto"/>
              </w:rPr>
            </w:pPr>
          </w:p>
        </w:tc>
        <w:tc>
          <w:tcPr>
            <w:tcW w:w="1240" w:type="dxa"/>
            <w:vAlign w:val="bottom"/>
            <w:shd w:val="clear" w:color="auto" w:fill="E5FFFF"/>
          </w:tcPr>
          <w:p>
            <w:pPr>
              <w:jc w:val="center"/>
              <w:spacing w:after="0"/>
              <w:rPr>
                <w:sz w:val="20"/>
                <w:szCs w:val="20"/>
                <w:color w:val="auto"/>
              </w:rPr>
            </w:pPr>
            <w:r>
              <w:rPr>
                <w:rFonts w:ascii="Times New Roman" w:cs="Times New Roman" w:eastAsia="Times New Roman" w:hAnsi="Times New Roman"/>
                <w:sz w:val="16"/>
                <w:szCs w:val="16"/>
                <w:color w:val="auto"/>
                <w:w w:val="99"/>
              </w:rPr>
              <w:t>174,000</w:t>
            </w:r>
          </w:p>
        </w:tc>
        <w:tc>
          <w:tcPr>
            <w:tcW w:w="100" w:type="dxa"/>
            <w:vAlign w:val="bottom"/>
            <w:shd w:val="clear" w:color="auto" w:fill="E5FFFF"/>
          </w:tcPr>
          <w:p>
            <w:pPr>
              <w:spacing w:after="0"/>
              <w:rPr>
                <w:sz w:val="21"/>
                <w:szCs w:val="21"/>
                <w:color w:val="auto"/>
              </w:rPr>
            </w:pPr>
          </w:p>
        </w:tc>
        <w:tc>
          <w:tcPr>
            <w:tcW w:w="1680" w:type="dxa"/>
            <w:vAlign w:val="bottom"/>
            <w:gridSpan w:val="2"/>
            <w:shd w:val="clear" w:color="auto" w:fill="E5FFFF"/>
          </w:tcPr>
          <w:p>
            <w:pPr>
              <w:jc w:val="center"/>
              <w:ind w:right="100"/>
              <w:spacing w:after="0"/>
              <w:rPr>
                <w:sz w:val="20"/>
                <w:szCs w:val="20"/>
                <w:color w:val="auto"/>
              </w:rPr>
            </w:pPr>
            <w:r>
              <w:rPr>
                <w:rFonts w:ascii="Times New Roman" w:cs="Times New Roman" w:eastAsia="Times New Roman" w:hAnsi="Times New Roman"/>
                <w:sz w:val="16"/>
                <w:szCs w:val="16"/>
                <w:color w:val="auto"/>
              </w:rPr>
              <w:t>Shell</w:t>
            </w:r>
          </w:p>
        </w:tc>
        <w:tc>
          <w:tcPr>
            <w:tcW w:w="1440" w:type="dxa"/>
            <w:vAlign w:val="bottom"/>
            <w:gridSpan w:val="2"/>
            <w:shd w:val="clear" w:color="auto" w:fill="E5FFFF"/>
          </w:tcPr>
          <w:p>
            <w:pPr>
              <w:jc w:val="center"/>
              <w:ind w:right="100"/>
              <w:spacing w:after="0"/>
              <w:rPr>
                <w:sz w:val="20"/>
                <w:szCs w:val="20"/>
                <w:color w:val="auto"/>
              </w:rPr>
            </w:pPr>
            <w:r>
              <w:rPr>
                <w:rFonts w:ascii="Times New Roman" w:cs="Times New Roman" w:eastAsia="Times New Roman" w:hAnsi="Times New Roman"/>
                <w:sz w:val="16"/>
                <w:szCs w:val="16"/>
                <w:color w:val="auto"/>
              </w:rPr>
              <w:t>X-DF</w:t>
            </w:r>
          </w:p>
        </w:tc>
        <w:tc>
          <w:tcPr>
            <w:tcW w:w="1680" w:type="dxa"/>
            <w:vAlign w:val="bottom"/>
            <w:gridSpan w:val="2"/>
            <w:shd w:val="clear" w:color="auto" w:fill="E5FFFF"/>
          </w:tcPr>
          <w:p>
            <w:pPr>
              <w:jc w:val="center"/>
              <w:ind w:right="60"/>
              <w:spacing w:after="0"/>
              <w:rPr>
                <w:sz w:val="20"/>
                <w:szCs w:val="20"/>
                <w:color w:val="auto"/>
              </w:rPr>
            </w:pPr>
            <w:r>
              <w:rPr>
                <w:rFonts w:ascii="Times New Roman" w:cs="Times New Roman" w:eastAsia="Times New Roman" w:hAnsi="Times New Roman"/>
                <w:sz w:val="16"/>
                <w:szCs w:val="16"/>
                <w:color w:val="auto"/>
              </w:rPr>
              <w:t>January 2029</w:t>
            </w:r>
          </w:p>
        </w:tc>
        <w:tc>
          <w:tcPr>
            <w:tcW w:w="1000" w:type="dxa"/>
            <w:vAlign w:val="bottom"/>
            <w:shd w:val="clear" w:color="auto" w:fill="E5FFFF"/>
          </w:tcPr>
          <w:p>
            <w:pPr>
              <w:jc w:val="center"/>
              <w:spacing w:after="0" w:line="243" w:lineRule="exact"/>
              <w:rPr>
                <w:sz w:val="20"/>
                <w:szCs w:val="20"/>
                <w:color w:val="auto"/>
              </w:rPr>
            </w:pPr>
            <w:r>
              <w:rPr>
                <w:rFonts w:ascii="Times New Roman" w:cs="Times New Roman" w:eastAsia="Times New Roman" w:hAnsi="Times New Roman"/>
                <w:sz w:val="16"/>
                <w:szCs w:val="16"/>
                <w:color w:val="auto"/>
                <w:w w:val="96"/>
              </w:rPr>
              <w:t xml:space="preserve">2032-2035 </w:t>
            </w:r>
            <w:r>
              <w:rPr>
                <w:rFonts w:ascii="Times New Roman" w:cs="Times New Roman" w:eastAsia="Times New Roman" w:hAnsi="Times New Roman"/>
                <w:sz w:val="26"/>
                <w:szCs w:val="26"/>
                <w:color w:val="auto"/>
                <w:w w:val="96"/>
                <w:vertAlign w:val="superscript"/>
              </w:rPr>
              <w:t>(7)</w:t>
            </w:r>
          </w:p>
        </w:tc>
        <w:tc>
          <w:tcPr>
            <w:tcW w:w="0" w:type="dxa"/>
            <w:vAlign w:val="bottom"/>
          </w:tcPr>
          <w:p>
            <w:pPr>
              <w:spacing w:after="0"/>
              <w:rPr>
                <w:sz w:val="1"/>
                <w:szCs w:val="1"/>
                <w:color w:val="auto"/>
              </w:rPr>
            </w:pPr>
          </w:p>
        </w:tc>
      </w:tr>
      <w:tr>
        <w:trPr>
          <w:trHeight w:val="203"/>
        </w:trPr>
        <w:tc>
          <w:tcPr>
            <w:tcW w:w="2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20</w:t>
            </w:r>
          </w:p>
        </w:tc>
        <w:tc>
          <w:tcPr>
            <w:tcW w:w="2980" w:type="dxa"/>
            <w:vAlign w:val="bottom"/>
            <w:gridSpan w:val="2"/>
          </w:tcPr>
          <w:p>
            <w:pPr>
              <w:ind w:left="40"/>
              <w:spacing w:after="0"/>
              <w:rPr>
                <w:sz w:val="20"/>
                <w:szCs w:val="20"/>
                <w:color w:val="auto"/>
              </w:rPr>
            </w:pPr>
            <w:r>
              <w:rPr>
                <w:rFonts w:ascii="Times New Roman" w:cs="Times New Roman" w:eastAsia="Times New Roman" w:hAnsi="Times New Roman"/>
                <w:sz w:val="16"/>
                <w:szCs w:val="16"/>
                <w:i w:val="1"/>
                <w:iCs w:val="1"/>
                <w:color w:val="auto"/>
              </w:rPr>
              <w:t>Methane Becki Anne*</w:t>
            </w:r>
          </w:p>
        </w:tc>
        <w:tc>
          <w:tcPr>
            <w:tcW w:w="8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2010</w:t>
            </w:r>
          </w:p>
        </w:tc>
        <w:tc>
          <w:tcPr>
            <w:tcW w:w="120" w:type="dxa"/>
            <w:vAlign w:val="bottom"/>
          </w:tcPr>
          <w:p>
            <w:pPr>
              <w:spacing w:after="0"/>
              <w:rPr>
                <w:sz w:val="17"/>
                <w:szCs w:val="17"/>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170,000</w:t>
            </w:r>
          </w:p>
        </w:tc>
        <w:tc>
          <w:tcPr>
            <w:tcW w:w="100" w:type="dxa"/>
            <w:vAlign w:val="bottom"/>
          </w:tcPr>
          <w:p>
            <w:pPr>
              <w:spacing w:after="0"/>
              <w:rPr>
                <w:sz w:val="17"/>
                <w:szCs w:val="17"/>
                <w:color w:val="auto"/>
              </w:rPr>
            </w:pPr>
          </w:p>
        </w:tc>
        <w:tc>
          <w:tcPr>
            <w:tcW w:w="16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Shell</w:t>
            </w:r>
          </w:p>
        </w:tc>
        <w:tc>
          <w:tcPr>
            <w:tcW w:w="14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TFDE</w:t>
            </w:r>
          </w:p>
        </w:tc>
        <w:tc>
          <w:tcPr>
            <w:tcW w:w="16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March 2029</w:t>
            </w:r>
          </w:p>
        </w:tc>
        <w:tc>
          <w:tcPr>
            <w:tcW w:w="10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43"/>
        </w:trPr>
        <w:tc>
          <w:tcPr>
            <w:tcW w:w="200" w:type="dxa"/>
            <w:vAlign w:val="bottom"/>
            <w:shd w:val="clear" w:color="auto" w:fill="E5FFFF"/>
          </w:tcPr>
          <w:p>
            <w:pPr>
              <w:spacing w:after="0"/>
              <w:rPr>
                <w:sz w:val="20"/>
                <w:szCs w:val="20"/>
                <w:color w:val="auto"/>
              </w:rPr>
            </w:pPr>
            <w:r>
              <w:rPr>
                <w:rFonts w:ascii="Times New Roman" w:cs="Times New Roman" w:eastAsia="Times New Roman" w:hAnsi="Times New Roman"/>
                <w:sz w:val="16"/>
                <w:szCs w:val="16"/>
                <w:b w:val="1"/>
                <w:bCs w:val="1"/>
                <w:color w:val="auto"/>
              </w:rPr>
              <w:t>21</w:t>
            </w:r>
          </w:p>
        </w:tc>
        <w:tc>
          <w:tcPr>
            <w:tcW w:w="2980" w:type="dxa"/>
            <w:vAlign w:val="bottom"/>
            <w:gridSpan w:val="2"/>
            <w:shd w:val="clear" w:color="auto" w:fill="E5FFFF"/>
          </w:tcPr>
          <w:p>
            <w:pPr>
              <w:ind w:left="40"/>
              <w:spacing w:after="0"/>
              <w:rPr>
                <w:sz w:val="20"/>
                <w:szCs w:val="20"/>
                <w:color w:val="auto"/>
              </w:rPr>
            </w:pPr>
            <w:r>
              <w:rPr>
                <w:rFonts w:ascii="Times New Roman" w:cs="Times New Roman" w:eastAsia="Times New Roman" w:hAnsi="Times New Roman"/>
                <w:sz w:val="16"/>
                <w:szCs w:val="16"/>
                <w:i w:val="1"/>
                <w:iCs w:val="1"/>
                <w:color w:val="auto"/>
              </w:rPr>
              <w:t>GasLog Warsaw</w:t>
            </w:r>
          </w:p>
        </w:tc>
        <w:tc>
          <w:tcPr>
            <w:tcW w:w="800" w:type="dxa"/>
            <w:vAlign w:val="bottom"/>
            <w:shd w:val="clear" w:color="auto" w:fill="E5FFFF"/>
          </w:tcPr>
          <w:p>
            <w:pPr>
              <w:ind w:left="240"/>
              <w:spacing w:after="0"/>
              <w:rPr>
                <w:sz w:val="20"/>
                <w:szCs w:val="20"/>
                <w:color w:val="auto"/>
              </w:rPr>
            </w:pPr>
            <w:r>
              <w:rPr>
                <w:rFonts w:ascii="Times New Roman" w:cs="Times New Roman" w:eastAsia="Times New Roman" w:hAnsi="Times New Roman"/>
                <w:sz w:val="16"/>
                <w:szCs w:val="16"/>
                <w:color w:val="auto"/>
              </w:rPr>
              <w:t>2019</w:t>
            </w:r>
          </w:p>
        </w:tc>
        <w:tc>
          <w:tcPr>
            <w:tcW w:w="120" w:type="dxa"/>
            <w:vAlign w:val="bottom"/>
            <w:shd w:val="clear" w:color="auto" w:fill="E5FFFF"/>
          </w:tcPr>
          <w:p>
            <w:pPr>
              <w:spacing w:after="0"/>
              <w:rPr>
                <w:sz w:val="21"/>
                <w:szCs w:val="21"/>
                <w:color w:val="auto"/>
              </w:rPr>
            </w:pPr>
          </w:p>
        </w:tc>
        <w:tc>
          <w:tcPr>
            <w:tcW w:w="1240" w:type="dxa"/>
            <w:vAlign w:val="bottom"/>
            <w:shd w:val="clear" w:color="auto" w:fill="E5FFFF"/>
          </w:tcPr>
          <w:p>
            <w:pPr>
              <w:jc w:val="center"/>
              <w:spacing w:after="0"/>
              <w:rPr>
                <w:sz w:val="20"/>
                <w:szCs w:val="20"/>
                <w:color w:val="auto"/>
              </w:rPr>
            </w:pPr>
            <w:r>
              <w:rPr>
                <w:rFonts w:ascii="Times New Roman" w:cs="Times New Roman" w:eastAsia="Times New Roman" w:hAnsi="Times New Roman"/>
                <w:sz w:val="16"/>
                <w:szCs w:val="16"/>
                <w:color w:val="auto"/>
                <w:w w:val="99"/>
              </w:rPr>
              <w:t>180,000</w:t>
            </w:r>
          </w:p>
        </w:tc>
        <w:tc>
          <w:tcPr>
            <w:tcW w:w="100" w:type="dxa"/>
            <w:vAlign w:val="bottom"/>
            <w:shd w:val="clear" w:color="auto" w:fill="E5FFFF"/>
          </w:tcPr>
          <w:p>
            <w:pPr>
              <w:spacing w:after="0"/>
              <w:rPr>
                <w:sz w:val="21"/>
                <w:szCs w:val="21"/>
                <w:color w:val="auto"/>
              </w:rPr>
            </w:pPr>
          </w:p>
        </w:tc>
        <w:tc>
          <w:tcPr>
            <w:tcW w:w="1680" w:type="dxa"/>
            <w:vAlign w:val="bottom"/>
            <w:gridSpan w:val="2"/>
            <w:shd w:val="clear" w:color="auto" w:fill="E5FFFF"/>
          </w:tcPr>
          <w:p>
            <w:pPr>
              <w:jc w:val="center"/>
              <w:ind w:right="100"/>
              <w:spacing w:after="0" w:line="243" w:lineRule="exact"/>
              <w:rPr>
                <w:sz w:val="20"/>
                <w:szCs w:val="20"/>
                <w:color w:val="auto"/>
              </w:rPr>
            </w:pPr>
            <w:r>
              <w:rPr>
                <w:rFonts w:ascii="Times New Roman" w:cs="Times New Roman" w:eastAsia="Times New Roman" w:hAnsi="Times New Roman"/>
                <w:sz w:val="16"/>
                <w:szCs w:val="16"/>
                <w:color w:val="auto"/>
                <w:w w:val="93"/>
              </w:rPr>
              <w:t xml:space="preserve">Endesa </w:t>
            </w:r>
            <w:r>
              <w:rPr>
                <w:rFonts w:ascii="Times New Roman" w:cs="Times New Roman" w:eastAsia="Times New Roman" w:hAnsi="Times New Roman"/>
                <w:sz w:val="26"/>
                <w:szCs w:val="26"/>
                <w:color w:val="auto"/>
                <w:w w:val="93"/>
                <w:vertAlign w:val="superscript"/>
              </w:rPr>
              <w:t>(11)</w:t>
            </w:r>
          </w:p>
        </w:tc>
        <w:tc>
          <w:tcPr>
            <w:tcW w:w="1440" w:type="dxa"/>
            <w:vAlign w:val="bottom"/>
            <w:gridSpan w:val="2"/>
            <w:shd w:val="clear" w:color="auto" w:fill="E5FFFF"/>
          </w:tcPr>
          <w:p>
            <w:pPr>
              <w:jc w:val="center"/>
              <w:ind w:right="100"/>
              <w:spacing w:after="0"/>
              <w:rPr>
                <w:sz w:val="20"/>
                <w:szCs w:val="20"/>
                <w:color w:val="auto"/>
              </w:rPr>
            </w:pPr>
            <w:r>
              <w:rPr>
                <w:rFonts w:ascii="Times New Roman" w:cs="Times New Roman" w:eastAsia="Times New Roman" w:hAnsi="Times New Roman"/>
                <w:sz w:val="16"/>
                <w:szCs w:val="16"/>
                <w:color w:val="auto"/>
              </w:rPr>
              <w:t>X-DF</w:t>
            </w:r>
          </w:p>
        </w:tc>
        <w:tc>
          <w:tcPr>
            <w:tcW w:w="1680" w:type="dxa"/>
            <w:vAlign w:val="bottom"/>
            <w:gridSpan w:val="2"/>
            <w:shd w:val="clear" w:color="auto" w:fill="E5FFFF"/>
          </w:tcPr>
          <w:p>
            <w:pPr>
              <w:jc w:val="center"/>
              <w:ind w:right="100"/>
              <w:spacing w:after="0"/>
              <w:rPr>
                <w:sz w:val="20"/>
                <w:szCs w:val="20"/>
                <w:color w:val="auto"/>
              </w:rPr>
            </w:pPr>
            <w:r>
              <w:rPr>
                <w:rFonts w:ascii="Times New Roman" w:cs="Times New Roman" w:eastAsia="Times New Roman" w:hAnsi="Times New Roman"/>
                <w:sz w:val="16"/>
                <w:szCs w:val="16"/>
                <w:color w:val="auto"/>
              </w:rPr>
              <w:t>May 2029</w:t>
            </w:r>
          </w:p>
        </w:tc>
        <w:tc>
          <w:tcPr>
            <w:tcW w:w="1000" w:type="dxa"/>
            <w:vAlign w:val="bottom"/>
            <w:shd w:val="clear" w:color="auto" w:fill="E5FFFF"/>
          </w:tcPr>
          <w:p>
            <w:pPr>
              <w:jc w:val="center"/>
              <w:spacing w:after="0" w:line="243" w:lineRule="exact"/>
              <w:rPr>
                <w:sz w:val="20"/>
                <w:szCs w:val="20"/>
                <w:color w:val="auto"/>
              </w:rPr>
            </w:pPr>
            <w:r>
              <w:rPr>
                <w:rFonts w:ascii="Times New Roman" w:cs="Times New Roman" w:eastAsia="Times New Roman" w:hAnsi="Times New Roman"/>
                <w:sz w:val="16"/>
                <w:szCs w:val="16"/>
                <w:color w:val="auto"/>
                <w:w w:val="93"/>
              </w:rPr>
              <w:t xml:space="preserve">2035-2041 </w:t>
            </w:r>
            <w:r>
              <w:rPr>
                <w:rFonts w:ascii="Times New Roman" w:cs="Times New Roman" w:eastAsia="Times New Roman" w:hAnsi="Times New Roman"/>
                <w:sz w:val="26"/>
                <w:szCs w:val="26"/>
                <w:color w:val="auto"/>
                <w:w w:val="93"/>
                <w:vertAlign w:val="superscript"/>
              </w:rPr>
              <w:t>(11)</w:t>
            </w:r>
          </w:p>
        </w:tc>
        <w:tc>
          <w:tcPr>
            <w:tcW w:w="0" w:type="dxa"/>
            <w:vAlign w:val="bottom"/>
          </w:tcPr>
          <w:p>
            <w:pPr>
              <w:spacing w:after="0"/>
              <w:rPr>
                <w:sz w:val="1"/>
                <w:szCs w:val="1"/>
                <w:color w:val="auto"/>
              </w:rPr>
            </w:pPr>
          </w:p>
        </w:tc>
      </w:tr>
      <w:tr>
        <w:trPr>
          <w:trHeight w:val="243"/>
        </w:trPr>
        <w:tc>
          <w:tcPr>
            <w:tcW w:w="2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22</w:t>
            </w:r>
          </w:p>
        </w:tc>
        <w:tc>
          <w:tcPr>
            <w:tcW w:w="2980" w:type="dxa"/>
            <w:vAlign w:val="bottom"/>
            <w:gridSpan w:val="2"/>
          </w:tcPr>
          <w:p>
            <w:pPr>
              <w:ind w:left="40"/>
              <w:spacing w:after="0"/>
              <w:rPr>
                <w:sz w:val="20"/>
                <w:szCs w:val="20"/>
                <w:color w:val="auto"/>
              </w:rPr>
            </w:pPr>
            <w:r>
              <w:rPr>
                <w:rFonts w:ascii="Times New Roman" w:cs="Times New Roman" w:eastAsia="Times New Roman" w:hAnsi="Times New Roman"/>
                <w:sz w:val="16"/>
                <w:szCs w:val="16"/>
                <w:i w:val="1"/>
                <w:iCs w:val="1"/>
                <w:color w:val="auto"/>
              </w:rPr>
              <w:t>Solaris*</w:t>
            </w:r>
          </w:p>
        </w:tc>
        <w:tc>
          <w:tcPr>
            <w:tcW w:w="8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2014</w:t>
            </w:r>
          </w:p>
        </w:tc>
        <w:tc>
          <w:tcPr>
            <w:tcW w:w="120" w:type="dxa"/>
            <w:vAlign w:val="bottom"/>
          </w:tcPr>
          <w:p>
            <w:pPr>
              <w:spacing w:after="0"/>
              <w:rPr>
                <w:sz w:val="21"/>
                <w:szCs w:val="21"/>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155,000</w:t>
            </w:r>
          </w:p>
        </w:tc>
        <w:tc>
          <w:tcPr>
            <w:tcW w:w="100" w:type="dxa"/>
            <w:vAlign w:val="bottom"/>
          </w:tcPr>
          <w:p>
            <w:pPr>
              <w:spacing w:after="0"/>
              <w:rPr>
                <w:sz w:val="21"/>
                <w:szCs w:val="21"/>
                <w:color w:val="auto"/>
              </w:rPr>
            </w:pPr>
          </w:p>
        </w:tc>
        <w:tc>
          <w:tcPr>
            <w:tcW w:w="1680" w:type="dxa"/>
            <w:vAlign w:val="bottom"/>
            <w:gridSpan w:val="2"/>
          </w:tcPr>
          <w:p>
            <w:pPr>
              <w:jc w:val="center"/>
              <w:ind w:right="100"/>
              <w:spacing w:after="0" w:line="243" w:lineRule="exact"/>
              <w:rPr>
                <w:sz w:val="20"/>
                <w:szCs w:val="20"/>
                <w:color w:val="auto"/>
              </w:rPr>
            </w:pPr>
            <w:r>
              <w:rPr>
                <w:rFonts w:ascii="Times New Roman" w:cs="Times New Roman" w:eastAsia="Times New Roman" w:hAnsi="Times New Roman"/>
                <w:sz w:val="16"/>
                <w:szCs w:val="16"/>
                <w:color w:val="auto"/>
                <w:w w:val="90"/>
              </w:rPr>
              <w:t xml:space="preserve">Kansai </w:t>
            </w:r>
            <w:r>
              <w:rPr>
                <w:rFonts w:ascii="Times New Roman" w:cs="Times New Roman" w:eastAsia="Times New Roman" w:hAnsi="Times New Roman"/>
                <w:sz w:val="26"/>
                <w:szCs w:val="26"/>
                <w:color w:val="auto"/>
                <w:w w:val="90"/>
                <w:vertAlign w:val="superscript"/>
              </w:rPr>
              <w:t>(12)</w:t>
            </w:r>
          </w:p>
        </w:tc>
        <w:tc>
          <w:tcPr>
            <w:tcW w:w="14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TFDE</w:t>
            </w:r>
          </w:p>
        </w:tc>
        <w:tc>
          <w:tcPr>
            <w:tcW w:w="16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April 2030</w:t>
            </w:r>
          </w:p>
        </w:tc>
        <w:tc>
          <w:tcPr>
            <w:tcW w:w="10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189"/>
        </w:trPr>
        <w:tc>
          <w:tcPr>
            <w:tcW w:w="200" w:type="dxa"/>
            <w:vAlign w:val="bottom"/>
            <w:vMerge w:val="restart"/>
            <w:shd w:val="clear" w:color="auto" w:fill="E5FFFF"/>
          </w:tcPr>
          <w:p>
            <w:pPr>
              <w:spacing w:after="0"/>
              <w:rPr>
                <w:sz w:val="20"/>
                <w:szCs w:val="20"/>
                <w:color w:val="auto"/>
              </w:rPr>
            </w:pPr>
            <w:r>
              <w:rPr>
                <w:rFonts w:ascii="Times New Roman" w:cs="Times New Roman" w:eastAsia="Times New Roman" w:hAnsi="Times New Roman"/>
                <w:sz w:val="16"/>
                <w:szCs w:val="16"/>
                <w:b w:val="1"/>
                <w:bCs w:val="1"/>
                <w:color w:val="auto"/>
              </w:rPr>
              <w:t>23</w:t>
            </w:r>
          </w:p>
        </w:tc>
        <w:tc>
          <w:tcPr>
            <w:tcW w:w="2980" w:type="dxa"/>
            <w:vAlign w:val="bottom"/>
            <w:gridSpan w:val="2"/>
            <w:vMerge w:val="restart"/>
            <w:shd w:val="clear" w:color="auto" w:fill="E5FFFF"/>
          </w:tcPr>
          <w:p>
            <w:pPr>
              <w:ind w:left="40"/>
              <w:spacing w:after="0"/>
              <w:rPr>
                <w:sz w:val="20"/>
                <w:szCs w:val="20"/>
                <w:color w:val="auto"/>
              </w:rPr>
            </w:pPr>
            <w:r>
              <w:rPr>
                <w:rFonts w:ascii="Times New Roman" w:cs="Times New Roman" w:eastAsia="Times New Roman" w:hAnsi="Times New Roman"/>
                <w:sz w:val="16"/>
                <w:szCs w:val="16"/>
                <w:i w:val="1"/>
                <w:iCs w:val="1"/>
                <w:color w:val="auto"/>
              </w:rPr>
              <w:t>GasLog Singapore</w:t>
            </w:r>
          </w:p>
        </w:tc>
        <w:tc>
          <w:tcPr>
            <w:tcW w:w="800" w:type="dxa"/>
            <w:vAlign w:val="bottom"/>
            <w:shd w:val="clear" w:color="auto" w:fill="E5FFFF"/>
          </w:tcPr>
          <w:p>
            <w:pPr>
              <w:spacing w:after="0"/>
              <w:rPr>
                <w:sz w:val="16"/>
                <w:szCs w:val="16"/>
                <w:color w:val="auto"/>
              </w:rPr>
            </w:pPr>
          </w:p>
        </w:tc>
        <w:tc>
          <w:tcPr>
            <w:tcW w:w="120" w:type="dxa"/>
            <w:vAlign w:val="bottom"/>
            <w:shd w:val="clear" w:color="auto" w:fill="E5FFFF"/>
          </w:tcPr>
          <w:p>
            <w:pPr>
              <w:spacing w:after="0"/>
              <w:rPr>
                <w:sz w:val="16"/>
                <w:szCs w:val="16"/>
                <w:color w:val="auto"/>
              </w:rPr>
            </w:pPr>
          </w:p>
        </w:tc>
        <w:tc>
          <w:tcPr>
            <w:tcW w:w="1240" w:type="dxa"/>
            <w:vAlign w:val="bottom"/>
            <w:shd w:val="clear" w:color="auto" w:fill="E5FFFF"/>
          </w:tcPr>
          <w:p>
            <w:pPr>
              <w:spacing w:after="0"/>
              <w:rPr>
                <w:sz w:val="16"/>
                <w:szCs w:val="16"/>
                <w:color w:val="auto"/>
              </w:rPr>
            </w:pPr>
          </w:p>
        </w:tc>
        <w:tc>
          <w:tcPr>
            <w:tcW w:w="100" w:type="dxa"/>
            <w:vAlign w:val="bottom"/>
            <w:shd w:val="clear" w:color="auto" w:fill="E5FFFF"/>
          </w:tcPr>
          <w:p>
            <w:pPr>
              <w:spacing w:after="0"/>
              <w:rPr>
                <w:sz w:val="16"/>
                <w:szCs w:val="16"/>
                <w:color w:val="auto"/>
              </w:rPr>
            </w:pPr>
          </w:p>
        </w:tc>
        <w:tc>
          <w:tcPr>
            <w:tcW w:w="1680" w:type="dxa"/>
            <w:vAlign w:val="bottom"/>
            <w:gridSpan w:val="2"/>
            <w:shd w:val="clear" w:color="auto" w:fill="E5FFFF"/>
          </w:tcPr>
          <w:p>
            <w:pPr>
              <w:jc w:val="center"/>
              <w:ind w:right="100"/>
              <w:spacing w:after="0"/>
              <w:rPr>
                <w:sz w:val="20"/>
                <w:szCs w:val="20"/>
                <w:color w:val="auto"/>
              </w:rPr>
            </w:pPr>
            <w:r>
              <w:rPr>
                <w:rFonts w:ascii="Times New Roman" w:cs="Times New Roman" w:eastAsia="Times New Roman" w:hAnsi="Times New Roman"/>
                <w:sz w:val="16"/>
                <w:szCs w:val="16"/>
                <w:color w:val="auto"/>
              </w:rPr>
              <w:t>NFE Transport Partners</w:t>
            </w:r>
          </w:p>
        </w:tc>
        <w:tc>
          <w:tcPr>
            <w:tcW w:w="1340" w:type="dxa"/>
            <w:vAlign w:val="bottom"/>
            <w:shd w:val="clear" w:color="auto" w:fill="E5FFFF"/>
          </w:tcPr>
          <w:p>
            <w:pPr>
              <w:spacing w:after="0"/>
              <w:rPr>
                <w:sz w:val="16"/>
                <w:szCs w:val="16"/>
                <w:color w:val="auto"/>
              </w:rPr>
            </w:pPr>
          </w:p>
        </w:tc>
        <w:tc>
          <w:tcPr>
            <w:tcW w:w="100" w:type="dxa"/>
            <w:vAlign w:val="bottom"/>
            <w:shd w:val="clear" w:color="auto" w:fill="E5FFFF"/>
          </w:tcPr>
          <w:p>
            <w:pPr>
              <w:spacing w:after="0"/>
              <w:rPr>
                <w:sz w:val="16"/>
                <w:szCs w:val="16"/>
                <w:color w:val="auto"/>
              </w:rPr>
            </w:pPr>
          </w:p>
        </w:tc>
        <w:tc>
          <w:tcPr>
            <w:tcW w:w="1580" w:type="dxa"/>
            <w:vAlign w:val="bottom"/>
            <w:shd w:val="clear" w:color="auto" w:fill="E5FFFF"/>
          </w:tcPr>
          <w:p>
            <w:pPr>
              <w:spacing w:after="0"/>
              <w:rPr>
                <w:sz w:val="16"/>
                <w:szCs w:val="16"/>
                <w:color w:val="auto"/>
              </w:rPr>
            </w:pPr>
          </w:p>
        </w:tc>
        <w:tc>
          <w:tcPr>
            <w:tcW w:w="100" w:type="dxa"/>
            <w:vAlign w:val="bottom"/>
            <w:shd w:val="clear" w:color="auto" w:fill="E5FFFF"/>
          </w:tcPr>
          <w:p>
            <w:pPr>
              <w:spacing w:after="0"/>
              <w:rPr>
                <w:sz w:val="16"/>
                <w:szCs w:val="16"/>
                <w:color w:val="auto"/>
              </w:rPr>
            </w:pPr>
          </w:p>
        </w:tc>
        <w:tc>
          <w:tcPr>
            <w:tcW w:w="1000" w:type="dxa"/>
            <w:vAlign w:val="bottom"/>
            <w:shd w:val="clear" w:color="auto" w:fill="E5FF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0" w:type="dxa"/>
            <w:vAlign w:val="bottom"/>
            <w:vMerge w:val="continue"/>
            <w:shd w:val="clear" w:color="auto" w:fill="E5FFFF"/>
          </w:tcPr>
          <w:p>
            <w:pPr>
              <w:spacing w:after="0"/>
              <w:rPr>
                <w:sz w:val="18"/>
                <w:szCs w:val="18"/>
                <w:color w:val="auto"/>
              </w:rPr>
            </w:pPr>
          </w:p>
        </w:tc>
        <w:tc>
          <w:tcPr>
            <w:tcW w:w="2980" w:type="dxa"/>
            <w:vAlign w:val="bottom"/>
            <w:gridSpan w:val="2"/>
            <w:vMerge w:val="continue"/>
            <w:shd w:val="clear" w:color="auto" w:fill="E5FFFF"/>
          </w:tcPr>
          <w:p>
            <w:pPr>
              <w:spacing w:after="0"/>
              <w:rPr>
                <w:sz w:val="18"/>
                <w:szCs w:val="18"/>
                <w:color w:val="auto"/>
              </w:rPr>
            </w:pPr>
          </w:p>
        </w:tc>
        <w:tc>
          <w:tcPr>
            <w:tcW w:w="800" w:type="dxa"/>
            <w:vAlign w:val="bottom"/>
            <w:shd w:val="clear" w:color="auto" w:fill="E5FFFF"/>
          </w:tcPr>
          <w:p>
            <w:pPr>
              <w:ind w:left="240"/>
              <w:spacing w:after="0"/>
              <w:rPr>
                <w:sz w:val="20"/>
                <w:szCs w:val="20"/>
                <w:color w:val="auto"/>
              </w:rPr>
            </w:pPr>
            <w:r>
              <w:rPr>
                <w:rFonts w:ascii="Times New Roman" w:cs="Times New Roman" w:eastAsia="Times New Roman" w:hAnsi="Times New Roman"/>
                <w:sz w:val="16"/>
                <w:szCs w:val="16"/>
                <w:color w:val="auto"/>
              </w:rPr>
              <w:t>2010</w:t>
            </w:r>
          </w:p>
        </w:tc>
        <w:tc>
          <w:tcPr>
            <w:tcW w:w="120" w:type="dxa"/>
            <w:vAlign w:val="bottom"/>
            <w:shd w:val="clear" w:color="auto" w:fill="E5FFFF"/>
          </w:tcPr>
          <w:p>
            <w:pPr>
              <w:spacing w:after="0"/>
              <w:rPr>
                <w:sz w:val="18"/>
                <w:szCs w:val="18"/>
                <w:color w:val="auto"/>
              </w:rPr>
            </w:pPr>
          </w:p>
        </w:tc>
        <w:tc>
          <w:tcPr>
            <w:tcW w:w="1240" w:type="dxa"/>
            <w:vAlign w:val="bottom"/>
            <w:shd w:val="clear" w:color="auto" w:fill="E5FFFF"/>
          </w:tcPr>
          <w:p>
            <w:pPr>
              <w:jc w:val="center"/>
              <w:spacing w:after="0"/>
              <w:rPr>
                <w:sz w:val="20"/>
                <w:szCs w:val="20"/>
                <w:color w:val="auto"/>
              </w:rPr>
            </w:pPr>
            <w:r>
              <w:rPr>
                <w:rFonts w:ascii="Times New Roman" w:cs="Times New Roman" w:eastAsia="Times New Roman" w:hAnsi="Times New Roman"/>
                <w:sz w:val="16"/>
                <w:szCs w:val="16"/>
                <w:color w:val="auto"/>
                <w:w w:val="99"/>
              </w:rPr>
              <w:t>155,000</w:t>
            </w:r>
          </w:p>
        </w:tc>
        <w:tc>
          <w:tcPr>
            <w:tcW w:w="100" w:type="dxa"/>
            <w:vAlign w:val="bottom"/>
            <w:shd w:val="clear" w:color="auto" w:fill="E5FFFF"/>
          </w:tcPr>
          <w:p>
            <w:pPr>
              <w:spacing w:after="0"/>
              <w:rPr>
                <w:sz w:val="18"/>
                <w:szCs w:val="18"/>
                <w:color w:val="auto"/>
              </w:rPr>
            </w:pPr>
          </w:p>
        </w:tc>
        <w:tc>
          <w:tcPr>
            <w:tcW w:w="1680" w:type="dxa"/>
            <w:vAlign w:val="bottom"/>
            <w:gridSpan w:val="2"/>
            <w:shd w:val="clear" w:color="auto" w:fill="E5FFFF"/>
          </w:tcPr>
          <w:p>
            <w:pPr>
              <w:jc w:val="center"/>
              <w:ind w:right="100"/>
              <w:spacing w:after="0"/>
              <w:rPr>
                <w:sz w:val="20"/>
                <w:szCs w:val="20"/>
                <w:color w:val="auto"/>
              </w:rPr>
            </w:pPr>
            <w:r>
              <w:rPr>
                <w:rFonts w:ascii="Times New Roman" w:cs="Times New Roman" w:eastAsia="Times New Roman" w:hAnsi="Times New Roman"/>
                <w:sz w:val="16"/>
                <w:szCs w:val="16"/>
                <w:color w:val="auto"/>
                <w:w w:val="99"/>
              </w:rPr>
              <w:t>LLC</w:t>
            </w:r>
          </w:p>
        </w:tc>
        <w:tc>
          <w:tcPr>
            <w:tcW w:w="1440" w:type="dxa"/>
            <w:vAlign w:val="bottom"/>
            <w:gridSpan w:val="2"/>
            <w:shd w:val="clear" w:color="auto" w:fill="E5FFFF"/>
          </w:tcPr>
          <w:p>
            <w:pPr>
              <w:jc w:val="center"/>
              <w:ind w:right="100"/>
              <w:spacing w:after="0"/>
              <w:rPr>
                <w:sz w:val="20"/>
                <w:szCs w:val="20"/>
                <w:color w:val="auto"/>
              </w:rPr>
            </w:pPr>
            <w:r>
              <w:rPr>
                <w:rFonts w:ascii="Times New Roman" w:cs="Times New Roman" w:eastAsia="Times New Roman" w:hAnsi="Times New Roman"/>
                <w:sz w:val="16"/>
                <w:szCs w:val="16"/>
                <w:color w:val="auto"/>
              </w:rPr>
              <w:t>TFDE</w:t>
            </w:r>
          </w:p>
        </w:tc>
        <w:tc>
          <w:tcPr>
            <w:tcW w:w="1680" w:type="dxa"/>
            <w:vAlign w:val="bottom"/>
            <w:gridSpan w:val="2"/>
            <w:shd w:val="clear" w:color="auto" w:fill="E5FFFF"/>
          </w:tcPr>
          <w:p>
            <w:pPr>
              <w:jc w:val="center"/>
              <w:ind w:right="100"/>
              <w:spacing w:after="0"/>
              <w:rPr>
                <w:sz w:val="20"/>
                <w:szCs w:val="20"/>
                <w:color w:val="auto"/>
              </w:rPr>
            </w:pPr>
            <w:r>
              <w:rPr>
                <w:rFonts w:ascii="Times New Roman" w:cs="Times New Roman" w:eastAsia="Times New Roman" w:hAnsi="Times New Roman"/>
                <w:sz w:val="16"/>
                <w:szCs w:val="16"/>
                <w:color w:val="auto"/>
              </w:rPr>
              <w:t>June 2030</w:t>
            </w:r>
          </w:p>
        </w:tc>
        <w:tc>
          <w:tcPr>
            <w:tcW w:w="1000" w:type="dxa"/>
            <w:vAlign w:val="bottom"/>
            <w:shd w:val="clear" w:color="auto" w:fill="E5FF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355"/>
        </w:trPr>
        <w:tc>
          <w:tcPr>
            <w:tcW w:w="2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24</w:t>
            </w:r>
          </w:p>
        </w:tc>
        <w:tc>
          <w:tcPr>
            <w:tcW w:w="2980" w:type="dxa"/>
            <w:vAlign w:val="bottom"/>
            <w:gridSpan w:val="2"/>
          </w:tcPr>
          <w:p>
            <w:pPr>
              <w:ind w:left="40"/>
              <w:spacing w:after="0"/>
              <w:rPr>
                <w:sz w:val="20"/>
                <w:szCs w:val="20"/>
                <w:color w:val="auto"/>
              </w:rPr>
            </w:pPr>
            <w:r>
              <w:rPr>
                <w:rFonts w:ascii="Times New Roman" w:cs="Times New Roman" w:eastAsia="Times New Roman" w:hAnsi="Times New Roman"/>
                <w:sz w:val="16"/>
                <w:szCs w:val="16"/>
                <w:i w:val="1"/>
                <w:iCs w:val="1"/>
                <w:color w:val="auto"/>
              </w:rPr>
              <w:t>GasLog Wales</w:t>
            </w:r>
          </w:p>
        </w:tc>
        <w:tc>
          <w:tcPr>
            <w:tcW w:w="8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2020</w:t>
            </w:r>
          </w:p>
        </w:tc>
        <w:tc>
          <w:tcPr>
            <w:tcW w:w="120" w:type="dxa"/>
            <w:vAlign w:val="bottom"/>
          </w:tcPr>
          <w:p>
            <w:pPr>
              <w:spacing w:after="0"/>
              <w:rPr>
                <w:sz w:val="24"/>
                <w:szCs w:val="24"/>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180,000</w:t>
            </w:r>
          </w:p>
        </w:tc>
        <w:tc>
          <w:tcPr>
            <w:tcW w:w="100" w:type="dxa"/>
            <w:vAlign w:val="bottom"/>
          </w:tcPr>
          <w:p>
            <w:pPr>
              <w:spacing w:after="0"/>
              <w:rPr>
                <w:sz w:val="24"/>
                <w:szCs w:val="24"/>
                <w:color w:val="auto"/>
              </w:rPr>
            </w:pPr>
          </w:p>
        </w:tc>
        <w:tc>
          <w:tcPr>
            <w:tcW w:w="16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2"/>
              </w:rPr>
              <w:t xml:space="preserve">Jera </w:t>
            </w:r>
            <w:r>
              <w:rPr>
                <w:rFonts w:ascii="Times New Roman" w:cs="Times New Roman" w:eastAsia="Times New Roman" w:hAnsi="Times New Roman"/>
                <w:sz w:val="26"/>
                <w:szCs w:val="26"/>
                <w:color w:val="auto"/>
                <w:w w:val="92"/>
                <w:vertAlign w:val="superscript"/>
              </w:rPr>
              <w:t>(13)</w:t>
            </w:r>
          </w:p>
        </w:tc>
        <w:tc>
          <w:tcPr>
            <w:tcW w:w="14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X-DF</w:t>
            </w:r>
          </w:p>
        </w:tc>
        <w:tc>
          <w:tcPr>
            <w:tcW w:w="16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March 2032</w:t>
            </w:r>
          </w:p>
        </w:tc>
        <w:tc>
          <w:tcPr>
            <w:tcW w:w="10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3"/>
              </w:rPr>
              <w:t xml:space="preserve">2035-2038 </w:t>
            </w:r>
            <w:r>
              <w:rPr>
                <w:rFonts w:ascii="Times New Roman" w:cs="Times New Roman" w:eastAsia="Times New Roman" w:hAnsi="Times New Roman"/>
                <w:sz w:val="26"/>
                <w:szCs w:val="26"/>
                <w:color w:val="auto"/>
                <w:w w:val="93"/>
                <w:vertAlign w:val="superscript"/>
              </w:rPr>
              <w:t>(13)</w:t>
            </w:r>
          </w:p>
        </w:tc>
        <w:tc>
          <w:tcPr>
            <w:tcW w:w="0" w:type="dxa"/>
            <w:vAlign w:val="bottom"/>
          </w:tcPr>
          <w:p>
            <w:pPr>
              <w:spacing w:after="0"/>
              <w:rPr>
                <w:sz w:val="1"/>
                <w:szCs w:val="1"/>
                <w:color w:val="auto"/>
              </w:rPr>
            </w:pPr>
          </w:p>
        </w:tc>
      </w:tr>
    </w:tbl>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Bareboat Vessels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color w:val="auto"/>
        </w:rPr>
        <w:t>As of February 15, 2024, GasLog’s bareboat fleet consisted of the following vessels: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Cargo</w:t>
            </w:r>
          </w:p>
        </w:tc>
        <w:tc>
          <w:tcPr>
            <w:tcW w:w="1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1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Charter</w:t>
            </w:r>
          </w:p>
        </w:tc>
        <w:tc>
          <w:tcPr>
            <w:tcW w:w="120" w:type="dxa"/>
            <w:vAlign w:val="bottom"/>
          </w:tcPr>
          <w:p>
            <w:pPr>
              <w:spacing w:after="0"/>
              <w:rPr>
                <w:sz w:val="17"/>
                <w:szCs w:val="17"/>
                <w:color w:val="auto"/>
              </w:rPr>
            </w:pPr>
          </w:p>
        </w:tc>
        <w:tc>
          <w:tcPr>
            <w:tcW w:w="106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w w:val="99"/>
              </w:rPr>
              <w:t>Optional</w:t>
            </w:r>
          </w:p>
        </w:tc>
        <w:tc>
          <w:tcPr>
            <w:tcW w:w="0" w:type="dxa"/>
            <w:vAlign w:val="bottom"/>
          </w:tcPr>
          <w:p>
            <w:pPr>
              <w:spacing w:after="0"/>
              <w:rPr>
                <w:sz w:val="1"/>
                <w:szCs w:val="1"/>
                <w:color w:val="auto"/>
              </w:rPr>
            </w:pPr>
          </w:p>
        </w:tc>
      </w:tr>
      <w:tr>
        <w:trPr>
          <w:trHeight w:val="164"/>
        </w:trPr>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jc w:val="center"/>
              <w:spacing w:after="0" w:line="165" w:lineRule="exact"/>
              <w:rPr>
                <w:sz w:val="20"/>
                <w:szCs w:val="20"/>
                <w:color w:val="auto"/>
              </w:rPr>
            </w:pPr>
            <w:r>
              <w:rPr>
                <w:rFonts w:ascii="Times New Roman" w:cs="Times New Roman" w:eastAsia="Times New Roman" w:hAnsi="Times New Roman"/>
                <w:sz w:val="16"/>
                <w:szCs w:val="16"/>
                <w:b w:val="1"/>
                <w:bCs w:val="1"/>
                <w:color w:val="auto"/>
                <w:w w:val="94"/>
              </w:rPr>
              <w:t>Year</w:t>
            </w:r>
          </w:p>
        </w:tc>
        <w:tc>
          <w:tcPr>
            <w:tcW w:w="140" w:type="dxa"/>
            <w:vAlign w:val="bottom"/>
          </w:tcPr>
          <w:p>
            <w:pPr>
              <w:spacing w:after="0"/>
              <w:rPr>
                <w:sz w:val="14"/>
                <w:szCs w:val="14"/>
                <w:color w:val="auto"/>
              </w:rPr>
            </w:pPr>
          </w:p>
        </w:tc>
        <w:tc>
          <w:tcPr>
            <w:tcW w:w="1100" w:type="dxa"/>
            <w:vAlign w:val="bottom"/>
          </w:tcPr>
          <w:p>
            <w:pPr>
              <w:jc w:val="center"/>
              <w:spacing w:after="0" w:line="165" w:lineRule="exact"/>
              <w:rPr>
                <w:sz w:val="20"/>
                <w:szCs w:val="20"/>
                <w:color w:val="auto"/>
              </w:rPr>
            </w:pPr>
            <w:r>
              <w:rPr>
                <w:rFonts w:ascii="Times New Roman" w:cs="Times New Roman" w:eastAsia="Times New Roman" w:hAnsi="Times New Roman"/>
                <w:sz w:val="16"/>
                <w:szCs w:val="16"/>
                <w:b w:val="1"/>
                <w:bCs w:val="1"/>
                <w:color w:val="auto"/>
              </w:rPr>
              <w:t>Capacity</w:t>
            </w:r>
          </w:p>
        </w:tc>
        <w:tc>
          <w:tcPr>
            <w:tcW w:w="1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7"/>
        </w:trPr>
        <w:tc>
          <w:tcPr>
            <w:tcW w:w="8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3060" w:type="dxa"/>
            <w:vAlign w:val="bottom"/>
            <w:tcBorders>
              <w:bottom w:val="single" w:sz="8" w:color="auto"/>
            </w:tcBorders>
          </w:tcPr>
          <w:p>
            <w:pPr>
              <w:ind w:left="1000"/>
              <w:spacing w:after="0"/>
              <w:rPr>
                <w:sz w:val="20"/>
                <w:szCs w:val="20"/>
                <w:color w:val="auto"/>
              </w:rPr>
            </w:pPr>
            <w:r>
              <w:rPr>
                <w:rFonts w:ascii="Times New Roman" w:cs="Times New Roman" w:eastAsia="Times New Roman" w:hAnsi="Times New Roman"/>
                <w:sz w:val="16"/>
                <w:szCs w:val="16"/>
                <w:b w:val="1"/>
                <w:bCs w:val="1"/>
                <w:color w:val="auto"/>
              </w:rPr>
              <w:t>Vessel Name</w:t>
            </w:r>
          </w:p>
        </w:tc>
        <w:tc>
          <w:tcPr>
            <w:tcW w:w="140" w:type="dxa"/>
            <w:vAlign w:val="bottom"/>
          </w:tcPr>
          <w:p>
            <w:pPr>
              <w:spacing w:after="0"/>
              <w:rPr>
                <w:sz w:val="22"/>
                <w:szCs w:val="22"/>
                <w:color w:val="auto"/>
              </w:rPr>
            </w:pPr>
          </w:p>
        </w:tc>
        <w:tc>
          <w:tcPr>
            <w:tcW w:w="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Built</w:t>
            </w:r>
          </w:p>
        </w:tc>
        <w:tc>
          <w:tcPr>
            <w:tcW w:w="140" w:type="dxa"/>
            <w:vAlign w:val="bottom"/>
          </w:tcPr>
          <w:p>
            <w:pPr>
              <w:spacing w:after="0"/>
              <w:rPr>
                <w:sz w:val="22"/>
                <w:szCs w:val="22"/>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(cbm)</w:t>
            </w:r>
          </w:p>
        </w:tc>
        <w:tc>
          <w:tcPr>
            <w:tcW w:w="120" w:type="dxa"/>
            <w:vAlign w:val="bottom"/>
          </w:tcPr>
          <w:p>
            <w:pPr>
              <w:spacing w:after="0"/>
              <w:rPr>
                <w:sz w:val="22"/>
                <w:szCs w:val="22"/>
                <w:color w:val="auto"/>
              </w:rPr>
            </w:pPr>
          </w:p>
        </w:tc>
        <w:tc>
          <w:tcPr>
            <w:tcW w:w="144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6"/>
                <w:szCs w:val="16"/>
                <w:b w:val="1"/>
                <w:bCs w:val="1"/>
                <w:color w:val="auto"/>
              </w:rPr>
              <w:t>Charterer</w:t>
            </w:r>
          </w:p>
        </w:tc>
        <w:tc>
          <w:tcPr>
            <w:tcW w:w="140" w:type="dxa"/>
            <w:vAlign w:val="bottom"/>
          </w:tcPr>
          <w:p>
            <w:pPr>
              <w:spacing w:after="0"/>
              <w:rPr>
                <w:sz w:val="22"/>
                <w:szCs w:val="22"/>
                <w:color w:val="auto"/>
              </w:rPr>
            </w:pP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Propulsion</w:t>
            </w:r>
          </w:p>
        </w:tc>
        <w:tc>
          <w:tcPr>
            <w:tcW w:w="120" w:type="dxa"/>
            <w:vAlign w:val="bottom"/>
          </w:tcPr>
          <w:p>
            <w:pPr>
              <w:spacing w:after="0"/>
              <w:rPr>
                <w:sz w:val="22"/>
                <w:szCs w:val="22"/>
                <w:color w:val="auto"/>
              </w:rPr>
            </w:pPr>
          </w:p>
        </w:tc>
        <w:tc>
          <w:tcPr>
            <w:tcW w:w="2120" w:type="dxa"/>
            <w:vAlign w:val="bottom"/>
            <w:tcBorders>
              <w:bottom w:val="single" w:sz="8" w:color="auto"/>
            </w:tcBorders>
          </w:tcPr>
          <w:p>
            <w:pPr>
              <w:jc w:val="center"/>
              <w:spacing w:after="0" w:line="256" w:lineRule="exact"/>
              <w:rPr>
                <w:sz w:val="20"/>
                <w:szCs w:val="20"/>
                <w:color w:val="auto"/>
              </w:rPr>
            </w:pPr>
            <w:r>
              <w:rPr>
                <w:rFonts w:ascii="Times New Roman" w:cs="Times New Roman" w:eastAsia="Times New Roman" w:hAnsi="Times New Roman"/>
                <w:sz w:val="16"/>
                <w:szCs w:val="16"/>
                <w:b w:val="1"/>
                <w:bCs w:val="1"/>
                <w:color w:val="auto"/>
                <w:w w:val="97"/>
              </w:rPr>
              <w:t>Expiration</w:t>
            </w:r>
            <w:r>
              <w:rPr>
                <w:rFonts w:ascii="Times New Roman" w:cs="Times New Roman" w:eastAsia="Times New Roman" w:hAnsi="Times New Roman"/>
                <w:sz w:val="26"/>
                <w:szCs w:val="26"/>
                <w:b w:val="1"/>
                <w:bCs w:val="1"/>
                <w:color w:val="auto"/>
                <w:w w:val="97"/>
                <w:vertAlign w:val="superscript"/>
              </w:rPr>
              <w:t>(1)</w:t>
            </w:r>
          </w:p>
        </w:tc>
        <w:tc>
          <w:tcPr>
            <w:tcW w:w="120" w:type="dxa"/>
            <w:vAlign w:val="bottom"/>
          </w:tcPr>
          <w:p>
            <w:pPr>
              <w:spacing w:after="0"/>
              <w:rPr>
                <w:sz w:val="22"/>
                <w:szCs w:val="22"/>
                <w:color w:val="auto"/>
              </w:rPr>
            </w:pPr>
          </w:p>
        </w:tc>
        <w:tc>
          <w:tcPr>
            <w:tcW w:w="1000" w:type="dxa"/>
            <w:vAlign w:val="bottom"/>
            <w:tcBorders>
              <w:bottom w:val="single" w:sz="8" w:color="auto"/>
            </w:tcBorders>
          </w:tcPr>
          <w:p>
            <w:pPr>
              <w:jc w:val="center"/>
              <w:spacing w:after="0" w:line="256" w:lineRule="exact"/>
              <w:rPr>
                <w:sz w:val="20"/>
                <w:szCs w:val="20"/>
                <w:color w:val="auto"/>
              </w:rPr>
            </w:pPr>
            <w:r>
              <w:rPr>
                <w:rFonts w:ascii="Times New Roman" w:cs="Times New Roman" w:eastAsia="Times New Roman" w:hAnsi="Times New Roman"/>
                <w:sz w:val="16"/>
                <w:szCs w:val="16"/>
                <w:b w:val="1"/>
                <w:bCs w:val="1"/>
                <w:color w:val="auto"/>
                <w:w w:val="91"/>
              </w:rPr>
              <w:t>Period</w:t>
            </w:r>
            <w:r>
              <w:rPr>
                <w:rFonts w:ascii="Times New Roman" w:cs="Times New Roman" w:eastAsia="Times New Roman" w:hAnsi="Times New Roman"/>
                <w:sz w:val="26"/>
                <w:szCs w:val="26"/>
                <w:b w:val="1"/>
                <w:bCs w:val="1"/>
                <w:color w:val="auto"/>
                <w:w w:val="91"/>
                <w:vertAlign w:val="superscript"/>
              </w:rPr>
              <w:t>(2)</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240" w:type="dxa"/>
            <w:vAlign w:val="bottom"/>
            <w:gridSpan w:val="2"/>
            <w:shd w:val="clear" w:color="auto" w:fill="E5FFFF"/>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1</w:t>
            </w:r>
          </w:p>
        </w:tc>
        <w:tc>
          <w:tcPr>
            <w:tcW w:w="3060" w:type="dxa"/>
            <w:vAlign w:val="bottom"/>
            <w:shd w:val="clear" w:color="auto" w:fill="E5FFFF"/>
          </w:tcPr>
          <w:p>
            <w:pPr>
              <w:ind w:left="60"/>
              <w:spacing w:after="0"/>
              <w:rPr>
                <w:sz w:val="20"/>
                <w:szCs w:val="20"/>
                <w:color w:val="auto"/>
              </w:rPr>
            </w:pPr>
            <w:r>
              <w:rPr>
                <w:rFonts w:ascii="Times New Roman" w:cs="Times New Roman" w:eastAsia="Times New Roman" w:hAnsi="Times New Roman"/>
                <w:sz w:val="16"/>
                <w:szCs w:val="16"/>
                <w:i w:val="1"/>
                <w:iCs w:val="1"/>
                <w:color w:val="auto"/>
              </w:rPr>
              <w:t>GasLog Sydney*</w:t>
            </w:r>
          </w:p>
        </w:tc>
        <w:tc>
          <w:tcPr>
            <w:tcW w:w="780" w:type="dxa"/>
            <w:vAlign w:val="bottom"/>
            <w:gridSpan w:val="2"/>
            <w:shd w:val="clear" w:color="auto" w:fill="E5FFFF"/>
          </w:tcPr>
          <w:p>
            <w:pPr>
              <w:jc w:val="center"/>
              <w:ind w:left="59"/>
              <w:spacing w:after="0"/>
              <w:rPr>
                <w:sz w:val="20"/>
                <w:szCs w:val="20"/>
                <w:color w:val="auto"/>
              </w:rPr>
            </w:pPr>
            <w:r>
              <w:rPr>
                <w:rFonts w:ascii="Times New Roman" w:cs="Times New Roman" w:eastAsia="Times New Roman" w:hAnsi="Times New Roman"/>
                <w:sz w:val="16"/>
                <w:szCs w:val="16"/>
                <w:color w:val="auto"/>
                <w:w w:val="99"/>
              </w:rPr>
              <w:t>2013</w:t>
            </w:r>
          </w:p>
        </w:tc>
        <w:tc>
          <w:tcPr>
            <w:tcW w:w="1240" w:type="dxa"/>
            <w:vAlign w:val="bottom"/>
            <w:gridSpan w:val="2"/>
            <w:shd w:val="clear" w:color="auto" w:fill="E5FFFF"/>
          </w:tcPr>
          <w:p>
            <w:pPr>
              <w:jc w:val="center"/>
              <w:ind w:left="59"/>
              <w:spacing w:after="0"/>
              <w:rPr>
                <w:sz w:val="20"/>
                <w:szCs w:val="20"/>
                <w:color w:val="auto"/>
              </w:rPr>
            </w:pPr>
            <w:r>
              <w:rPr>
                <w:rFonts w:ascii="Times New Roman" w:cs="Times New Roman" w:eastAsia="Times New Roman" w:hAnsi="Times New Roman"/>
                <w:sz w:val="16"/>
                <w:szCs w:val="16"/>
                <w:color w:val="auto"/>
              </w:rPr>
              <w:t>155,000</w:t>
            </w:r>
          </w:p>
        </w:tc>
        <w:tc>
          <w:tcPr>
            <w:tcW w:w="120" w:type="dxa"/>
            <w:vAlign w:val="bottom"/>
            <w:shd w:val="clear" w:color="auto" w:fill="E5FFFF"/>
          </w:tcPr>
          <w:p>
            <w:pPr>
              <w:spacing w:after="0"/>
              <w:rPr>
                <w:sz w:val="17"/>
                <w:szCs w:val="17"/>
                <w:color w:val="auto"/>
              </w:rPr>
            </w:pPr>
          </w:p>
        </w:tc>
        <w:tc>
          <w:tcPr>
            <w:tcW w:w="1440" w:type="dxa"/>
            <w:vAlign w:val="bottom"/>
            <w:shd w:val="clear" w:color="auto" w:fill="E5FFFF"/>
          </w:tcPr>
          <w:p>
            <w:pPr>
              <w:jc w:val="center"/>
              <w:spacing w:after="0"/>
              <w:rPr>
                <w:sz w:val="20"/>
                <w:szCs w:val="20"/>
                <w:color w:val="auto"/>
              </w:rPr>
            </w:pPr>
            <w:r>
              <w:rPr>
                <w:rFonts w:ascii="Times New Roman" w:cs="Times New Roman" w:eastAsia="Times New Roman" w:hAnsi="Times New Roman"/>
                <w:sz w:val="16"/>
                <w:szCs w:val="16"/>
                <w:color w:val="auto"/>
              </w:rPr>
              <w:t>Centrica</w:t>
            </w:r>
          </w:p>
        </w:tc>
        <w:tc>
          <w:tcPr>
            <w:tcW w:w="140" w:type="dxa"/>
            <w:vAlign w:val="bottom"/>
            <w:shd w:val="clear" w:color="auto" w:fill="E5FFFF"/>
          </w:tcPr>
          <w:p>
            <w:pPr>
              <w:spacing w:after="0"/>
              <w:rPr>
                <w:sz w:val="17"/>
                <w:szCs w:val="17"/>
                <w:color w:val="auto"/>
              </w:rPr>
            </w:pPr>
          </w:p>
        </w:tc>
        <w:tc>
          <w:tcPr>
            <w:tcW w:w="800" w:type="dxa"/>
            <w:vAlign w:val="bottom"/>
            <w:shd w:val="clear" w:color="auto" w:fill="E5FFFF"/>
          </w:tcPr>
          <w:p>
            <w:pPr>
              <w:jc w:val="center"/>
              <w:spacing w:after="0"/>
              <w:rPr>
                <w:sz w:val="20"/>
                <w:szCs w:val="20"/>
                <w:color w:val="auto"/>
              </w:rPr>
            </w:pPr>
            <w:r>
              <w:rPr>
                <w:rFonts w:ascii="Times New Roman" w:cs="Times New Roman" w:eastAsia="Times New Roman" w:hAnsi="Times New Roman"/>
                <w:sz w:val="16"/>
                <w:szCs w:val="16"/>
                <w:color w:val="auto"/>
                <w:w w:val="99"/>
              </w:rPr>
              <w:t>TFDE</w:t>
            </w:r>
          </w:p>
        </w:tc>
        <w:tc>
          <w:tcPr>
            <w:tcW w:w="120" w:type="dxa"/>
            <w:vAlign w:val="bottom"/>
            <w:shd w:val="clear" w:color="auto" w:fill="E5FFFF"/>
          </w:tcPr>
          <w:p>
            <w:pPr>
              <w:spacing w:after="0"/>
              <w:rPr>
                <w:sz w:val="17"/>
                <w:szCs w:val="17"/>
                <w:color w:val="auto"/>
              </w:rPr>
            </w:pPr>
          </w:p>
        </w:tc>
        <w:tc>
          <w:tcPr>
            <w:tcW w:w="2120" w:type="dxa"/>
            <w:vAlign w:val="bottom"/>
            <w:shd w:val="clear" w:color="auto" w:fill="E5FFFF"/>
          </w:tcPr>
          <w:p>
            <w:pPr>
              <w:jc w:val="center"/>
              <w:spacing w:after="0"/>
              <w:rPr>
                <w:sz w:val="20"/>
                <w:szCs w:val="20"/>
                <w:color w:val="auto"/>
              </w:rPr>
            </w:pPr>
            <w:r>
              <w:rPr>
                <w:rFonts w:ascii="Times New Roman" w:cs="Times New Roman" w:eastAsia="Times New Roman" w:hAnsi="Times New Roman"/>
                <w:sz w:val="16"/>
                <w:szCs w:val="16"/>
                <w:color w:val="auto"/>
              </w:rPr>
              <w:t>May 2024</w:t>
            </w:r>
          </w:p>
        </w:tc>
        <w:tc>
          <w:tcPr>
            <w:tcW w:w="120" w:type="dxa"/>
            <w:vAlign w:val="bottom"/>
            <w:shd w:val="clear" w:color="auto" w:fill="E5FFFF"/>
          </w:tcPr>
          <w:p>
            <w:pPr>
              <w:spacing w:after="0"/>
              <w:rPr>
                <w:sz w:val="17"/>
                <w:szCs w:val="17"/>
                <w:color w:val="auto"/>
              </w:rPr>
            </w:pPr>
          </w:p>
        </w:tc>
        <w:tc>
          <w:tcPr>
            <w:tcW w:w="1060" w:type="dxa"/>
            <w:vAlign w:val="bottom"/>
            <w:gridSpan w:val="2"/>
            <w:shd w:val="clear" w:color="auto" w:fill="E5FFFF"/>
          </w:tcPr>
          <w:p>
            <w:pPr>
              <w:jc w:val="center"/>
              <w:ind w:right="60"/>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43"/>
        </w:trPr>
        <w:tc>
          <w:tcPr>
            <w:tcW w:w="2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2</w:t>
            </w:r>
          </w:p>
        </w:tc>
        <w:tc>
          <w:tcPr>
            <w:tcW w:w="3060" w:type="dxa"/>
            <w:vAlign w:val="bottom"/>
          </w:tcPr>
          <w:p>
            <w:pPr>
              <w:ind w:left="60"/>
              <w:spacing w:after="0"/>
              <w:rPr>
                <w:sz w:val="20"/>
                <w:szCs w:val="20"/>
                <w:color w:val="auto"/>
              </w:rPr>
            </w:pPr>
            <w:r>
              <w:rPr>
                <w:rFonts w:ascii="Times New Roman" w:cs="Times New Roman" w:eastAsia="Times New Roman" w:hAnsi="Times New Roman"/>
                <w:sz w:val="16"/>
                <w:szCs w:val="16"/>
                <w:i w:val="1"/>
                <w:iCs w:val="1"/>
                <w:color w:val="auto"/>
              </w:rPr>
              <w:t>GasLog Skagen</w:t>
            </w:r>
          </w:p>
        </w:tc>
        <w:tc>
          <w:tcPr>
            <w:tcW w:w="780" w:type="dxa"/>
            <w:vAlign w:val="bottom"/>
            <w:gridSpan w:val="2"/>
          </w:tcPr>
          <w:p>
            <w:pPr>
              <w:jc w:val="center"/>
              <w:ind w:left="59"/>
              <w:spacing w:after="0"/>
              <w:rPr>
                <w:sz w:val="20"/>
                <w:szCs w:val="20"/>
                <w:color w:val="auto"/>
              </w:rPr>
            </w:pPr>
            <w:r>
              <w:rPr>
                <w:rFonts w:ascii="Times New Roman" w:cs="Times New Roman" w:eastAsia="Times New Roman" w:hAnsi="Times New Roman"/>
                <w:sz w:val="16"/>
                <w:szCs w:val="16"/>
                <w:color w:val="auto"/>
                <w:w w:val="99"/>
              </w:rPr>
              <w:t>2013</w:t>
            </w:r>
          </w:p>
        </w:tc>
        <w:tc>
          <w:tcPr>
            <w:tcW w:w="1240" w:type="dxa"/>
            <w:vAlign w:val="bottom"/>
            <w:gridSpan w:val="2"/>
          </w:tcPr>
          <w:p>
            <w:pPr>
              <w:jc w:val="center"/>
              <w:ind w:left="59"/>
              <w:spacing w:after="0"/>
              <w:rPr>
                <w:sz w:val="20"/>
                <w:szCs w:val="20"/>
                <w:color w:val="auto"/>
              </w:rPr>
            </w:pPr>
            <w:r>
              <w:rPr>
                <w:rFonts w:ascii="Times New Roman" w:cs="Times New Roman" w:eastAsia="Times New Roman" w:hAnsi="Times New Roman"/>
                <w:sz w:val="16"/>
                <w:szCs w:val="16"/>
                <w:color w:val="auto"/>
              </w:rPr>
              <w:t>155,000</w:t>
            </w:r>
          </w:p>
        </w:tc>
        <w:tc>
          <w:tcPr>
            <w:tcW w:w="120" w:type="dxa"/>
            <w:vAlign w:val="bottom"/>
          </w:tcPr>
          <w:p>
            <w:pPr>
              <w:spacing w:after="0"/>
              <w:rPr>
                <w:sz w:val="21"/>
                <w:szCs w:val="21"/>
                <w:color w:val="auto"/>
              </w:rPr>
            </w:pPr>
          </w:p>
        </w:tc>
        <w:tc>
          <w:tcPr>
            <w:tcW w:w="1440" w:type="dxa"/>
            <w:vAlign w:val="bottom"/>
          </w:tcPr>
          <w:p>
            <w:pPr>
              <w:jc w:val="center"/>
              <w:spacing w:after="0" w:line="243" w:lineRule="exact"/>
              <w:rPr>
                <w:sz w:val="20"/>
                <w:szCs w:val="20"/>
                <w:color w:val="auto"/>
              </w:rPr>
            </w:pPr>
            <w:r>
              <w:rPr>
                <w:rFonts w:ascii="Times New Roman" w:cs="Times New Roman" w:eastAsia="Times New Roman" w:hAnsi="Times New Roman"/>
                <w:sz w:val="16"/>
                <w:szCs w:val="16"/>
                <w:color w:val="auto"/>
                <w:w w:val="93"/>
              </w:rPr>
              <w:t xml:space="preserve">Tokyo LNG </w:t>
            </w:r>
            <w:r>
              <w:rPr>
                <w:rFonts w:ascii="Times New Roman" w:cs="Times New Roman" w:eastAsia="Times New Roman" w:hAnsi="Times New Roman"/>
                <w:sz w:val="26"/>
                <w:szCs w:val="26"/>
                <w:color w:val="auto"/>
                <w:w w:val="93"/>
                <w:vertAlign w:val="superscript"/>
              </w:rPr>
              <w:t>(14)</w:t>
            </w:r>
          </w:p>
        </w:tc>
        <w:tc>
          <w:tcPr>
            <w:tcW w:w="140" w:type="dxa"/>
            <w:vAlign w:val="bottom"/>
          </w:tcPr>
          <w:p>
            <w:pPr>
              <w:spacing w:after="0"/>
              <w:rPr>
                <w:sz w:val="21"/>
                <w:szCs w:val="21"/>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TFDE</w:t>
            </w:r>
          </w:p>
        </w:tc>
        <w:tc>
          <w:tcPr>
            <w:tcW w:w="120" w:type="dxa"/>
            <w:vAlign w:val="bottom"/>
          </w:tcPr>
          <w:p>
            <w:pPr>
              <w:spacing w:after="0"/>
              <w:rPr>
                <w:sz w:val="21"/>
                <w:szCs w:val="21"/>
                <w:color w:val="auto"/>
              </w:rPr>
            </w:pPr>
          </w:p>
        </w:tc>
        <w:tc>
          <w:tcPr>
            <w:tcW w:w="21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September 2024</w:t>
            </w:r>
          </w:p>
        </w:tc>
        <w:tc>
          <w:tcPr>
            <w:tcW w:w="120" w:type="dxa"/>
            <w:vAlign w:val="bottom"/>
          </w:tcPr>
          <w:p>
            <w:pPr>
              <w:spacing w:after="0"/>
              <w:rPr>
                <w:sz w:val="21"/>
                <w:szCs w:val="21"/>
                <w:color w:val="auto"/>
              </w:rPr>
            </w:pPr>
          </w:p>
        </w:tc>
        <w:tc>
          <w:tcPr>
            <w:tcW w:w="106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43"/>
        </w:trPr>
        <w:tc>
          <w:tcPr>
            <w:tcW w:w="240" w:type="dxa"/>
            <w:vAlign w:val="bottom"/>
            <w:gridSpan w:val="2"/>
            <w:shd w:val="clear" w:color="auto" w:fill="E5FFFF"/>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3</w:t>
            </w:r>
          </w:p>
        </w:tc>
        <w:tc>
          <w:tcPr>
            <w:tcW w:w="3060" w:type="dxa"/>
            <w:vAlign w:val="bottom"/>
            <w:shd w:val="clear" w:color="auto" w:fill="E5FFFF"/>
          </w:tcPr>
          <w:p>
            <w:pPr>
              <w:ind w:left="60"/>
              <w:spacing w:after="0"/>
              <w:rPr>
                <w:sz w:val="20"/>
                <w:szCs w:val="20"/>
                <w:color w:val="auto"/>
              </w:rPr>
            </w:pPr>
            <w:r>
              <w:rPr>
                <w:rFonts w:ascii="Times New Roman" w:cs="Times New Roman" w:eastAsia="Times New Roman" w:hAnsi="Times New Roman"/>
                <w:sz w:val="16"/>
                <w:szCs w:val="16"/>
                <w:i w:val="1"/>
                <w:iCs w:val="1"/>
                <w:color w:val="auto"/>
              </w:rPr>
              <w:t>GasLog Saratoga</w:t>
            </w:r>
          </w:p>
        </w:tc>
        <w:tc>
          <w:tcPr>
            <w:tcW w:w="780" w:type="dxa"/>
            <w:vAlign w:val="bottom"/>
            <w:gridSpan w:val="2"/>
            <w:shd w:val="clear" w:color="auto" w:fill="E5FFFF"/>
          </w:tcPr>
          <w:p>
            <w:pPr>
              <w:jc w:val="center"/>
              <w:ind w:left="59"/>
              <w:spacing w:after="0"/>
              <w:rPr>
                <w:sz w:val="20"/>
                <w:szCs w:val="20"/>
                <w:color w:val="auto"/>
              </w:rPr>
            </w:pPr>
            <w:r>
              <w:rPr>
                <w:rFonts w:ascii="Times New Roman" w:cs="Times New Roman" w:eastAsia="Times New Roman" w:hAnsi="Times New Roman"/>
                <w:sz w:val="16"/>
                <w:szCs w:val="16"/>
                <w:color w:val="auto"/>
                <w:w w:val="99"/>
              </w:rPr>
              <w:t>2014</w:t>
            </w:r>
          </w:p>
        </w:tc>
        <w:tc>
          <w:tcPr>
            <w:tcW w:w="1240" w:type="dxa"/>
            <w:vAlign w:val="bottom"/>
            <w:gridSpan w:val="2"/>
            <w:shd w:val="clear" w:color="auto" w:fill="E5FFFF"/>
          </w:tcPr>
          <w:p>
            <w:pPr>
              <w:jc w:val="center"/>
              <w:ind w:left="59"/>
              <w:spacing w:after="0"/>
              <w:rPr>
                <w:sz w:val="20"/>
                <w:szCs w:val="20"/>
                <w:color w:val="auto"/>
              </w:rPr>
            </w:pPr>
            <w:r>
              <w:rPr>
                <w:rFonts w:ascii="Times New Roman" w:cs="Times New Roman" w:eastAsia="Times New Roman" w:hAnsi="Times New Roman"/>
                <w:sz w:val="16"/>
                <w:szCs w:val="16"/>
                <w:color w:val="auto"/>
              </w:rPr>
              <w:t>155,000</w:t>
            </w:r>
          </w:p>
        </w:tc>
        <w:tc>
          <w:tcPr>
            <w:tcW w:w="120" w:type="dxa"/>
            <w:vAlign w:val="bottom"/>
            <w:shd w:val="clear" w:color="auto" w:fill="E5FFFF"/>
          </w:tcPr>
          <w:p>
            <w:pPr>
              <w:spacing w:after="0"/>
              <w:rPr>
                <w:sz w:val="21"/>
                <w:szCs w:val="21"/>
                <w:color w:val="auto"/>
              </w:rPr>
            </w:pPr>
          </w:p>
        </w:tc>
        <w:tc>
          <w:tcPr>
            <w:tcW w:w="1440" w:type="dxa"/>
            <w:vAlign w:val="bottom"/>
            <w:shd w:val="clear" w:color="auto" w:fill="E5FFFF"/>
          </w:tcPr>
          <w:p>
            <w:pPr>
              <w:jc w:val="center"/>
              <w:spacing w:after="0" w:line="243" w:lineRule="exact"/>
              <w:rPr>
                <w:sz w:val="20"/>
                <w:szCs w:val="20"/>
                <w:color w:val="auto"/>
              </w:rPr>
            </w:pPr>
            <w:r>
              <w:rPr>
                <w:rFonts w:ascii="Times New Roman" w:cs="Times New Roman" w:eastAsia="Times New Roman" w:hAnsi="Times New Roman"/>
                <w:sz w:val="16"/>
                <w:szCs w:val="16"/>
                <w:color w:val="auto"/>
                <w:w w:val="90"/>
              </w:rPr>
              <w:t xml:space="preserve">Mitsui </w:t>
            </w:r>
            <w:r>
              <w:rPr>
                <w:rFonts w:ascii="Times New Roman" w:cs="Times New Roman" w:eastAsia="Times New Roman" w:hAnsi="Times New Roman"/>
                <w:sz w:val="26"/>
                <w:szCs w:val="26"/>
                <w:color w:val="auto"/>
                <w:w w:val="90"/>
                <w:vertAlign w:val="superscript"/>
              </w:rPr>
              <w:t>(15)</w:t>
            </w:r>
          </w:p>
        </w:tc>
        <w:tc>
          <w:tcPr>
            <w:tcW w:w="140" w:type="dxa"/>
            <w:vAlign w:val="bottom"/>
            <w:shd w:val="clear" w:color="auto" w:fill="E5FFFF"/>
          </w:tcPr>
          <w:p>
            <w:pPr>
              <w:spacing w:after="0"/>
              <w:rPr>
                <w:sz w:val="21"/>
                <w:szCs w:val="21"/>
                <w:color w:val="auto"/>
              </w:rPr>
            </w:pPr>
          </w:p>
        </w:tc>
        <w:tc>
          <w:tcPr>
            <w:tcW w:w="800" w:type="dxa"/>
            <w:vAlign w:val="bottom"/>
            <w:shd w:val="clear" w:color="auto" w:fill="E5FFFF"/>
          </w:tcPr>
          <w:p>
            <w:pPr>
              <w:jc w:val="center"/>
              <w:spacing w:after="0"/>
              <w:rPr>
                <w:sz w:val="20"/>
                <w:szCs w:val="20"/>
                <w:color w:val="auto"/>
              </w:rPr>
            </w:pPr>
            <w:r>
              <w:rPr>
                <w:rFonts w:ascii="Times New Roman" w:cs="Times New Roman" w:eastAsia="Times New Roman" w:hAnsi="Times New Roman"/>
                <w:sz w:val="16"/>
                <w:szCs w:val="16"/>
                <w:color w:val="auto"/>
                <w:w w:val="99"/>
              </w:rPr>
              <w:t>TFDE</w:t>
            </w:r>
          </w:p>
        </w:tc>
        <w:tc>
          <w:tcPr>
            <w:tcW w:w="120" w:type="dxa"/>
            <w:vAlign w:val="bottom"/>
            <w:shd w:val="clear" w:color="auto" w:fill="E5FFFF"/>
          </w:tcPr>
          <w:p>
            <w:pPr>
              <w:spacing w:after="0"/>
              <w:rPr>
                <w:sz w:val="21"/>
                <w:szCs w:val="21"/>
                <w:color w:val="auto"/>
              </w:rPr>
            </w:pPr>
          </w:p>
        </w:tc>
        <w:tc>
          <w:tcPr>
            <w:tcW w:w="2120" w:type="dxa"/>
            <w:vAlign w:val="bottom"/>
            <w:shd w:val="clear" w:color="auto" w:fill="E5FFFF"/>
          </w:tcPr>
          <w:p>
            <w:pPr>
              <w:jc w:val="center"/>
              <w:spacing w:after="0"/>
              <w:rPr>
                <w:sz w:val="20"/>
                <w:szCs w:val="20"/>
                <w:color w:val="auto"/>
              </w:rPr>
            </w:pPr>
            <w:r>
              <w:rPr>
                <w:rFonts w:ascii="Times New Roman" w:cs="Times New Roman" w:eastAsia="Times New Roman" w:hAnsi="Times New Roman"/>
                <w:sz w:val="16"/>
                <w:szCs w:val="16"/>
                <w:color w:val="auto"/>
                <w:w w:val="99"/>
              </w:rPr>
              <w:t>September 2024</w:t>
            </w:r>
          </w:p>
        </w:tc>
        <w:tc>
          <w:tcPr>
            <w:tcW w:w="120" w:type="dxa"/>
            <w:vAlign w:val="bottom"/>
            <w:shd w:val="clear" w:color="auto" w:fill="E5FFFF"/>
          </w:tcPr>
          <w:p>
            <w:pPr>
              <w:spacing w:after="0"/>
              <w:rPr>
                <w:sz w:val="21"/>
                <w:szCs w:val="21"/>
                <w:color w:val="auto"/>
              </w:rPr>
            </w:pPr>
          </w:p>
        </w:tc>
        <w:tc>
          <w:tcPr>
            <w:tcW w:w="1060" w:type="dxa"/>
            <w:vAlign w:val="bottom"/>
            <w:gridSpan w:val="2"/>
            <w:shd w:val="clear" w:color="auto" w:fill="E5FFFF"/>
          </w:tcPr>
          <w:p>
            <w:pPr>
              <w:jc w:val="center"/>
              <w:ind w:right="60"/>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43"/>
        </w:trPr>
        <w:tc>
          <w:tcPr>
            <w:tcW w:w="2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4</w:t>
            </w:r>
          </w:p>
        </w:tc>
        <w:tc>
          <w:tcPr>
            <w:tcW w:w="3060" w:type="dxa"/>
            <w:vAlign w:val="bottom"/>
          </w:tcPr>
          <w:p>
            <w:pPr>
              <w:ind w:left="60"/>
              <w:spacing w:after="0"/>
              <w:rPr>
                <w:sz w:val="20"/>
                <w:szCs w:val="20"/>
                <w:color w:val="auto"/>
              </w:rPr>
            </w:pPr>
            <w:r>
              <w:rPr>
                <w:rFonts w:ascii="Times New Roman" w:cs="Times New Roman" w:eastAsia="Times New Roman" w:hAnsi="Times New Roman"/>
                <w:sz w:val="16"/>
                <w:szCs w:val="16"/>
                <w:i w:val="1"/>
                <w:iCs w:val="1"/>
                <w:color w:val="auto"/>
              </w:rPr>
              <w:t>GasLog Shanghai*</w:t>
            </w:r>
          </w:p>
        </w:tc>
        <w:tc>
          <w:tcPr>
            <w:tcW w:w="780" w:type="dxa"/>
            <w:vAlign w:val="bottom"/>
            <w:gridSpan w:val="2"/>
          </w:tcPr>
          <w:p>
            <w:pPr>
              <w:jc w:val="center"/>
              <w:ind w:left="59"/>
              <w:spacing w:after="0"/>
              <w:rPr>
                <w:sz w:val="20"/>
                <w:szCs w:val="20"/>
                <w:color w:val="auto"/>
              </w:rPr>
            </w:pPr>
            <w:r>
              <w:rPr>
                <w:rFonts w:ascii="Times New Roman" w:cs="Times New Roman" w:eastAsia="Times New Roman" w:hAnsi="Times New Roman"/>
                <w:sz w:val="16"/>
                <w:szCs w:val="16"/>
                <w:color w:val="auto"/>
                <w:w w:val="99"/>
              </w:rPr>
              <w:t>2013</w:t>
            </w:r>
          </w:p>
        </w:tc>
        <w:tc>
          <w:tcPr>
            <w:tcW w:w="1240" w:type="dxa"/>
            <w:vAlign w:val="bottom"/>
            <w:gridSpan w:val="2"/>
          </w:tcPr>
          <w:p>
            <w:pPr>
              <w:jc w:val="center"/>
              <w:ind w:left="59"/>
              <w:spacing w:after="0"/>
              <w:rPr>
                <w:sz w:val="20"/>
                <w:szCs w:val="20"/>
                <w:color w:val="auto"/>
              </w:rPr>
            </w:pPr>
            <w:r>
              <w:rPr>
                <w:rFonts w:ascii="Times New Roman" w:cs="Times New Roman" w:eastAsia="Times New Roman" w:hAnsi="Times New Roman"/>
                <w:sz w:val="16"/>
                <w:szCs w:val="16"/>
                <w:color w:val="auto"/>
              </w:rPr>
              <w:t>155,000</w:t>
            </w:r>
          </w:p>
        </w:tc>
        <w:tc>
          <w:tcPr>
            <w:tcW w:w="120" w:type="dxa"/>
            <w:vAlign w:val="bottom"/>
          </w:tcPr>
          <w:p>
            <w:pPr>
              <w:spacing w:after="0"/>
              <w:rPr>
                <w:sz w:val="21"/>
                <w:szCs w:val="21"/>
                <w:color w:val="auto"/>
              </w:rPr>
            </w:pPr>
          </w:p>
        </w:tc>
        <w:tc>
          <w:tcPr>
            <w:tcW w:w="1440" w:type="dxa"/>
            <w:vAlign w:val="bottom"/>
          </w:tcPr>
          <w:p>
            <w:pPr>
              <w:jc w:val="center"/>
              <w:spacing w:after="0" w:line="243" w:lineRule="exact"/>
              <w:rPr>
                <w:sz w:val="20"/>
                <w:szCs w:val="20"/>
                <w:color w:val="auto"/>
              </w:rPr>
            </w:pPr>
            <w:r>
              <w:rPr>
                <w:rFonts w:ascii="Times New Roman" w:cs="Times New Roman" w:eastAsia="Times New Roman" w:hAnsi="Times New Roman"/>
                <w:sz w:val="16"/>
                <w:szCs w:val="16"/>
                <w:color w:val="auto"/>
                <w:w w:val="94"/>
              </w:rPr>
              <w:t xml:space="preserve">Woodside </w:t>
            </w:r>
            <w:r>
              <w:rPr>
                <w:rFonts w:ascii="Times New Roman" w:cs="Times New Roman" w:eastAsia="Times New Roman" w:hAnsi="Times New Roman"/>
                <w:sz w:val="26"/>
                <w:szCs w:val="26"/>
                <w:color w:val="auto"/>
                <w:w w:val="94"/>
                <w:vertAlign w:val="superscript"/>
              </w:rPr>
              <w:t>(16)</w:t>
            </w:r>
          </w:p>
        </w:tc>
        <w:tc>
          <w:tcPr>
            <w:tcW w:w="140" w:type="dxa"/>
            <w:vAlign w:val="bottom"/>
          </w:tcPr>
          <w:p>
            <w:pPr>
              <w:spacing w:after="0"/>
              <w:rPr>
                <w:sz w:val="21"/>
                <w:szCs w:val="21"/>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TFDE</w:t>
            </w:r>
          </w:p>
        </w:tc>
        <w:tc>
          <w:tcPr>
            <w:tcW w:w="120" w:type="dxa"/>
            <w:vAlign w:val="bottom"/>
          </w:tcPr>
          <w:p>
            <w:pPr>
              <w:spacing w:after="0"/>
              <w:rPr>
                <w:sz w:val="21"/>
                <w:szCs w:val="21"/>
                <w:color w:val="auto"/>
              </w:rPr>
            </w:pPr>
          </w:p>
        </w:tc>
        <w:tc>
          <w:tcPr>
            <w:tcW w:w="21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March 2025</w:t>
            </w:r>
          </w:p>
        </w:tc>
        <w:tc>
          <w:tcPr>
            <w:tcW w:w="1120" w:type="dxa"/>
            <w:vAlign w:val="bottom"/>
            <w:gridSpan w:val="2"/>
          </w:tcPr>
          <w:p>
            <w:pPr>
              <w:jc w:val="center"/>
              <w:ind w:left="39"/>
              <w:spacing w:after="0" w:line="243" w:lineRule="exact"/>
              <w:rPr>
                <w:sz w:val="20"/>
                <w:szCs w:val="20"/>
                <w:color w:val="auto"/>
              </w:rPr>
            </w:pPr>
            <w:r>
              <w:rPr>
                <w:rFonts w:ascii="Times New Roman" w:cs="Times New Roman" w:eastAsia="Times New Roman" w:hAnsi="Times New Roman"/>
                <w:sz w:val="16"/>
                <w:szCs w:val="16"/>
                <w:color w:val="auto"/>
                <w:w w:val="92"/>
              </w:rPr>
              <w:t xml:space="preserve">2026 </w:t>
            </w:r>
            <w:r>
              <w:rPr>
                <w:rFonts w:ascii="Times New Roman" w:cs="Times New Roman" w:eastAsia="Times New Roman" w:hAnsi="Times New Roman"/>
                <w:sz w:val="26"/>
                <w:szCs w:val="26"/>
                <w:color w:val="auto"/>
                <w:w w:val="92"/>
                <w:vertAlign w:val="superscript"/>
              </w:rPr>
              <w:t>(16)</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40" w:type="dxa"/>
            <w:vAlign w:val="bottom"/>
            <w:gridSpan w:val="2"/>
            <w:shd w:val="clear" w:color="auto" w:fill="E5FFFF"/>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5</w:t>
            </w:r>
          </w:p>
        </w:tc>
        <w:tc>
          <w:tcPr>
            <w:tcW w:w="3060" w:type="dxa"/>
            <w:vAlign w:val="bottom"/>
            <w:shd w:val="clear" w:color="auto" w:fill="E5FFFF"/>
          </w:tcPr>
          <w:p>
            <w:pPr>
              <w:ind w:left="60"/>
              <w:spacing w:after="0"/>
              <w:rPr>
                <w:sz w:val="20"/>
                <w:szCs w:val="20"/>
                <w:color w:val="auto"/>
              </w:rPr>
            </w:pPr>
            <w:r>
              <w:rPr>
                <w:rFonts w:ascii="Times New Roman" w:cs="Times New Roman" w:eastAsia="Times New Roman" w:hAnsi="Times New Roman"/>
                <w:sz w:val="16"/>
                <w:szCs w:val="16"/>
                <w:i w:val="1"/>
                <w:iCs w:val="1"/>
                <w:color w:val="auto"/>
              </w:rPr>
              <w:t>Methane Heather Sally*</w:t>
            </w:r>
          </w:p>
        </w:tc>
        <w:tc>
          <w:tcPr>
            <w:tcW w:w="780" w:type="dxa"/>
            <w:vAlign w:val="bottom"/>
            <w:gridSpan w:val="2"/>
            <w:shd w:val="clear" w:color="auto" w:fill="E5FFFF"/>
          </w:tcPr>
          <w:p>
            <w:pPr>
              <w:jc w:val="center"/>
              <w:ind w:left="59"/>
              <w:spacing w:after="0"/>
              <w:rPr>
                <w:sz w:val="20"/>
                <w:szCs w:val="20"/>
                <w:color w:val="auto"/>
              </w:rPr>
            </w:pPr>
            <w:r>
              <w:rPr>
                <w:rFonts w:ascii="Times New Roman" w:cs="Times New Roman" w:eastAsia="Times New Roman" w:hAnsi="Times New Roman"/>
                <w:sz w:val="16"/>
                <w:szCs w:val="16"/>
                <w:color w:val="auto"/>
                <w:w w:val="99"/>
              </w:rPr>
              <w:t>2007</w:t>
            </w:r>
          </w:p>
        </w:tc>
        <w:tc>
          <w:tcPr>
            <w:tcW w:w="1240" w:type="dxa"/>
            <w:vAlign w:val="bottom"/>
            <w:gridSpan w:val="2"/>
            <w:shd w:val="clear" w:color="auto" w:fill="E5FFFF"/>
          </w:tcPr>
          <w:p>
            <w:pPr>
              <w:jc w:val="center"/>
              <w:ind w:left="59"/>
              <w:spacing w:after="0"/>
              <w:rPr>
                <w:sz w:val="20"/>
                <w:szCs w:val="20"/>
                <w:color w:val="auto"/>
              </w:rPr>
            </w:pPr>
            <w:r>
              <w:rPr>
                <w:rFonts w:ascii="Times New Roman" w:cs="Times New Roman" w:eastAsia="Times New Roman" w:hAnsi="Times New Roman"/>
                <w:sz w:val="16"/>
                <w:szCs w:val="16"/>
                <w:color w:val="auto"/>
              </w:rPr>
              <w:t>145,000</w:t>
            </w:r>
          </w:p>
        </w:tc>
        <w:tc>
          <w:tcPr>
            <w:tcW w:w="120" w:type="dxa"/>
            <w:vAlign w:val="bottom"/>
            <w:shd w:val="clear" w:color="auto" w:fill="E5FFFF"/>
          </w:tcPr>
          <w:p>
            <w:pPr>
              <w:spacing w:after="0"/>
              <w:rPr>
                <w:sz w:val="21"/>
                <w:szCs w:val="21"/>
                <w:color w:val="auto"/>
              </w:rPr>
            </w:pPr>
          </w:p>
        </w:tc>
        <w:tc>
          <w:tcPr>
            <w:tcW w:w="1440" w:type="dxa"/>
            <w:vAlign w:val="bottom"/>
            <w:shd w:val="clear" w:color="auto" w:fill="E5FFFF"/>
          </w:tcPr>
          <w:p>
            <w:pPr>
              <w:jc w:val="center"/>
              <w:spacing w:after="0" w:line="243" w:lineRule="exact"/>
              <w:rPr>
                <w:sz w:val="20"/>
                <w:szCs w:val="20"/>
                <w:color w:val="auto"/>
              </w:rPr>
            </w:pPr>
            <w:r>
              <w:rPr>
                <w:rFonts w:ascii="Times New Roman" w:cs="Times New Roman" w:eastAsia="Times New Roman" w:hAnsi="Times New Roman"/>
                <w:sz w:val="16"/>
                <w:szCs w:val="16"/>
                <w:color w:val="auto"/>
                <w:w w:val="95"/>
              </w:rPr>
              <w:t xml:space="preserve">SEA Charterer </w:t>
            </w:r>
            <w:r>
              <w:rPr>
                <w:rFonts w:ascii="Times New Roman" w:cs="Times New Roman" w:eastAsia="Times New Roman" w:hAnsi="Times New Roman"/>
                <w:sz w:val="26"/>
                <w:szCs w:val="26"/>
                <w:color w:val="auto"/>
                <w:w w:val="95"/>
                <w:vertAlign w:val="superscript"/>
              </w:rPr>
              <w:t>(17)</w:t>
            </w:r>
          </w:p>
        </w:tc>
        <w:tc>
          <w:tcPr>
            <w:tcW w:w="140" w:type="dxa"/>
            <w:vAlign w:val="bottom"/>
            <w:shd w:val="clear" w:color="auto" w:fill="E5FFFF"/>
          </w:tcPr>
          <w:p>
            <w:pPr>
              <w:spacing w:after="0"/>
              <w:rPr>
                <w:sz w:val="21"/>
                <w:szCs w:val="21"/>
                <w:color w:val="auto"/>
              </w:rPr>
            </w:pPr>
          </w:p>
        </w:tc>
        <w:tc>
          <w:tcPr>
            <w:tcW w:w="800" w:type="dxa"/>
            <w:vAlign w:val="bottom"/>
            <w:shd w:val="clear" w:color="auto" w:fill="E5FFFF"/>
          </w:tcPr>
          <w:p>
            <w:pPr>
              <w:jc w:val="center"/>
              <w:spacing w:after="0"/>
              <w:rPr>
                <w:sz w:val="20"/>
                <w:szCs w:val="20"/>
                <w:color w:val="auto"/>
              </w:rPr>
            </w:pPr>
            <w:r>
              <w:rPr>
                <w:rFonts w:ascii="Times New Roman" w:cs="Times New Roman" w:eastAsia="Times New Roman" w:hAnsi="Times New Roman"/>
                <w:sz w:val="16"/>
                <w:szCs w:val="16"/>
                <w:color w:val="auto"/>
                <w:w w:val="99"/>
              </w:rPr>
              <w:t>Steam</w:t>
            </w:r>
          </w:p>
        </w:tc>
        <w:tc>
          <w:tcPr>
            <w:tcW w:w="120" w:type="dxa"/>
            <w:vAlign w:val="bottom"/>
            <w:shd w:val="clear" w:color="auto" w:fill="E5FFFF"/>
          </w:tcPr>
          <w:p>
            <w:pPr>
              <w:spacing w:after="0"/>
              <w:rPr>
                <w:sz w:val="21"/>
                <w:szCs w:val="21"/>
                <w:color w:val="auto"/>
              </w:rPr>
            </w:pPr>
          </w:p>
        </w:tc>
        <w:tc>
          <w:tcPr>
            <w:tcW w:w="2120" w:type="dxa"/>
            <w:vAlign w:val="bottom"/>
            <w:shd w:val="clear" w:color="auto" w:fill="E5FFFF"/>
          </w:tcPr>
          <w:p>
            <w:pPr>
              <w:jc w:val="center"/>
              <w:spacing w:after="0"/>
              <w:rPr>
                <w:sz w:val="20"/>
                <w:szCs w:val="20"/>
                <w:color w:val="auto"/>
              </w:rPr>
            </w:pPr>
            <w:r>
              <w:rPr>
                <w:rFonts w:ascii="Times New Roman" w:cs="Times New Roman" w:eastAsia="Times New Roman" w:hAnsi="Times New Roman"/>
                <w:sz w:val="16"/>
                <w:szCs w:val="16"/>
                <w:color w:val="auto"/>
              </w:rPr>
              <w:t>July 2025</w:t>
            </w:r>
          </w:p>
        </w:tc>
        <w:tc>
          <w:tcPr>
            <w:tcW w:w="120" w:type="dxa"/>
            <w:vAlign w:val="bottom"/>
            <w:shd w:val="clear" w:color="auto" w:fill="E5FFFF"/>
          </w:tcPr>
          <w:p>
            <w:pPr>
              <w:spacing w:after="0"/>
              <w:rPr>
                <w:sz w:val="21"/>
                <w:szCs w:val="21"/>
                <w:color w:val="auto"/>
              </w:rPr>
            </w:pPr>
          </w:p>
        </w:tc>
        <w:tc>
          <w:tcPr>
            <w:tcW w:w="1060" w:type="dxa"/>
            <w:vAlign w:val="bottom"/>
            <w:gridSpan w:val="2"/>
            <w:shd w:val="clear" w:color="auto" w:fill="E5FFFF"/>
          </w:tcPr>
          <w:p>
            <w:pPr>
              <w:jc w:val="center"/>
              <w:ind w:right="60"/>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43"/>
        </w:trPr>
        <w:tc>
          <w:tcPr>
            <w:tcW w:w="2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6</w:t>
            </w:r>
          </w:p>
        </w:tc>
        <w:tc>
          <w:tcPr>
            <w:tcW w:w="3060" w:type="dxa"/>
            <w:vAlign w:val="bottom"/>
          </w:tcPr>
          <w:p>
            <w:pPr>
              <w:ind w:left="60"/>
              <w:spacing w:after="0"/>
              <w:rPr>
                <w:sz w:val="20"/>
                <w:szCs w:val="20"/>
                <w:color w:val="auto"/>
              </w:rPr>
            </w:pPr>
            <w:r>
              <w:rPr>
                <w:rFonts w:ascii="Times New Roman" w:cs="Times New Roman" w:eastAsia="Times New Roman" w:hAnsi="Times New Roman"/>
                <w:sz w:val="16"/>
                <w:szCs w:val="16"/>
                <w:i w:val="1"/>
                <w:iCs w:val="1"/>
                <w:color w:val="auto"/>
              </w:rPr>
              <w:t>GasLog Hong Kong</w:t>
            </w:r>
          </w:p>
        </w:tc>
        <w:tc>
          <w:tcPr>
            <w:tcW w:w="780" w:type="dxa"/>
            <w:vAlign w:val="bottom"/>
            <w:gridSpan w:val="2"/>
          </w:tcPr>
          <w:p>
            <w:pPr>
              <w:jc w:val="center"/>
              <w:ind w:left="59"/>
              <w:spacing w:after="0"/>
              <w:rPr>
                <w:sz w:val="20"/>
                <w:szCs w:val="20"/>
                <w:color w:val="auto"/>
              </w:rPr>
            </w:pPr>
            <w:r>
              <w:rPr>
                <w:rFonts w:ascii="Times New Roman" w:cs="Times New Roman" w:eastAsia="Times New Roman" w:hAnsi="Times New Roman"/>
                <w:sz w:val="16"/>
                <w:szCs w:val="16"/>
                <w:color w:val="auto"/>
                <w:w w:val="99"/>
              </w:rPr>
              <w:t>2018</w:t>
            </w:r>
          </w:p>
        </w:tc>
        <w:tc>
          <w:tcPr>
            <w:tcW w:w="1240" w:type="dxa"/>
            <w:vAlign w:val="bottom"/>
            <w:gridSpan w:val="2"/>
          </w:tcPr>
          <w:p>
            <w:pPr>
              <w:jc w:val="center"/>
              <w:ind w:left="59"/>
              <w:spacing w:after="0"/>
              <w:rPr>
                <w:sz w:val="20"/>
                <w:szCs w:val="20"/>
                <w:color w:val="auto"/>
              </w:rPr>
            </w:pPr>
            <w:r>
              <w:rPr>
                <w:rFonts w:ascii="Times New Roman" w:cs="Times New Roman" w:eastAsia="Times New Roman" w:hAnsi="Times New Roman"/>
                <w:sz w:val="16"/>
                <w:szCs w:val="16"/>
                <w:color w:val="auto"/>
              </w:rPr>
              <w:t>174,000</w:t>
            </w:r>
          </w:p>
        </w:tc>
        <w:tc>
          <w:tcPr>
            <w:tcW w:w="120" w:type="dxa"/>
            <w:vAlign w:val="bottom"/>
          </w:tcPr>
          <w:p>
            <w:pPr>
              <w:spacing w:after="0"/>
              <w:rPr>
                <w:sz w:val="21"/>
                <w:szCs w:val="21"/>
                <w:color w:val="auto"/>
              </w:rPr>
            </w:pPr>
          </w:p>
        </w:tc>
        <w:tc>
          <w:tcPr>
            <w:tcW w:w="1440" w:type="dxa"/>
            <w:vAlign w:val="bottom"/>
          </w:tcPr>
          <w:p>
            <w:pPr>
              <w:jc w:val="center"/>
              <w:spacing w:after="0" w:line="243" w:lineRule="exact"/>
              <w:rPr>
                <w:sz w:val="20"/>
                <w:szCs w:val="20"/>
                <w:color w:val="auto"/>
              </w:rPr>
            </w:pPr>
            <w:r>
              <w:rPr>
                <w:rFonts w:ascii="Times New Roman" w:cs="Times New Roman" w:eastAsia="Times New Roman" w:hAnsi="Times New Roman"/>
                <w:sz w:val="16"/>
                <w:szCs w:val="16"/>
                <w:color w:val="auto"/>
                <w:w w:val="94"/>
              </w:rPr>
              <w:t xml:space="preserve">TotalEnergies </w:t>
            </w:r>
            <w:r>
              <w:rPr>
                <w:rFonts w:ascii="Times New Roman" w:cs="Times New Roman" w:eastAsia="Times New Roman" w:hAnsi="Times New Roman"/>
                <w:sz w:val="26"/>
                <w:szCs w:val="26"/>
                <w:color w:val="auto"/>
                <w:w w:val="94"/>
                <w:vertAlign w:val="superscript"/>
              </w:rPr>
              <w:t>(18)</w:t>
            </w:r>
          </w:p>
        </w:tc>
        <w:tc>
          <w:tcPr>
            <w:tcW w:w="140" w:type="dxa"/>
            <w:vAlign w:val="bottom"/>
          </w:tcPr>
          <w:p>
            <w:pPr>
              <w:spacing w:after="0"/>
              <w:rPr>
                <w:sz w:val="21"/>
                <w:szCs w:val="21"/>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X-DF</w:t>
            </w:r>
          </w:p>
        </w:tc>
        <w:tc>
          <w:tcPr>
            <w:tcW w:w="120" w:type="dxa"/>
            <w:vAlign w:val="bottom"/>
          </w:tcPr>
          <w:p>
            <w:pPr>
              <w:spacing w:after="0"/>
              <w:rPr>
                <w:sz w:val="21"/>
                <w:szCs w:val="21"/>
                <w:color w:val="auto"/>
              </w:rPr>
            </w:pPr>
          </w:p>
        </w:tc>
        <w:tc>
          <w:tcPr>
            <w:tcW w:w="21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December 2025</w:t>
            </w:r>
          </w:p>
        </w:tc>
        <w:tc>
          <w:tcPr>
            <w:tcW w:w="1120" w:type="dxa"/>
            <w:vAlign w:val="bottom"/>
            <w:gridSpan w:val="2"/>
          </w:tcPr>
          <w:p>
            <w:pPr>
              <w:jc w:val="center"/>
              <w:ind w:left="39"/>
              <w:spacing w:after="0" w:line="243" w:lineRule="exact"/>
              <w:rPr>
                <w:sz w:val="20"/>
                <w:szCs w:val="20"/>
                <w:color w:val="auto"/>
              </w:rPr>
            </w:pPr>
            <w:r>
              <w:rPr>
                <w:rFonts w:ascii="Times New Roman" w:cs="Times New Roman" w:eastAsia="Times New Roman" w:hAnsi="Times New Roman"/>
                <w:sz w:val="16"/>
                <w:szCs w:val="16"/>
                <w:color w:val="auto"/>
                <w:w w:val="92"/>
              </w:rPr>
              <w:t xml:space="preserve">2028 </w:t>
            </w:r>
            <w:r>
              <w:rPr>
                <w:rFonts w:ascii="Times New Roman" w:cs="Times New Roman" w:eastAsia="Times New Roman" w:hAnsi="Times New Roman"/>
                <w:sz w:val="26"/>
                <w:szCs w:val="26"/>
                <w:color w:val="auto"/>
                <w:w w:val="92"/>
                <w:vertAlign w:val="superscript"/>
              </w:rPr>
              <w:t>(18)</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40" w:type="dxa"/>
            <w:vAlign w:val="bottom"/>
            <w:gridSpan w:val="2"/>
            <w:shd w:val="clear" w:color="auto" w:fill="E5FFFF"/>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7</w:t>
            </w:r>
          </w:p>
        </w:tc>
        <w:tc>
          <w:tcPr>
            <w:tcW w:w="3060" w:type="dxa"/>
            <w:vAlign w:val="bottom"/>
            <w:shd w:val="clear" w:color="auto" w:fill="E5FFFF"/>
          </w:tcPr>
          <w:p>
            <w:pPr>
              <w:ind w:left="60"/>
              <w:spacing w:after="0"/>
              <w:rPr>
                <w:sz w:val="20"/>
                <w:szCs w:val="20"/>
                <w:color w:val="auto"/>
              </w:rPr>
            </w:pPr>
            <w:r>
              <w:rPr>
                <w:rFonts w:ascii="Times New Roman" w:cs="Times New Roman" w:eastAsia="Times New Roman" w:hAnsi="Times New Roman"/>
                <w:sz w:val="16"/>
                <w:szCs w:val="16"/>
                <w:i w:val="1"/>
                <w:iCs w:val="1"/>
                <w:color w:val="auto"/>
              </w:rPr>
              <w:t>GasLog Salem</w:t>
            </w:r>
          </w:p>
        </w:tc>
        <w:tc>
          <w:tcPr>
            <w:tcW w:w="780" w:type="dxa"/>
            <w:vAlign w:val="bottom"/>
            <w:gridSpan w:val="2"/>
            <w:shd w:val="clear" w:color="auto" w:fill="E5FFFF"/>
          </w:tcPr>
          <w:p>
            <w:pPr>
              <w:jc w:val="center"/>
              <w:ind w:left="59"/>
              <w:spacing w:after="0"/>
              <w:rPr>
                <w:sz w:val="20"/>
                <w:szCs w:val="20"/>
                <w:color w:val="auto"/>
              </w:rPr>
            </w:pPr>
            <w:r>
              <w:rPr>
                <w:rFonts w:ascii="Times New Roman" w:cs="Times New Roman" w:eastAsia="Times New Roman" w:hAnsi="Times New Roman"/>
                <w:sz w:val="16"/>
                <w:szCs w:val="16"/>
                <w:color w:val="auto"/>
                <w:w w:val="99"/>
              </w:rPr>
              <w:t>2015</w:t>
            </w:r>
          </w:p>
        </w:tc>
        <w:tc>
          <w:tcPr>
            <w:tcW w:w="1240" w:type="dxa"/>
            <w:vAlign w:val="bottom"/>
            <w:gridSpan w:val="2"/>
            <w:shd w:val="clear" w:color="auto" w:fill="E5FFFF"/>
          </w:tcPr>
          <w:p>
            <w:pPr>
              <w:jc w:val="center"/>
              <w:ind w:left="59"/>
              <w:spacing w:after="0"/>
              <w:rPr>
                <w:sz w:val="20"/>
                <w:szCs w:val="20"/>
                <w:color w:val="auto"/>
              </w:rPr>
            </w:pPr>
            <w:r>
              <w:rPr>
                <w:rFonts w:ascii="Times New Roman" w:cs="Times New Roman" w:eastAsia="Times New Roman" w:hAnsi="Times New Roman"/>
                <w:sz w:val="16"/>
                <w:szCs w:val="16"/>
                <w:color w:val="auto"/>
              </w:rPr>
              <w:t>155,000</w:t>
            </w:r>
          </w:p>
        </w:tc>
        <w:tc>
          <w:tcPr>
            <w:tcW w:w="120" w:type="dxa"/>
            <w:vAlign w:val="bottom"/>
            <w:shd w:val="clear" w:color="auto" w:fill="E5FFFF"/>
          </w:tcPr>
          <w:p>
            <w:pPr>
              <w:spacing w:after="0"/>
              <w:rPr>
                <w:sz w:val="21"/>
                <w:szCs w:val="21"/>
                <w:color w:val="auto"/>
              </w:rPr>
            </w:pPr>
          </w:p>
        </w:tc>
        <w:tc>
          <w:tcPr>
            <w:tcW w:w="1440" w:type="dxa"/>
            <w:vAlign w:val="bottom"/>
            <w:shd w:val="clear" w:color="auto" w:fill="E5FFFF"/>
          </w:tcPr>
          <w:p>
            <w:pPr>
              <w:jc w:val="center"/>
              <w:spacing w:after="0" w:line="243" w:lineRule="exact"/>
              <w:rPr>
                <w:sz w:val="20"/>
                <w:szCs w:val="20"/>
                <w:color w:val="auto"/>
              </w:rPr>
            </w:pPr>
            <w:r>
              <w:rPr>
                <w:rFonts w:ascii="Times New Roman" w:cs="Times New Roman" w:eastAsia="Times New Roman" w:hAnsi="Times New Roman"/>
                <w:sz w:val="16"/>
                <w:szCs w:val="16"/>
                <w:color w:val="auto"/>
                <w:w w:val="92"/>
              </w:rPr>
              <w:t xml:space="preserve">Gunvor </w:t>
            </w:r>
            <w:r>
              <w:rPr>
                <w:rFonts w:ascii="Times New Roman" w:cs="Times New Roman" w:eastAsia="Times New Roman" w:hAnsi="Times New Roman"/>
                <w:sz w:val="26"/>
                <w:szCs w:val="26"/>
                <w:color w:val="auto"/>
                <w:w w:val="92"/>
                <w:vertAlign w:val="superscript"/>
              </w:rPr>
              <w:t>(19)</w:t>
            </w:r>
          </w:p>
        </w:tc>
        <w:tc>
          <w:tcPr>
            <w:tcW w:w="140" w:type="dxa"/>
            <w:vAlign w:val="bottom"/>
            <w:shd w:val="clear" w:color="auto" w:fill="E5FFFF"/>
          </w:tcPr>
          <w:p>
            <w:pPr>
              <w:spacing w:after="0"/>
              <w:rPr>
                <w:sz w:val="21"/>
                <w:szCs w:val="21"/>
                <w:color w:val="auto"/>
              </w:rPr>
            </w:pPr>
          </w:p>
        </w:tc>
        <w:tc>
          <w:tcPr>
            <w:tcW w:w="800" w:type="dxa"/>
            <w:vAlign w:val="bottom"/>
            <w:shd w:val="clear" w:color="auto" w:fill="E5FFFF"/>
          </w:tcPr>
          <w:p>
            <w:pPr>
              <w:jc w:val="center"/>
              <w:spacing w:after="0"/>
              <w:rPr>
                <w:sz w:val="20"/>
                <w:szCs w:val="20"/>
                <w:color w:val="auto"/>
              </w:rPr>
            </w:pPr>
            <w:r>
              <w:rPr>
                <w:rFonts w:ascii="Times New Roman" w:cs="Times New Roman" w:eastAsia="Times New Roman" w:hAnsi="Times New Roman"/>
                <w:sz w:val="16"/>
                <w:szCs w:val="16"/>
                <w:color w:val="auto"/>
                <w:w w:val="99"/>
              </w:rPr>
              <w:t>TFDE</w:t>
            </w:r>
          </w:p>
        </w:tc>
        <w:tc>
          <w:tcPr>
            <w:tcW w:w="120" w:type="dxa"/>
            <w:vAlign w:val="bottom"/>
            <w:shd w:val="clear" w:color="auto" w:fill="E5FFFF"/>
          </w:tcPr>
          <w:p>
            <w:pPr>
              <w:spacing w:after="0"/>
              <w:rPr>
                <w:sz w:val="21"/>
                <w:szCs w:val="21"/>
                <w:color w:val="auto"/>
              </w:rPr>
            </w:pPr>
          </w:p>
        </w:tc>
        <w:tc>
          <w:tcPr>
            <w:tcW w:w="2120" w:type="dxa"/>
            <w:vAlign w:val="bottom"/>
            <w:shd w:val="clear" w:color="auto" w:fill="E5FFFF"/>
          </w:tcPr>
          <w:p>
            <w:pPr>
              <w:jc w:val="center"/>
              <w:spacing w:after="0"/>
              <w:rPr>
                <w:sz w:val="20"/>
                <w:szCs w:val="20"/>
                <w:color w:val="auto"/>
              </w:rPr>
            </w:pPr>
            <w:r>
              <w:rPr>
                <w:rFonts w:ascii="Times New Roman" w:cs="Times New Roman" w:eastAsia="Times New Roman" w:hAnsi="Times New Roman"/>
                <w:sz w:val="16"/>
                <w:szCs w:val="16"/>
                <w:color w:val="auto"/>
              </w:rPr>
              <w:t>March 2026</w:t>
            </w:r>
          </w:p>
        </w:tc>
        <w:tc>
          <w:tcPr>
            <w:tcW w:w="120" w:type="dxa"/>
            <w:vAlign w:val="bottom"/>
            <w:shd w:val="clear" w:color="auto" w:fill="E5FFFF"/>
          </w:tcPr>
          <w:p>
            <w:pPr>
              <w:spacing w:after="0"/>
              <w:rPr>
                <w:sz w:val="21"/>
                <w:szCs w:val="21"/>
                <w:color w:val="auto"/>
              </w:rPr>
            </w:pPr>
          </w:p>
        </w:tc>
        <w:tc>
          <w:tcPr>
            <w:tcW w:w="1060" w:type="dxa"/>
            <w:vAlign w:val="bottom"/>
            <w:gridSpan w:val="2"/>
            <w:shd w:val="clear" w:color="auto" w:fill="E5FFFF"/>
          </w:tcPr>
          <w:p>
            <w:pPr>
              <w:jc w:val="center"/>
              <w:ind w:right="60"/>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43"/>
        </w:trPr>
        <w:tc>
          <w:tcPr>
            <w:tcW w:w="2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8</w:t>
            </w:r>
          </w:p>
        </w:tc>
        <w:tc>
          <w:tcPr>
            <w:tcW w:w="3060" w:type="dxa"/>
            <w:vAlign w:val="bottom"/>
          </w:tcPr>
          <w:p>
            <w:pPr>
              <w:ind w:left="60"/>
              <w:spacing w:after="0"/>
              <w:rPr>
                <w:sz w:val="20"/>
                <w:szCs w:val="20"/>
                <w:color w:val="auto"/>
              </w:rPr>
            </w:pPr>
            <w:r>
              <w:rPr>
                <w:rFonts w:ascii="Times New Roman" w:cs="Times New Roman" w:eastAsia="Times New Roman" w:hAnsi="Times New Roman"/>
                <w:sz w:val="16"/>
                <w:szCs w:val="16"/>
                <w:i w:val="1"/>
                <w:iCs w:val="1"/>
                <w:color w:val="auto"/>
              </w:rPr>
              <w:t>Methane Julia Louise</w:t>
            </w:r>
          </w:p>
        </w:tc>
        <w:tc>
          <w:tcPr>
            <w:tcW w:w="780" w:type="dxa"/>
            <w:vAlign w:val="bottom"/>
            <w:gridSpan w:val="2"/>
          </w:tcPr>
          <w:p>
            <w:pPr>
              <w:jc w:val="center"/>
              <w:ind w:left="59"/>
              <w:spacing w:after="0"/>
              <w:rPr>
                <w:sz w:val="20"/>
                <w:szCs w:val="20"/>
                <w:color w:val="auto"/>
              </w:rPr>
            </w:pPr>
            <w:r>
              <w:rPr>
                <w:rFonts w:ascii="Times New Roman" w:cs="Times New Roman" w:eastAsia="Times New Roman" w:hAnsi="Times New Roman"/>
                <w:sz w:val="16"/>
                <w:szCs w:val="16"/>
                <w:color w:val="auto"/>
                <w:w w:val="99"/>
              </w:rPr>
              <w:t>2010</w:t>
            </w:r>
          </w:p>
        </w:tc>
        <w:tc>
          <w:tcPr>
            <w:tcW w:w="1240" w:type="dxa"/>
            <w:vAlign w:val="bottom"/>
            <w:gridSpan w:val="2"/>
          </w:tcPr>
          <w:p>
            <w:pPr>
              <w:jc w:val="center"/>
              <w:ind w:left="59"/>
              <w:spacing w:after="0"/>
              <w:rPr>
                <w:sz w:val="20"/>
                <w:szCs w:val="20"/>
                <w:color w:val="auto"/>
              </w:rPr>
            </w:pPr>
            <w:r>
              <w:rPr>
                <w:rFonts w:ascii="Times New Roman" w:cs="Times New Roman" w:eastAsia="Times New Roman" w:hAnsi="Times New Roman"/>
                <w:sz w:val="16"/>
                <w:szCs w:val="16"/>
                <w:color w:val="auto"/>
              </w:rPr>
              <w:t>170,000</w:t>
            </w:r>
          </w:p>
        </w:tc>
        <w:tc>
          <w:tcPr>
            <w:tcW w:w="120" w:type="dxa"/>
            <w:vAlign w:val="bottom"/>
          </w:tcPr>
          <w:p>
            <w:pPr>
              <w:spacing w:after="0"/>
              <w:rPr>
                <w:sz w:val="21"/>
                <w:szCs w:val="21"/>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Shell</w:t>
            </w:r>
          </w:p>
        </w:tc>
        <w:tc>
          <w:tcPr>
            <w:tcW w:w="140" w:type="dxa"/>
            <w:vAlign w:val="bottom"/>
          </w:tcPr>
          <w:p>
            <w:pPr>
              <w:spacing w:after="0"/>
              <w:rPr>
                <w:sz w:val="21"/>
                <w:szCs w:val="21"/>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TFDE</w:t>
            </w:r>
          </w:p>
        </w:tc>
        <w:tc>
          <w:tcPr>
            <w:tcW w:w="120" w:type="dxa"/>
            <w:vAlign w:val="bottom"/>
          </w:tcPr>
          <w:p>
            <w:pPr>
              <w:spacing w:after="0"/>
              <w:rPr>
                <w:sz w:val="21"/>
                <w:szCs w:val="21"/>
                <w:color w:val="auto"/>
              </w:rPr>
            </w:pPr>
          </w:p>
        </w:tc>
        <w:tc>
          <w:tcPr>
            <w:tcW w:w="21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March 2026</w:t>
            </w:r>
          </w:p>
        </w:tc>
        <w:tc>
          <w:tcPr>
            <w:tcW w:w="1120" w:type="dxa"/>
            <w:vAlign w:val="bottom"/>
            <w:gridSpan w:val="2"/>
          </w:tcPr>
          <w:p>
            <w:pPr>
              <w:jc w:val="center"/>
              <w:ind w:left="19"/>
              <w:spacing w:after="0" w:line="243" w:lineRule="exact"/>
              <w:rPr>
                <w:sz w:val="20"/>
                <w:szCs w:val="20"/>
                <w:color w:val="auto"/>
              </w:rPr>
            </w:pPr>
            <w:r>
              <w:rPr>
                <w:rFonts w:ascii="Times New Roman" w:cs="Times New Roman" w:eastAsia="Times New Roman" w:hAnsi="Times New Roman"/>
                <w:sz w:val="16"/>
                <w:szCs w:val="16"/>
                <w:color w:val="auto"/>
                <w:w w:val="96"/>
              </w:rPr>
              <w:t xml:space="preserve">2029-2031 </w:t>
            </w:r>
            <w:r>
              <w:rPr>
                <w:rFonts w:ascii="Times New Roman" w:cs="Times New Roman" w:eastAsia="Times New Roman" w:hAnsi="Times New Roman"/>
                <w:sz w:val="26"/>
                <w:szCs w:val="26"/>
                <w:color w:val="auto"/>
                <w:w w:val="96"/>
                <w:vertAlign w:val="superscript"/>
              </w:rPr>
              <w:t>(7)</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40" w:type="dxa"/>
            <w:vAlign w:val="bottom"/>
            <w:gridSpan w:val="2"/>
            <w:shd w:val="clear" w:color="auto" w:fill="E5FFFF"/>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9</w:t>
            </w:r>
          </w:p>
        </w:tc>
        <w:tc>
          <w:tcPr>
            <w:tcW w:w="3060" w:type="dxa"/>
            <w:vAlign w:val="bottom"/>
            <w:shd w:val="clear" w:color="auto" w:fill="E5FFFF"/>
          </w:tcPr>
          <w:p>
            <w:pPr>
              <w:ind w:left="60"/>
              <w:spacing w:after="0"/>
              <w:rPr>
                <w:sz w:val="20"/>
                <w:szCs w:val="20"/>
                <w:color w:val="auto"/>
              </w:rPr>
            </w:pPr>
            <w:r>
              <w:rPr>
                <w:rFonts w:ascii="Times New Roman" w:cs="Times New Roman" w:eastAsia="Times New Roman" w:hAnsi="Times New Roman"/>
                <w:sz w:val="16"/>
                <w:szCs w:val="16"/>
                <w:i w:val="1"/>
                <w:iCs w:val="1"/>
                <w:color w:val="auto"/>
              </w:rPr>
              <w:t>GasLog Houston</w:t>
            </w:r>
          </w:p>
        </w:tc>
        <w:tc>
          <w:tcPr>
            <w:tcW w:w="780" w:type="dxa"/>
            <w:vAlign w:val="bottom"/>
            <w:gridSpan w:val="2"/>
            <w:shd w:val="clear" w:color="auto" w:fill="E5FFFF"/>
          </w:tcPr>
          <w:p>
            <w:pPr>
              <w:jc w:val="center"/>
              <w:ind w:left="59"/>
              <w:spacing w:after="0"/>
              <w:rPr>
                <w:sz w:val="20"/>
                <w:szCs w:val="20"/>
                <w:color w:val="auto"/>
              </w:rPr>
            </w:pPr>
            <w:r>
              <w:rPr>
                <w:rFonts w:ascii="Times New Roman" w:cs="Times New Roman" w:eastAsia="Times New Roman" w:hAnsi="Times New Roman"/>
                <w:sz w:val="16"/>
                <w:szCs w:val="16"/>
                <w:color w:val="auto"/>
                <w:w w:val="99"/>
              </w:rPr>
              <w:t>2018</w:t>
            </w:r>
          </w:p>
        </w:tc>
        <w:tc>
          <w:tcPr>
            <w:tcW w:w="1240" w:type="dxa"/>
            <w:vAlign w:val="bottom"/>
            <w:gridSpan w:val="2"/>
            <w:shd w:val="clear" w:color="auto" w:fill="E5FFFF"/>
          </w:tcPr>
          <w:p>
            <w:pPr>
              <w:jc w:val="center"/>
              <w:ind w:left="59"/>
              <w:spacing w:after="0"/>
              <w:rPr>
                <w:sz w:val="20"/>
                <w:szCs w:val="20"/>
                <w:color w:val="auto"/>
              </w:rPr>
            </w:pPr>
            <w:r>
              <w:rPr>
                <w:rFonts w:ascii="Times New Roman" w:cs="Times New Roman" w:eastAsia="Times New Roman" w:hAnsi="Times New Roman"/>
                <w:sz w:val="16"/>
                <w:szCs w:val="16"/>
                <w:color w:val="auto"/>
              </w:rPr>
              <w:t>174,000</w:t>
            </w:r>
          </w:p>
        </w:tc>
        <w:tc>
          <w:tcPr>
            <w:tcW w:w="120" w:type="dxa"/>
            <w:vAlign w:val="bottom"/>
            <w:shd w:val="clear" w:color="auto" w:fill="E5FFFF"/>
          </w:tcPr>
          <w:p>
            <w:pPr>
              <w:spacing w:after="0"/>
              <w:rPr>
                <w:sz w:val="21"/>
                <w:szCs w:val="21"/>
                <w:color w:val="auto"/>
              </w:rPr>
            </w:pPr>
          </w:p>
        </w:tc>
        <w:tc>
          <w:tcPr>
            <w:tcW w:w="1440" w:type="dxa"/>
            <w:vAlign w:val="bottom"/>
            <w:shd w:val="clear" w:color="auto" w:fill="E5FFFF"/>
          </w:tcPr>
          <w:p>
            <w:pPr>
              <w:jc w:val="center"/>
              <w:spacing w:after="0"/>
              <w:rPr>
                <w:sz w:val="20"/>
                <w:szCs w:val="20"/>
                <w:color w:val="auto"/>
              </w:rPr>
            </w:pPr>
            <w:r>
              <w:rPr>
                <w:rFonts w:ascii="Times New Roman" w:cs="Times New Roman" w:eastAsia="Times New Roman" w:hAnsi="Times New Roman"/>
                <w:sz w:val="16"/>
                <w:szCs w:val="16"/>
                <w:color w:val="auto"/>
              </w:rPr>
              <w:t>Shell</w:t>
            </w:r>
          </w:p>
        </w:tc>
        <w:tc>
          <w:tcPr>
            <w:tcW w:w="140" w:type="dxa"/>
            <w:vAlign w:val="bottom"/>
            <w:shd w:val="clear" w:color="auto" w:fill="E5FFFF"/>
          </w:tcPr>
          <w:p>
            <w:pPr>
              <w:spacing w:after="0"/>
              <w:rPr>
                <w:sz w:val="21"/>
                <w:szCs w:val="21"/>
                <w:color w:val="auto"/>
              </w:rPr>
            </w:pPr>
          </w:p>
        </w:tc>
        <w:tc>
          <w:tcPr>
            <w:tcW w:w="800" w:type="dxa"/>
            <w:vAlign w:val="bottom"/>
            <w:shd w:val="clear" w:color="auto" w:fill="E5FFFF"/>
          </w:tcPr>
          <w:p>
            <w:pPr>
              <w:jc w:val="center"/>
              <w:spacing w:after="0"/>
              <w:rPr>
                <w:sz w:val="20"/>
                <w:szCs w:val="20"/>
                <w:color w:val="auto"/>
              </w:rPr>
            </w:pPr>
            <w:r>
              <w:rPr>
                <w:rFonts w:ascii="Times New Roman" w:cs="Times New Roman" w:eastAsia="Times New Roman" w:hAnsi="Times New Roman"/>
                <w:sz w:val="16"/>
                <w:szCs w:val="16"/>
                <w:color w:val="auto"/>
              </w:rPr>
              <w:t>X-DF</w:t>
            </w:r>
          </w:p>
        </w:tc>
        <w:tc>
          <w:tcPr>
            <w:tcW w:w="120" w:type="dxa"/>
            <w:vAlign w:val="bottom"/>
            <w:shd w:val="clear" w:color="auto" w:fill="E5FFFF"/>
          </w:tcPr>
          <w:p>
            <w:pPr>
              <w:spacing w:after="0"/>
              <w:rPr>
                <w:sz w:val="21"/>
                <w:szCs w:val="21"/>
                <w:color w:val="auto"/>
              </w:rPr>
            </w:pPr>
          </w:p>
        </w:tc>
        <w:tc>
          <w:tcPr>
            <w:tcW w:w="2120" w:type="dxa"/>
            <w:vAlign w:val="bottom"/>
            <w:shd w:val="clear" w:color="auto" w:fill="E5FFFF"/>
          </w:tcPr>
          <w:p>
            <w:pPr>
              <w:jc w:val="center"/>
              <w:spacing w:after="0"/>
              <w:rPr>
                <w:sz w:val="20"/>
                <w:szCs w:val="20"/>
                <w:color w:val="auto"/>
              </w:rPr>
            </w:pPr>
            <w:r>
              <w:rPr>
                <w:rFonts w:ascii="Times New Roman" w:cs="Times New Roman" w:eastAsia="Times New Roman" w:hAnsi="Times New Roman"/>
                <w:sz w:val="16"/>
                <w:szCs w:val="16"/>
                <w:color w:val="auto"/>
              </w:rPr>
              <w:t>May 2028</w:t>
            </w:r>
          </w:p>
        </w:tc>
        <w:tc>
          <w:tcPr>
            <w:tcW w:w="1120" w:type="dxa"/>
            <w:vAlign w:val="bottom"/>
            <w:gridSpan w:val="2"/>
            <w:shd w:val="clear" w:color="auto" w:fill="E5FFFF"/>
          </w:tcPr>
          <w:p>
            <w:pPr>
              <w:jc w:val="center"/>
              <w:ind w:left="19"/>
              <w:spacing w:after="0" w:line="243" w:lineRule="exact"/>
              <w:rPr>
                <w:sz w:val="20"/>
                <w:szCs w:val="20"/>
                <w:color w:val="auto"/>
              </w:rPr>
            </w:pPr>
            <w:r>
              <w:rPr>
                <w:rFonts w:ascii="Times New Roman" w:cs="Times New Roman" w:eastAsia="Times New Roman" w:hAnsi="Times New Roman"/>
                <w:sz w:val="16"/>
                <w:szCs w:val="16"/>
                <w:color w:val="auto"/>
                <w:w w:val="96"/>
              </w:rPr>
              <w:t xml:space="preserve">2031-2034 </w:t>
            </w:r>
            <w:r>
              <w:rPr>
                <w:rFonts w:ascii="Times New Roman" w:cs="Times New Roman" w:eastAsia="Times New Roman" w:hAnsi="Times New Roman"/>
                <w:sz w:val="26"/>
                <w:szCs w:val="26"/>
                <w:color w:val="auto"/>
                <w:w w:val="96"/>
                <w:vertAlign w:val="superscript"/>
              </w:rPr>
              <w:t>(7)</w:t>
            </w:r>
          </w:p>
        </w:tc>
        <w:tc>
          <w:tcPr>
            <w:tcW w:w="60" w:type="dxa"/>
            <w:vAlign w:val="bottom"/>
            <w:shd w:val="clear" w:color="auto" w:fill="E5FFFF"/>
          </w:tcPr>
          <w:p>
            <w:pPr>
              <w:spacing w:after="0"/>
              <w:rPr>
                <w:sz w:val="21"/>
                <w:szCs w:val="21"/>
                <w:color w:val="auto"/>
              </w:rPr>
            </w:pPr>
          </w:p>
        </w:tc>
        <w:tc>
          <w:tcPr>
            <w:tcW w:w="0" w:type="dxa"/>
            <w:vAlign w:val="bottom"/>
          </w:tcPr>
          <w:p>
            <w:pPr>
              <w:spacing w:after="0"/>
              <w:rPr>
                <w:sz w:val="1"/>
                <w:szCs w:val="1"/>
                <w:color w:val="auto"/>
              </w:rPr>
            </w:pPr>
          </w:p>
        </w:tc>
      </w:tr>
    </w:tbl>
    <w:p>
      <w:pPr>
        <w:spacing w:after="0" w:line="180" w:lineRule="exact"/>
        <w:rPr>
          <w:sz w:val="20"/>
          <w:szCs w:val="20"/>
          <w:color w:val="auto"/>
        </w:rPr>
      </w:pPr>
    </w:p>
    <w:p>
      <w:pPr>
        <w:ind w:left="340" w:hanging="332"/>
        <w:spacing w:after="0"/>
        <w:tabs>
          <w:tab w:leader="none" w:pos="34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Indicates the Partnership’s owned and bareboat fleet as of February 15, 2024.</w:t>
      </w:r>
    </w:p>
    <w:p>
      <w:pPr>
        <w:spacing w:after="0" w:line="109" w:lineRule="exact"/>
        <w:rPr>
          <w:sz w:val="20"/>
          <w:szCs w:val="20"/>
          <w:color w:val="auto"/>
        </w:rPr>
      </w:pPr>
    </w:p>
    <w:p>
      <w:pPr>
        <w:ind w:left="340" w:hanging="332"/>
        <w:spacing w:after="0"/>
        <w:tabs>
          <w:tab w:leader="none" w:pos="34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4"/>
          <w:szCs w:val="14"/>
          <w:color w:val="auto"/>
        </w:rPr>
        <w:t>Indicates the expiration of the initial term.</w:t>
      </w:r>
    </w:p>
    <w:p>
      <w:pPr>
        <w:spacing w:after="0" w:line="122" w:lineRule="exact"/>
        <w:rPr>
          <w:rFonts w:ascii="Times New Roman" w:cs="Times New Roman" w:eastAsia="Times New Roman" w:hAnsi="Times New Roman"/>
          <w:sz w:val="12"/>
          <w:szCs w:val="12"/>
          <w:color w:val="auto"/>
        </w:rPr>
      </w:pPr>
    </w:p>
    <w:p>
      <w:pPr>
        <w:ind w:left="340" w:hanging="332"/>
        <w:spacing w:after="0"/>
        <w:tabs>
          <w:tab w:leader="none" w:pos="34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4"/>
          <w:szCs w:val="14"/>
          <w:color w:val="auto"/>
        </w:rPr>
        <w:t>The period shown reflects the expiration of the minimum optional period and the maximum optional period.</w:t>
      </w:r>
    </w:p>
    <w:p>
      <w:pPr>
        <w:spacing w:after="0" w:line="200" w:lineRule="exact"/>
        <w:rPr>
          <w:sz w:val="20"/>
          <w:szCs w:val="20"/>
          <w:color w:val="auto"/>
        </w:rPr>
      </w:pPr>
    </w:p>
    <w:p>
      <w:pPr>
        <w:spacing w:after="0" w:line="23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93" w:right="339" w:bottom="1051" w:gutter="0" w:footer="0" w:header="0"/>
        </w:sectPr>
      </w:pPr>
    </w:p>
    <w:bookmarkStart w:id="6" w:name="page7"/>
    <w:bookmarkEnd w:id="6"/>
    <w:p>
      <w:pPr>
        <w:ind w:left="340" w:hanging="332"/>
        <w:spacing w:after="0"/>
        <w:tabs>
          <w:tab w:leader="none" w:pos="34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4"/>
          <w:szCs w:val="14"/>
          <w:color w:val="auto"/>
        </w:rPr>
        <w:t xml:space="preserve">The vessel </w:t>
      </w:r>
      <w:r>
        <w:rPr>
          <w:rFonts w:ascii="Times New Roman" w:cs="Times New Roman" w:eastAsia="Times New Roman" w:hAnsi="Times New Roman"/>
          <w:sz w:val="14"/>
          <w:szCs w:val="14"/>
          <w:i w:val="1"/>
          <w:iCs w:val="1"/>
          <w:color w:val="auto"/>
        </w:rPr>
        <w:t>GasLog Chelsea</w:t>
      </w:r>
      <w:r>
        <w:rPr>
          <w:rFonts w:ascii="Times New Roman" w:cs="Times New Roman" w:eastAsia="Times New Roman" w:hAnsi="Times New Roman"/>
          <w:sz w:val="14"/>
          <w:szCs w:val="14"/>
          <w:color w:val="auto"/>
        </w:rPr>
        <w:t xml:space="preserve"> was renamed to </w:t>
      </w:r>
      <w:r>
        <w:rPr>
          <w:rFonts w:ascii="Times New Roman" w:cs="Times New Roman" w:eastAsia="Times New Roman" w:hAnsi="Times New Roman"/>
          <w:sz w:val="14"/>
          <w:szCs w:val="14"/>
          <w:i w:val="1"/>
          <w:iCs w:val="1"/>
          <w:color w:val="auto"/>
        </w:rPr>
        <w:t>Alexandroupolis</w:t>
      </w:r>
      <w:r>
        <w:rPr>
          <w:rFonts w:ascii="Times New Roman" w:cs="Times New Roman" w:eastAsia="Times New Roman" w:hAnsi="Times New Roman"/>
          <w:sz w:val="14"/>
          <w:szCs w:val="14"/>
          <w:color w:val="auto"/>
        </w:rPr>
        <w:t xml:space="preserve"> in 2023. The vessel is ready to be sold as an FSRU.</w:t>
      </w:r>
    </w:p>
    <w:p>
      <w:pPr>
        <w:spacing w:after="0" w:line="124" w:lineRule="exact"/>
        <w:rPr>
          <w:rFonts w:ascii="Times New Roman" w:cs="Times New Roman" w:eastAsia="Times New Roman" w:hAnsi="Times New Roman"/>
          <w:sz w:val="12"/>
          <w:szCs w:val="12"/>
          <w:color w:val="auto"/>
        </w:rPr>
      </w:pPr>
    </w:p>
    <w:p>
      <w:pPr>
        <w:ind w:left="340" w:hanging="332"/>
        <w:spacing w:after="0"/>
        <w:tabs>
          <w:tab w:leader="none" w:pos="34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4"/>
          <w:szCs w:val="14"/>
          <w:color w:val="auto"/>
        </w:rPr>
        <w:t>The vessel is chartered to a Swiss-headquartered energy trading company.</w:t>
      </w:r>
    </w:p>
    <w:p>
      <w:pPr>
        <w:spacing w:after="0" w:line="122" w:lineRule="exact"/>
        <w:rPr>
          <w:rFonts w:ascii="Times New Roman" w:cs="Times New Roman" w:eastAsia="Times New Roman" w:hAnsi="Times New Roman"/>
          <w:sz w:val="12"/>
          <w:szCs w:val="12"/>
          <w:color w:val="auto"/>
        </w:rPr>
      </w:pPr>
    </w:p>
    <w:p>
      <w:pPr>
        <w:ind w:left="340" w:hanging="332"/>
        <w:spacing w:after="0"/>
        <w:tabs>
          <w:tab w:leader="none" w:pos="34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4"/>
          <w:szCs w:val="14"/>
          <w:color w:val="auto"/>
        </w:rPr>
        <w:t>The charterer has the right to extend the charter by an additional period of one year, provided that the charterer gives us advance notice of the declaration.</w:t>
      </w:r>
    </w:p>
    <w:p>
      <w:pPr>
        <w:spacing w:after="0" w:line="122" w:lineRule="exact"/>
        <w:rPr>
          <w:rFonts w:ascii="Times New Roman" w:cs="Times New Roman" w:eastAsia="Times New Roman" w:hAnsi="Times New Roman"/>
          <w:sz w:val="12"/>
          <w:szCs w:val="12"/>
          <w:color w:val="auto"/>
        </w:rPr>
      </w:pPr>
    </w:p>
    <w:p>
      <w:pPr>
        <w:ind w:left="340" w:hanging="332"/>
        <w:spacing w:after="0" w:line="261" w:lineRule="auto"/>
        <w:tabs>
          <w:tab w:leader="none" w:pos="34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4"/>
          <w:szCs w:val="14"/>
          <w:color w:val="auto"/>
        </w:rPr>
        <w:t>The vessel is chartered with CNTIC VPower Energy Ltd. (“CNTIC VPower”), an independent Chinese energy company. The charterer may extend the term of the related charter by an additional period of one year, provided that the charterer gives us advance notice of declaration.</w:t>
      </w:r>
    </w:p>
    <w:p>
      <w:pPr>
        <w:spacing w:after="0" w:line="66" w:lineRule="exact"/>
        <w:rPr>
          <w:rFonts w:ascii="Times New Roman" w:cs="Times New Roman" w:eastAsia="Times New Roman" w:hAnsi="Times New Roman"/>
          <w:sz w:val="12"/>
          <w:szCs w:val="12"/>
          <w:color w:val="auto"/>
        </w:rPr>
      </w:pPr>
    </w:p>
    <w:p>
      <w:pPr>
        <w:jc w:val="both"/>
        <w:ind w:left="340" w:hanging="332"/>
        <w:spacing w:after="0" w:line="243" w:lineRule="auto"/>
        <w:tabs>
          <w:tab w:leader="none" w:pos="34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4"/>
          <w:szCs w:val="14"/>
          <w:color w:val="auto"/>
        </w:rPr>
        <w:t xml:space="preserve">The vessel is chartered to a wholly owned subsidiary of Shell plc (“Shell”). Shell has the right to extend the charters of (a) the </w:t>
      </w:r>
      <w:r>
        <w:rPr>
          <w:rFonts w:ascii="Times New Roman" w:cs="Times New Roman" w:eastAsia="Times New Roman" w:hAnsi="Times New Roman"/>
          <w:sz w:val="14"/>
          <w:szCs w:val="14"/>
          <w:i w:val="1"/>
          <w:iCs w:val="1"/>
          <w:color w:val="auto"/>
        </w:rPr>
        <w:t>GasLog Genoa</w:t>
      </w:r>
      <w:r>
        <w:rPr>
          <w:rFonts w:ascii="Times New Roman" w:cs="Times New Roman" w:eastAsia="Times New Roman" w:hAnsi="Times New Roman"/>
          <w:sz w:val="14"/>
          <w:szCs w:val="14"/>
          <w:color w:val="auto"/>
        </w:rPr>
        <w:t xml:space="preserve">, the </w:t>
      </w:r>
      <w:r>
        <w:rPr>
          <w:rFonts w:ascii="Times New Roman" w:cs="Times New Roman" w:eastAsia="Times New Roman" w:hAnsi="Times New Roman"/>
          <w:sz w:val="14"/>
          <w:szCs w:val="14"/>
          <w:i w:val="1"/>
          <w:iCs w:val="1"/>
          <w:color w:val="auto"/>
        </w:rPr>
        <w:t>GasLog Houston</w:t>
      </w:r>
      <w:r>
        <w:rPr>
          <w:rFonts w:ascii="Times New Roman" w:cs="Times New Roman" w:eastAsia="Times New Roman" w:hAnsi="Times New Roman"/>
          <w:sz w:val="14"/>
          <w:szCs w:val="14"/>
          <w:color w:val="auto"/>
        </w:rPr>
        <w:t xml:space="preserve"> and the </w:t>
      </w:r>
      <w:r>
        <w:rPr>
          <w:rFonts w:ascii="Times New Roman" w:cs="Times New Roman" w:eastAsia="Times New Roman" w:hAnsi="Times New Roman"/>
          <w:sz w:val="14"/>
          <w:szCs w:val="14"/>
          <w:i w:val="1"/>
          <w:iCs w:val="1"/>
          <w:color w:val="auto"/>
        </w:rPr>
        <w:t>GasLog</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 xml:space="preserve">Gladstone </w:t>
      </w:r>
      <w:r>
        <w:rPr>
          <w:rFonts w:ascii="Times New Roman" w:cs="Times New Roman" w:eastAsia="Times New Roman" w:hAnsi="Times New Roman"/>
          <w:sz w:val="14"/>
          <w:szCs w:val="14"/>
          <w:color w:val="auto"/>
        </w:rPr>
        <w:t>by two additional periods of three years, (b) the</w:t>
      </w:r>
      <w:r>
        <w:rPr>
          <w:rFonts w:ascii="Times New Roman" w:cs="Times New Roman" w:eastAsia="Times New Roman" w:hAnsi="Times New Roman"/>
          <w:sz w:val="14"/>
          <w:szCs w:val="14"/>
          <w:i w:val="1"/>
          <w:iCs w:val="1"/>
          <w:color w:val="auto"/>
        </w:rPr>
        <w:t xml:space="preserve"> Methane Julia Louise </w:t>
      </w:r>
      <w:r>
        <w:rPr>
          <w:rFonts w:ascii="Times New Roman" w:cs="Times New Roman" w:eastAsia="Times New Roman" w:hAnsi="Times New Roman"/>
          <w:sz w:val="14"/>
          <w:szCs w:val="14"/>
          <w:color w:val="auto"/>
        </w:rPr>
        <w:t>for a period of either three or five years, (c) the</w:t>
      </w:r>
      <w:r>
        <w:rPr>
          <w:rFonts w:ascii="Times New Roman" w:cs="Times New Roman" w:eastAsia="Times New Roman" w:hAnsi="Times New Roman"/>
          <w:sz w:val="14"/>
          <w:szCs w:val="14"/>
          <w:i w:val="1"/>
          <w:iCs w:val="1"/>
          <w:color w:val="auto"/>
        </w:rPr>
        <w:t xml:space="preserve"> GasLog Greece </w:t>
      </w:r>
      <w:r>
        <w:rPr>
          <w:rFonts w:ascii="Times New Roman" w:cs="Times New Roman" w:eastAsia="Times New Roman" w:hAnsi="Times New Roman"/>
          <w:sz w:val="14"/>
          <w:szCs w:val="14"/>
          <w:color w:val="auto"/>
        </w:rPr>
        <w:t>and the</w:t>
      </w:r>
      <w:r>
        <w:rPr>
          <w:rFonts w:ascii="Times New Roman" w:cs="Times New Roman" w:eastAsia="Times New Roman" w:hAnsi="Times New Roman"/>
          <w:sz w:val="14"/>
          <w:szCs w:val="14"/>
          <w:i w:val="1"/>
          <w:iCs w:val="1"/>
          <w:color w:val="auto"/>
        </w:rPr>
        <w:t xml:space="preserve"> GasLog Glasgow </w:t>
      </w:r>
      <w:r>
        <w:rPr>
          <w:rFonts w:ascii="Times New Roman" w:cs="Times New Roman" w:eastAsia="Times New Roman" w:hAnsi="Times New Roman"/>
          <w:sz w:val="14"/>
          <w:szCs w:val="14"/>
          <w:color w:val="auto"/>
        </w:rPr>
        <w:t>for a period of</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 xml:space="preserve">five years and (d) the </w:t>
      </w:r>
      <w:r>
        <w:rPr>
          <w:rFonts w:ascii="Times New Roman" w:cs="Times New Roman" w:eastAsia="Times New Roman" w:hAnsi="Times New Roman"/>
          <w:sz w:val="14"/>
          <w:szCs w:val="14"/>
          <w:i w:val="1"/>
          <w:iCs w:val="1"/>
          <w:color w:val="auto"/>
        </w:rPr>
        <w:t>GasLog Geneva</w:t>
      </w:r>
      <w:r>
        <w:rPr>
          <w:rFonts w:ascii="Times New Roman" w:cs="Times New Roman" w:eastAsia="Times New Roman" w:hAnsi="Times New Roman"/>
          <w:sz w:val="14"/>
          <w:szCs w:val="14"/>
          <w:color w:val="auto"/>
        </w:rPr>
        <w:t xml:space="preserve"> and the </w:t>
      </w:r>
      <w:r>
        <w:rPr>
          <w:rFonts w:ascii="Times New Roman" w:cs="Times New Roman" w:eastAsia="Times New Roman" w:hAnsi="Times New Roman"/>
          <w:sz w:val="14"/>
          <w:szCs w:val="14"/>
          <w:i w:val="1"/>
          <w:iCs w:val="1"/>
          <w:color w:val="auto"/>
        </w:rPr>
        <w:t>GasLog Gibraltar</w:t>
      </w:r>
      <w:r>
        <w:rPr>
          <w:rFonts w:ascii="Times New Roman" w:cs="Times New Roman" w:eastAsia="Times New Roman" w:hAnsi="Times New Roman"/>
          <w:sz w:val="14"/>
          <w:szCs w:val="14"/>
          <w:color w:val="auto"/>
        </w:rPr>
        <w:t xml:space="preserve"> for a period of three years, provided that Shell gives us advance notice of the declarations.</w:t>
      </w:r>
    </w:p>
    <w:p>
      <w:pPr>
        <w:spacing w:after="0" w:line="80" w:lineRule="exact"/>
        <w:rPr>
          <w:rFonts w:ascii="Times New Roman" w:cs="Times New Roman" w:eastAsia="Times New Roman" w:hAnsi="Times New Roman"/>
          <w:sz w:val="12"/>
          <w:szCs w:val="12"/>
          <w:color w:val="auto"/>
        </w:rPr>
      </w:pPr>
    </w:p>
    <w:p>
      <w:pPr>
        <w:ind w:left="340" w:hanging="332"/>
        <w:spacing w:after="0"/>
        <w:tabs>
          <w:tab w:leader="none" w:pos="34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4"/>
          <w:szCs w:val="14"/>
          <w:color w:val="auto"/>
        </w:rPr>
        <w:t>The charterer has the right to extend the charter by an additional period of one year, provided that the charterer gives us advance notice of the declaration.</w:t>
      </w:r>
    </w:p>
    <w:p>
      <w:pPr>
        <w:spacing w:after="0" w:line="122" w:lineRule="exact"/>
        <w:rPr>
          <w:rFonts w:ascii="Times New Roman" w:cs="Times New Roman" w:eastAsia="Times New Roman" w:hAnsi="Times New Roman"/>
          <w:sz w:val="12"/>
          <w:szCs w:val="12"/>
          <w:color w:val="auto"/>
        </w:rPr>
      </w:pPr>
    </w:p>
    <w:p>
      <w:pPr>
        <w:ind w:left="340" w:hanging="332"/>
        <w:spacing w:after="0" w:line="261" w:lineRule="auto"/>
        <w:tabs>
          <w:tab w:leader="none" w:pos="34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4"/>
          <w:szCs w:val="14"/>
          <w:color w:val="auto"/>
        </w:rPr>
        <w:t>The vessel is chartered to Pioneer Shipping Limited, a wholly owned subsidiary of Centrica plc (“Centrica”). Centrica has the right to extend the charter by three additional periods of two years, provided that Centrica gives us advance notice of declaration.</w:t>
      </w:r>
    </w:p>
    <w:p>
      <w:pPr>
        <w:spacing w:after="0" w:line="66" w:lineRule="exact"/>
        <w:rPr>
          <w:rFonts w:ascii="Times New Roman" w:cs="Times New Roman" w:eastAsia="Times New Roman" w:hAnsi="Times New Roman"/>
          <w:sz w:val="12"/>
          <w:szCs w:val="12"/>
          <w:color w:val="auto"/>
        </w:rPr>
      </w:pPr>
    </w:p>
    <w:p>
      <w:pPr>
        <w:ind w:left="340" w:hanging="332"/>
        <w:spacing w:after="0" w:line="264" w:lineRule="auto"/>
        <w:tabs>
          <w:tab w:leader="none" w:pos="34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4"/>
          <w:szCs w:val="14"/>
          <w:color w:val="auto"/>
        </w:rPr>
        <w:t xml:space="preserve">The charterer has the right to extend the charters of the </w:t>
      </w:r>
      <w:r>
        <w:rPr>
          <w:rFonts w:ascii="Times New Roman" w:cs="Times New Roman" w:eastAsia="Times New Roman" w:hAnsi="Times New Roman"/>
          <w:sz w:val="14"/>
          <w:szCs w:val="14"/>
          <w:i w:val="1"/>
          <w:iCs w:val="1"/>
          <w:color w:val="auto"/>
        </w:rPr>
        <w:t>GasLog Georgetown</w:t>
      </w:r>
      <w:r>
        <w:rPr>
          <w:rFonts w:ascii="Times New Roman" w:cs="Times New Roman" w:eastAsia="Times New Roman" w:hAnsi="Times New Roman"/>
          <w:sz w:val="14"/>
          <w:szCs w:val="14"/>
          <w:color w:val="auto"/>
        </w:rPr>
        <w:t xml:space="preserve">, the </w:t>
      </w:r>
      <w:r>
        <w:rPr>
          <w:rFonts w:ascii="Times New Roman" w:cs="Times New Roman" w:eastAsia="Times New Roman" w:hAnsi="Times New Roman"/>
          <w:sz w:val="14"/>
          <w:szCs w:val="14"/>
          <w:i w:val="1"/>
          <w:iCs w:val="1"/>
          <w:color w:val="auto"/>
        </w:rPr>
        <w:t>GasLog Galveston,</w:t>
      </w:r>
      <w:r>
        <w:rPr>
          <w:rFonts w:ascii="Times New Roman" w:cs="Times New Roman" w:eastAsia="Times New Roman" w:hAnsi="Times New Roman"/>
          <w:sz w:val="14"/>
          <w:szCs w:val="14"/>
          <w:color w:val="auto"/>
        </w:rPr>
        <w:t xml:space="preserve"> the </w:t>
      </w:r>
      <w:r>
        <w:rPr>
          <w:rFonts w:ascii="Times New Roman" w:cs="Times New Roman" w:eastAsia="Times New Roman" w:hAnsi="Times New Roman"/>
          <w:sz w:val="14"/>
          <w:szCs w:val="14"/>
          <w:i w:val="1"/>
          <w:iCs w:val="1"/>
          <w:color w:val="auto"/>
        </w:rPr>
        <w:t>GasLog Wellington</w:t>
      </w:r>
      <w:r>
        <w:rPr>
          <w:rFonts w:ascii="Times New Roman" w:cs="Times New Roman" w:eastAsia="Times New Roman" w:hAnsi="Times New Roman"/>
          <w:sz w:val="14"/>
          <w:szCs w:val="14"/>
          <w:color w:val="auto"/>
        </w:rPr>
        <w:t xml:space="preserve"> and the </w:t>
      </w:r>
      <w:r>
        <w:rPr>
          <w:rFonts w:ascii="Times New Roman" w:cs="Times New Roman" w:eastAsia="Times New Roman" w:hAnsi="Times New Roman"/>
          <w:sz w:val="14"/>
          <w:szCs w:val="14"/>
          <w:i w:val="1"/>
          <w:iCs w:val="1"/>
          <w:color w:val="auto"/>
        </w:rPr>
        <w:t>GasLog Winchester</w:t>
      </w:r>
      <w:r>
        <w:rPr>
          <w:rFonts w:ascii="Times New Roman" w:cs="Times New Roman" w:eastAsia="Times New Roman" w:hAnsi="Times New Roman"/>
          <w:sz w:val="14"/>
          <w:szCs w:val="14"/>
          <w:color w:val="auto"/>
        </w:rPr>
        <w:t xml:space="preserve"> by three consecutive periods of three years, two years and two years.</w:t>
      </w:r>
    </w:p>
    <w:p>
      <w:pPr>
        <w:spacing w:after="0" w:line="64" w:lineRule="exact"/>
        <w:rPr>
          <w:rFonts w:ascii="Times New Roman" w:cs="Times New Roman" w:eastAsia="Times New Roman" w:hAnsi="Times New Roman"/>
          <w:sz w:val="12"/>
          <w:szCs w:val="12"/>
          <w:color w:val="auto"/>
        </w:rPr>
      </w:pPr>
    </w:p>
    <w:p>
      <w:pPr>
        <w:ind w:left="340" w:hanging="332"/>
        <w:spacing w:after="0" w:line="264" w:lineRule="auto"/>
        <w:tabs>
          <w:tab w:leader="none" w:pos="34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4"/>
          <w:szCs w:val="14"/>
          <w:color w:val="auto"/>
        </w:rPr>
        <w:t xml:space="preserve">“Endesa” refers to Endesa S.A. Endesa has the right to extend the charter of the </w:t>
      </w:r>
      <w:r>
        <w:rPr>
          <w:rFonts w:ascii="Times New Roman" w:cs="Times New Roman" w:eastAsia="Times New Roman" w:hAnsi="Times New Roman"/>
          <w:sz w:val="14"/>
          <w:szCs w:val="14"/>
          <w:i w:val="1"/>
          <w:iCs w:val="1"/>
          <w:color w:val="auto"/>
        </w:rPr>
        <w:t>GasLog Warsaw</w:t>
      </w:r>
      <w:r>
        <w:rPr>
          <w:rFonts w:ascii="Times New Roman" w:cs="Times New Roman" w:eastAsia="Times New Roman" w:hAnsi="Times New Roman"/>
          <w:sz w:val="14"/>
          <w:szCs w:val="14"/>
          <w:color w:val="auto"/>
        </w:rPr>
        <w:t xml:space="preserve"> by two additional periods of six years, provided that Endesa gives us advance notice of declaration.</w:t>
      </w:r>
    </w:p>
    <w:p>
      <w:pPr>
        <w:spacing w:after="0" w:line="66" w:lineRule="exact"/>
        <w:rPr>
          <w:rFonts w:ascii="Times New Roman" w:cs="Times New Roman" w:eastAsia="Times New Roman" w:hAnsi="Times New Roman"/>
          <w:sz w:val="12"/>
          <w:szCs w:val="12"/>
          <w:color w:val="auto"/>
        </w:rPr>
      </w:pPr>
    </w:p>
    <w:p>
      <w:pPr>
        <w:ind w:left="340" w:hanging="332"/>
        <w:spacing w:after="0"/>
        <w:tabs>
          <w:tab w:leader="none" w:pos="34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4"/>
          <w:szCs w:val="14"/>
          <w:color w:val="auto"/>
        </w:rPr>
        <w:t>“Kansai” refers to KE Fuel International Co., Ltd.</w:t>
      </w:r>
    </w:p>
    <w:p>
      <w:pPr>
        <w:spacing w:after="0" w:line="122" w:lineRule="exact"/>
        <w:rPr>
          <w:rFonts w:ascii="Times New Roman" w:cs="Times New Roman" w:eastAsia="Times New Roman" w:hAnsi="Times New Roman"/>
          <w:sz w:val="12"/>
          <w:szCs w:val="12"/>
          <w:color w:val="auto"/>
        </w:rPr>
      </w:pPr>
    </w:p>
    <w:p>
      <w:pPr>
        <w:ind w:left="340" w:hanging="332"/>
        <w:spacing w:after="0" w:line="261" w:lineRule="auto"/>
        <w:tabs>
          <w:tab w:leader="none" w:pos="34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4"/>
          <w:szCs w:val="14"/>
          <w:color w:val="auto"/>
        </w:rPr>
        <w:t>“Jera” refers to LNG Marine Transport Limited, the principal LNG shipping entity of Japan’s Jera Co., Inc. Jera has the right to extend the charter by two additional periods of three years, provided that Jera gives us advance notice of declaration.</w:t>
      </w:r>
    </w:p>
    <w:p>
      <w:pPr>
        <w:spacing w:after="0" w:line="68" w:lineRule="exact"/>
        <w:rPr>
          <w:rFonts w:ascii="Times New Roman" w:cs="Times New Roman" w:eastAsia="Times New Roman" w:hAnsi="Times New Roman"/>
          <w:sz w:val="12"/>
          <w:szCs w:val="12"/>
          <w:color w:val="auto"/>
        </w:rPr>
      </w:pPr>
    </w:p>
    <w:p>
      <w:pPr>
        <w:ind w:left="340" w:hanging="332"/>
        <w:spacing w:after="0"/>
        <w:tabs>
          <w:tab w:leader="none" w:pos="34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4"/>
          <w:szCs w:val="14"/>
          <w:color w:val="auto"/>
        </w:rPr>
        <w:t>The vessel is chartered to Tokyo LNG Tanker Co. Ltd. (“Tokyo LNG”).</w:t>
      </w:r>
    </w:p>
    <w:p>
      <w:pPr>
        <w:spacing w:after="0" w:line="122" w:lineRule="exact"/>
        <w:rPr>
          <w:rFonts w:ascii="Times New Roman" w:cs="Times New Roman" w:eastAsia="Times New Roman" w:hAnsi="Times New Roman"/>
          <w:sz w:val="12"/>
          <w:szCs w:val="12"/>
          <w:color w:val="auto"/>
        </w:rPr>
      </w:pPr>
    </w:p>
    <w:p>
      <w:pPr>
        <w:ind w:left="340" w:hanging="332"/>
        <w:spacing w:after="0"/>
        <w:tabs>
          <w:tab w:leader="none" w:pos="34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4"/>
          <w:szCs w:val="14"/>
          <w:color w:val="auto"/>
        </w:rPr>
        <w:t>The vessel is chartered to Mitsui &amp; Co., Ltd. (“Mitsui”).</w:t>
      </w:r>
    </w:p>
    <w:p>
      <w:pPr>
        <w:spacing w:after="0" w:line="122" w:lineRule="exact"/>
        <w:rPr>
          <w:rFonts w:ascii="Times New Roman" w:cs="Times New Roman" w:eastAsia="Times New Roman" w:hAnsi="Times New Roman"/>
          <w:sz w:val="12"/>
          <w:szCs w:val="12"/>
          <w:color w:val="auto"/>
        </w:rPr>
      </w:pPr>
    </w:p>
    <w:p>
      <w:pPr>
        <w:ind w:left="340" w:right="20" w:hanging="332"/>
        <w:spacing w:after="0" w:line="261" w:lineRule="auto"/>
        <w:tabs>
          <w:tab w:leader="none" w:pos="34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4"/>
          <w:szCs w:val="14"/>
          <w:color w:val="auto"/>
        </w:rPr>
        <w:t>The vessel is chartered to Woodside Energy Shipping Singapore Pte. Ltd. (“Woodside”). The charterer has the right to extend the charter by an additional period of one year, provided that the charterer gives us advance notice of declaration.</w:t>
      </w:r>
    </w:p>
    <w:p>
      <w:pPr>
        <w:spacing w:after="0" w:line="68" w:lineRule="exact"/>
        <w:rPr>
          <w:rFonts w:ascii="Times New Roman" w:cs="Times New Roman" w:eastAsia="Times New Roman" w:hAnsi="Times New Roman"/>
          <w:sz w:val="12"/>
          <w:szCs w:val="12"/>
          <w:color w:val="auto"/>
        </w:rPr>
      </w:pPr>
    </w:p>
    <w:p>
      <w:pPr>
        <w:ind w:left="340" w:hanging="332"/>
        <w:spacing w:after="0"/>
        <w:tabs>
          <w:tab w:leader="none" w:pos="34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4"/>
          <w:szCs w:val="14"/>
          <w:color w:val="auto"/>
        </w:rPr>
        <w:t>The vessel is chartered to a Southeast Asian charterer (“SEA Charterer”).</w:t>
      </w:r>
    </w:p>
    <w:p>
      <w:pPr>
        <w:spacing w:after="0" w:line="122" w:lineRule="exact"/>
        <w:rPr>
          <w:rFonts w:ascii="Times New Roman" w:cs="Times New Roman" w:eastAsia="Times New Roman" w:hAnsi="Times New Roman"/>
          <w:sz w:val="12"/>
          <w:szCs w:val="12"/>
          <w:color w:val="auto"/>
        </w:rPr>
      </w:pPr>
    </w:p>
    <w:p>
      <w:pPr>
        <w:ind w:left="340" w:right="20" w:hanging="332"/>
        <w:spacing w:after="0" w:line="261" w:lineRule="auto"/>
        <w:tabs>
          <w:tab w:leader="none" w:pos="34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4"/>
          <w:szCs w:val="14"/>
          <w:color w:val="auto"/>
        </w:rPr>
        <w:t>The vessel is chartered to TotalEnergies Gas &amp; Power Limited, a wholly owned subsidiary of TotalEnergies SE (“TotalEnergies”). TotalEnergies has the right to extend the charter for a period of three years, provided that TotalEnergies provides us with advance notice of declaration.</w:t>
      </w:r>
    </w:p>
    <w:p>
      <w:pPr>
        <w:spacing w:after="0" w:line="68" w:lineRule="exact"/>
        <w:rPr>
          <w:rFonts w:ascii="Times New Roman" w:cs="Times New Roman" w:eastAsia="Times New Roman" w:hAnsi="Times New Roman"/>
          <w:sz w:val="12"/>
          <w:szCs w:val="12"/>
          <w:color w:val="auto"/>
        </w:rPr>
      </w:pPr>
    </w:p>
    <w:p>
      <w:pPr>
        <w:ind w:left="340" w:hanging="332"/>
        <w:spacing w:after="0"/>
        <w:tabs>
          <w:tab w:leader="none" w:pos="34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4"/>
          <w:szCs w:val="14"/>
          <w:color w:val="auto"/>
        </w:rPr>
        <w:t>The vessel is chartered to Clearlake Shipping Pte. Ltd., a wholly owned subsidiary of Gunvor Group Ltd. (“Gunvor”).</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Future Deliveries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As of February 15, 2024, GasLog has four newbuildings on order at Hanwha Ocean Co. Ltd. (formerly Daewoo Shipbuilding and Marine Engineering Co., Ltd.):</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24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8"/>
              </w:rPr>
              <w:t>Cargo</w:t>
            </w:r>
          </w:p>
        </w:tc>
        <w:tc>
          <w:tcPr>
            <w:tcW w:w="2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8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Estimated Charter</w:t>
            </w:r>
          </w:p>
        </w:tc>
        <w:tc>
          <w:tcPr>
            <w:tcW w:w="0" w:type="dxa"/>
            <w:vAlign w:val="bottom"/>
          </w:tcPr>
          <w:p>
            <w:pPr>
              <w:spacing w:after="0"/>
              <w:rPr>
                <w:sz w:val="1"/>
                <w:szCs w:val="1"/>
                <w:color w:val="auto"/>
              </w:rPr>
            </w:pPr>
          </w:p>
        </w:tc>
      </w:tr>
      <w:tr>
        <w:trPr>
          <w:trHeight w:val="164"/>
        </w:trPr>
        <w:tc>
          <w:tcPr>
            <w:tcW w:w="2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240" w:type="dxa"/>
            <w:vAlign w:val="bottom"/>
            <w:gridSpan w:val="2"/>
          </w:tcPr>
          <w:p>
            <w:pPr>
              <w:jc w:val="center"/>
              <w:ind w:right="140"/>
              <w:spacing w:after="0" w:line="165" w:lineRule="exact"/>
              <w:rPr>
                <w:sz w:val="20"/>
                <w:szCs w:val="20"/>
                <w:color w:val="auto"/>
              </w:rPr>
            </w:pPr>
            <w:r>
              <w:rPr>
                <w:rFonts w:ascii="Times New Roman" w:cs="Times New Roman" w:eastAsia="Times New Roman" w:hAnsi="Times New Roman"/>
                <w:sz w:val="16"/>
                <w:szCs w:val="16"/>
                <w:b w:val="1"/>
                <w:bCs w:val="1"/>
                <w:color w:val="auto"/>
              </w:rPr>
              <w:t>Capacity</w:t>
            </w:r>
          </w:p>
        </w:tc>
        <w:tc>
          <w:tcPr>
            <w:tcW w:w="2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6"/>
              </w:rPr>
              <w:t>Propulsion</w:t>
            </w:r>
            <w:r>
              <w:rPr>
                <w:rFonts w:ascii="Times New Roman" w:cs="Times New Roman" w:eastAsia="Times New Roman" w:hAnsi="Times New Roman"/>
                <w:sz w:val="26"/>
                <w:szCs w:val="26"/>
                <w:b w:val="1"/>
                <w:bCs w:val="1"/>
                <w:color w:val="auto"/>
                <w:w w:val="96"/>
                <w:vertAlign w:val="superscript"/>
              </w:rPr>
              <w:t>(1)</w:t>
            </w:r>
          </w:p>
        </w:tc>
        <w:tc>
          <w:tcPr>
            <w:tcW w:w="17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7"/>
        </w:trPr>
        <w:tc>
          <w:tcPr>
            <w:tcW w:w="21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i w:val="1"/>
                <w:iCs w:val="1"/>
                <w:color w:val="auto"/>
              </w:rPr>
              <w:t>LNG Carrier</w:t>
            </w:r>
          </w:p>
        </w:tc>
        <w:tc>
          <w:tcPr>
            <w:tcW w:w="17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Expected Delivery</w:t>
            </w:r>
          </w:p>
        </w:tc>
        <w:tc>
          <w:tcPr>
            <w:tcW w:w="124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(cbm)</w:t>
            </w:r>
          </w:p>
        </w:tc>
        <w:tc>
          <w:tcPr>
            <w:tcW w:w="30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Charterer</w:t>
            </w:r>
          </w:p>
        </w:tc>
        <w:tc>
          <w:tcPr>
            <w:tcW w:w="1340" w:type="dxa"/>
            <w:vAlign w:val="bottom"/>
            <w:gridSpan w:val="2"/>
            <w:vMerge w:val="continue"/>
          </w:tcPr>
          <w:p>
            <w:pPr>
              <w:spacing w:after="0"/>
              <w:rPr>
                <w:sz w:val="22"/>
                <w:szCs w:val="22"/>
                <w:color w:val="auto"/>
              </w:rPr>
            </w:pPr>
          </w:p>
        </w:tc>
        <w:tc>
          <w:tcPr>
            <w:tcW w:w="1780" w:type="dxa"/>
            <w:vAlign w:val="bottom"/>
            <w:gridSpan w:val="2"/>
          </w:tcPr>
          <w:p>
            <w:pPr>
              <w:jc w:val="center"/>
              <w:ind w:right="120"/>
              <w:spacing w:after="0" w:line="256" w:lineRule="exact"/>
              <w:rPr>
                <w:sz w:val="20"/>
                <w:szCs w:val="20"/>
                <w:color w:val="auto"/>
              </w:rPr>
            </w:pPr>
            <w:r>
              <w:rPr>
                <w:rFonts w:ascii="Times New Roman" w:cs="Times New Roman" w:eastAsia="Times New Roman" w:hAnsi="Times New Roman"/>
                <w:sz w:val="16"/>
                <w:szCs w:val="16"/>
                <w:b w:val="1"/>
                <w:bCs w:val="1"/>
                <w:color w:val="auto"/>
                <w:w w:val="95"/>
              </w:rPr>
              <w:t>Expiration</w:t>
            </w:r>
            <w:r>
              <w:rPr>
                <w:rFonts w:ascii="Times New Roman" w:cs="Times New Roman" w:eastAsia="Times New Roman" w:hAnsi="Times New Roman"/>
                <w:sz w:val="26"/>
                <w:szCs w:val="26"/>
                <w:b w:val="1"/>
                <w:bCs w:val="1"/>
                <w:color w:val="auto"/>
                <w:w w:val="95"/>
                <w:vertAlign w:val="superscript"/>
              </w:rPr>
              <w:t>(2)</w:t>
            </w:r>
          </w:p>
        </w:tc>
        <w:tc>
          <w:tcPr>
            <w:tcW w:w="0" w:type="dxa"/>
            <w:vAlign w:val="bottom"/>
          </w:tcPr>
          <w:p>
            <w:pPr>
              <w:spacing w:after="0"/>
              <w:rPr>
                <w:sz w:val="1"/>
                <w:szCs w:val="1"/>
                <w:color w:val="auto"/>
              </w:rPr>
            </w:pPr>
          </w:p>
        </w:tc>
      </w:tr>
      <w:tr>
        <w:trPr>
          <w:trHeight w:val="196"/>
        </w:trPr>
        <w:tc>
          <w:tcPr>
            <w:tcW w:w="2040" w:type="dxa"/>
            <w:vAlign w:val="bottom"/>
            <w:tcBorders>
              <w:top w:val="single" w:sz="8" w:color="auto"/>
            </w:tcBorders>
            <w:shd w:val="clear" w:color="auto" w:fill="E5FFFF"/>
          </w:tcPr>
          <w:p>
            <w:pPr>
              <w:spacing w:after="0"/>
              <w:rPr>
                <w:sz w:val="20"/>
                <w:szCs w:val="20"/>
                <w:color w:val="auto"/>
              </w:rPr>
            </w:pPr>
            <w:r>
              <w:rPr>
                <w:rFonts w:ascii="Times New Roman" w:cs="Times New Roman" w:eastAsia="Times New Roman" w:hAnsi="Times New Roman"/>
                <w:sz w:val="16"/>
                <w:szCs w:val="16"/>
                <w:color w:val="auto"/>
              </w:rPr>
              <w:t>Hull No. 2532</w:t>
            </w:r>
          </w:p>
        </w:tc>
        <w:tc>
          <w:tcPr>
            <w:tcW w:w="120" w:type="dxa"/>
            <w:vAlign w:val="bottom"/>
            <w:tcBorders>
              <w:top w:val="single" w:sz="8" w:color="E5FFFF"/>
            </w:tcBorders>
            <w:shd w:val="clear" w:color="auto" w:fill="E5FFFF"/>
          </w:tcPr>
          <w:p>
            <w:pPr>
              <w:spacing w:after="0"/>
              <w:rPr>
                <w:sz w:val="17"/>
                <w:szCs w:val="17"/>
                <w:color w:val="auto"/>
              </w:rPr>
            </w:pPr>
          </w:p>
        </w:tc>
        <w:tc>
          <w:tcPr>
            <w:tcW w:w="1700" w:type="dxa"/>
            <w:vAlign w:val="bottom"/>
            <w:tcBorders>
              <w:top w:val="single" w:sz="8" w:color="auto"/>
            </w:tcBorders>
            <w:shd w:val="clear" w:color="auto" w:fill="E5FFFF"/>
          </w:tcPr>
          <w:p>
            <w:pPr>
              <w:jc w:val="center"/>
              <w:spacing w:after="0"/>
              <w:rPr>
                <w:sz w:val="20"/>
                <w:szCs w:val="20"/>
                <w:color w:val="auto"/>
              </w:rPr>
            </w:pPr>
            <w:r>
              <w:rPr>
                <w:rFonts w:ascii="Times New Roman" w:cs="Times New Roman" w:eastAsia="Times New Roman" w:hAnsi="Times New Roman"/>
                <w:sz w:val="16"/>
                <w:szCs w:val="16"/>
                <w:color w:val="auto"/>
              </w:rPr>
              <w:t>Q3 2024</w:t>
            </w:r>
          </w:p>
        </w:tc>
        <w:tc>
          <w:tcPr>
            <w:tcW w:w="1120" w:type="dxa"/>
            <w:vAlign w:val="bottom"/>
            <w:tcBorders>
              <w:top w:val="single" w:sz="8" w:color="auto"/>
            </w:tcBorders>
            <w:shd w:val="clear" w:color="auto" w:fill="E5FFFF"/>
          </w:tcPr>
          <w:p>
            <w:pPr>
              <w:jc w:val="center"/>
              <w:spacing w:after="0"/>
              <w:rPr>
                <w:sz w:val="20"/>
                <w:szCs w:val="20"/>
                <w:color w:val="auto"/>
              </w:rPr>
            </w:pPr>
            <w:r>
              <w:rPr>
                <w:rFonts w:ascii="Times New Roman" w:cs="Times New Roman" w:eastAsia="Times New Roman" w:hAnsi="Times New Roman"/>
                <w:sz w:val="16"/>
                <w:szCs w:val="16"/>
                <w:color w:val="auto"/>
              </w:rPr>
              <w:t>174,000</w:t>
            </w:r>
          </w:p>
        </w:tc>
        <w:tc>
          <w:tcPr>
            <w:tcW w:w="120" w:type="dxa"/>
            <w:vAlign w:val="bottom"/>
            <w:tcBorders>
              <w:top w:val="single" w:sz="8" w:color="E5FFFF"/>
            </w:tcBorders>
            <w:shd w:val="clear" w:color="auto" w:fill="E5FFFF"/>
          </w:tcPr>
          <w:p>
            <w:pPr>
              <w:spacing w:after="0"/>
              <w:rPr>
                <w:sz w:val="17"/>
                <w:szCs w:val="17"/>
                <w:color w:val="auto"/>
              </w:rPr>
            </w:pPr>
          </w:p>
        </w:tc>
        <w:tc>
          <w:tcPr>
            <w:tcW w:w="2920" w:type="dxa"/>
            <w:vAlign w:val="bottom"/>
            <w:tcBorders>
              <w:top w:val="single" w:sz="8" w:color="auto"/>
            </w:tcBorders>
            <w:shd w:val="clear" w:color="auto" w:fill="E5FFFF"/>
          </w:tcPr>
          <w:p>
            <w:pPr>
              <w:jc w:val="center"/>
              <w:spacing w:after="0"/>
              <w:rPr>
                <w:sz w:val="20"/>
                <w:szCs w:val="20"/>
                <w:color w:val="auto"/>
              </w:rPr>
            </w:pPr>
            <w:r>
              <w:rPr>
                <w:rFonts w:ascii="Times New Roman" w:cs="Times New Roman" w:eastAsia="Times New Roman" w:hAnsi="Times New Roman"/>
                <w:sz w:val="16"/>
                <w:szCs w:val="16"/>
                <w:color w:val="auto"/>
              </w:rPr>
              <w:t>Multinational Oil and Gas Company</w:t>
            </w:r>
          </w:p>
        </w:tc>
        <w:tc>
          <w:tcPr>
            <w:tcW w:w="100" w:type="dxa"/>
            <w:vAlign w:val="bottom"/>
            <w:tcBorders>
              <w:top w:val="single" w:sz="8" w:color="E5FFFF"/>
            </w:tcBorders>
            <w:shd w:val="clear" w:color="auto" w:fill="E5FFFF"/>
          </w:tcPr>
          <w:p>
            <w:pPr>
              <w:spacing w:after="0"/>
              <w:rPr>
                <w:sz w:val="17"/>
                <w:szCs w:val="17"/>
                <w:color w:val="auto"/>
              </w:rPr>
            </w:pPr>
          </w:p>
        </w:tc>
        <w:tc>
          <w:tcPr>
            <w:tcW w:w="1220" w:type="dxa"/>
            <w:vAlign w:val="bottom"/>
            <w:tcBorders>
              <w:top w:val="single" w:sz="8" w:color="auto"/>
            </w:tcBorders>
            <w:shd w:val="clear" w:color="auto" w:fill="E5FFFF"/>
          </w:tcPr>
          <w:p>
            <w:pPr>
              <w:jc w:val="center"/>
              <w:spacing w:after="0"/>
              <w:rPr>
                <w:sz w:val="20"/>
                <w:szCs w:val="20"/>
                <w:color w:val="auto"/>
              </w:rPr>
            </w:pPr>
            <w:r>
              <w:rPr>
                <w:rFonts w:ascii="Times New Roman" w:cs="Times New Roman" w:eastAsia="Times New Roman" w:hAnsi="Times New Roman"/>
                <w:sz w:val="16"/>
                <w:szCs w:val="16"/>
                <w:color w:val="auto"/>
              </w:rPr>
              <w:t>MEGI</w:t>
            </w:r>
          </w:p>
        </w:tc>
        <w:tc>
          <w:tcPr>
            <w:tcW w:w="120" w:type="dxa"/>
            <w:vAlign w:val="bottom"/>
            <w:tcBorders>
              <w:top w:val="single" w:sz="8" w:color="E5FFFF"/>
            </w:tcBorders>
            <w:shd w:val="clear" w:color="auto" w:fill="E5FFFF"/>
          </w:tcPr>
          <w:p>
            <w:pPr>
              <w:spacing w:after="0"/>
              <w:rPr>
                <w:sz w:val="17"/>
                <w:szCs w:val="17"/>
                <w:color w:val="auto"/>
              </w:rPr>
            </w:pPr>
          </w:p>
        </w:tc>
        <w:tc>
          <w:tcPr>
            <w:tcW w:w="1680" w:type="dxa"/>
            <w:vAlign w:val="bottom"/>
            <w:tcBorders>
              <w:top w:val="single" w:sz="8" w:color="auto"/>
            </w:tcBorders>
            <w:shd w:val="clear" w:color="auto" w:fill="E5FFFF"/>
          </w:tcPr>
          <w:p>
            <w:pPr>
              <w:jc w:val="center"/>
              <w:spacing w:after="0"/>
              <w:rPr>
                <w:sz w:val="20"/>
                <w:szCs w:val="20"/>
                <w:color w:val="auto"/>
              </w:rPr>
            </w:pPr>
            <w:r>
              <w:rPr>
                <w:rFonts w:ascii="Times New Roman" w:cs="Times New Roman" w:eastAsia="Times New Roman" w:hAnsi="Times New Roman"/>
                <w:sz w:val="16"/>
                <w:szCs w:val="16"/>
                <w:color w:val="auto"/>
                <w:w w:val="99"/>
              </w:rPr>
              <w:t>2031</w:t>
            </w:r>
          </w:p>
        </w:tc>
        <w:tc>
          <w:tcPr>
            <w:tcW w:w="100" w:type="dxa"/>
            <w:vAlign w:val="bottom"/>
            <w:tcBorders>
              <w:top w:val="single" w:sz="8" w:color="E5FFFF"/>
            </w:tcBorders>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1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Hull No. 2533</w:t>
            </w:r>
          </w:p>
        </w:tc>
        <w:tc>
          <w:tcPr>
            <w:tcW w:w="17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Q3 2024</w:t>
            </w:r>
          </w:p>
        </w:tc>
        <w:tc>
          <w:tcPr>
            <w:tcW w:w="11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174,000</w:t>
            </w:r>
          </w:p>
        </w:tc>
        <w:tc>
          <w:tcPr>
            <w:tcW w:w="120" w:type="dxa"/>
            <w:vAlign w:val="bottom"/>
          </w:tcPr>
          <w:p>
            <w:pPr>
              <w:spacing w:after="0"/>
              <w:rPr>
                <w:sz w:val="17"/>
                <w:szCs w:val="17"/>
                <w:color w:val="auto"/>
              </w:rPr>
            </w:pPr>
          </w:p>
        </w:tc>
        <w:tc>
          <w:tcPr>
            <w:tcW w:w="30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rPr>
              <w:t>Mitsui</w:t>
            </w:r>
          </w:p>
        </w:tc>
        <w:tc>
          <w:tcPr>
            <w:tcW w:w="13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rPr>
              <w:t>MEGI</w:t>
            </w:r>
          </w:p>
        </w:tc>
        <w:tc>
          <w:tcPr>
            <w:tcW w:w="16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2033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160" w:type="dxa"/>
            <w:vAlign w:val="bottom"/>
            <w:gridSpan w:val="2"/>
            <w:shd w:val="clear" w:color="auto" w:fill="E5FFFF"/>
          </w:tcPr>
          <w:p>
            <w:pPr>
              <w:spacing w:after="0"/>
              <w:rPr>
                <w:sz w:val="20"/>
                <w:szCs w:val="20"/>
                <w:color w:val="auto"/>
              </w:rPr>
            </w:pPr>
            <w:r>
              <w:rPr>
                <w:rFonts w:ascii="Times New Roman" w:cs="Times New Roman" w:eastAsia="Times New Roman" w:hAnsi="Times New Roman"/>
                <w:sz w:val="16"/>
                <w:szCs w:val="16"/>
                <w:color w:val="auto"/>
              </w:rPr>
              <w:t>Hull No. 2534</w:t>
            </w:r>
          </w:p>
        </w:tc>
        <w:tc>
          <w:tcPr>
            <w:tcW w:w="1700" w:type="dxa"/>
            <w:vAlign w:val="bottom"/>
            <w:shd w:val="clear" w:color="auto" w:fill="E5FFFF"/>
          </w:tcPr>
          <w:p>
            <w:pPr>
              <w:jc w:val="center"/>
              <w:spacing w:after="0"/>
              <w:rPr>
                <w:sz w:val="20"/>
                <w:szCs w:val="20"/>
                <w:color w:val="auto"/>
              </w:rPr>
            </w:pPr>
            <w:r>
              <w:rPr>
                <w:rFonts w:ascii="Times New Roman" w:cs="Times New Roman" w:eastAsia="Times New Roman" w:hAnsi="Times New Roman"/>
                <w:sz w:val="16"/>
                <w:szCs w:val="16"/>
                <w:color w:val="auto"/>
              </w:rPr>
              <w:t>Q3 2025</w:t>
            </w:r>
          </w:p>
        </w:tc>
        <w:tc>
          <w:tcPr>
            <w:tcW w:w="1120" w:type="dxa"/>
            <w:vAlign w:val="bottom"/>
            <w:shd w:val="clear" w:color="auto" w:fill="E5FFFF"/>
          </w:tcPr>
          <w:p>
            <w:pPr>
              <w:jc w:val="center"/>
              <w:spacing w:after="0"/>
              <w:rPr>
                <w:sz w:val="20"/>
                <w:szCs w:val="20"/>
                <w:color w:val="auto"/>
              </w:rPr>
            </w:pPr>
            <w:r>
              <w:rPr>
                <w:rFonts w:ascii="Times New Roman" w:cs="Times New Roman" w:eastAsia="Times New Roman" w:hAnsi="Times New Roman"/>
                <w:sz w:val="16"/>
                <w:szCs w:val="16"/>
                <w:color w:val="auto"/>
              </w:rPr>
              <w:t>174,000</w:t>
            </w:r>
          </w:p>
        </w:tc>
        <w:tc>
          <w:tcPr>
            <w:tcW w:w="120" w:type="dxa"/>
            <w:vAlign w:val="bottom"/>
            <w:shd w:val="clear" w:color="auto" w:fill="E5FFFF"/>
          </w:tcPr>
          <w:p>
            <w:pPr>
              <w:spacing w:after="0"/>
              <w:rPr>
                <w:sz w:val="17"/>
                <w:szCs w:val="17"/>
                <w:color w:val="auto"/>
              </w:rPr>
            </w:pPr>
          </w:p>
        </w:tc>
        <w:tc>
          <w:tcPr>
            <w:tcW w:w="3020" w:type="dxa"/>
            <w:vAlign w:val="bottom"/>
            <w:gridSpan w:val="2"/>
            <w:shd w:val="clear" w:color="auto" w:fill="E5FFFF"/>
          </w:tcPr>
          <w:p>
            <w:pPr>
              <w:jc w:val="center"/>
              <w:ind w:right="100"/>
              <w:spacing w:after="0"/>
              <w:rPr>
                <w:sz w:val="20"/>
                <w:szCs w:val="20"/>
                <w:color w:val="auto"/>
              </w:rPr>
            </w:pPr>
            <w:r>
              <w:rPr>
                <w:rFonts w:ascii="Times New Roman" w:cs="Times New Roman" w:eastAsia="Times New Roman" w:hAnsi="Times New Roman"/>
                <w:sz w:val="16"/>
                <w:szCs w:val="16"/>
                <w:color w:val="auto"/>
                <w:w w:val="98"/>
              </w:rPr>
              <w:t>Woodside</w:t>
            </w:r>
          </w:p>
        </w:tc>
        <w:tc>
          <w:tcPr>
            <w:tcW w:w="1340" w:type="dxa"/>
            <w:vAlign w:val="bottom"/>
            <w:gridSpan w:val="2"/>
            <w:shd w:val="clear" w:color="auto" w:fill="E5FFFF"/>
          </w:tcPr>
          <w:p>
            <w:pPr>
              <w:jc w:val="center"/>
              <w:ind w:right="120"/>
              <w:spacing w:after="0"/>
              <w:rPr>
                <w:sz w:val="20"/>
                <w:szCs w:val="20"/>
                <w:color w:val="auto"/>
              </w:rPr>
            </w:pPr>
            <w:r>
              <w:rPr>
                <w:rFonts w:ascii="Times New Roman" w:cs="Times New Roman" w:eastAsia="Times New Roman" w:hAnsi="Times New Roman"/>
                <w:sz w:val="16"/>
                <w:szCs w:val="16"/>
                <w:color w:val="auto"/>
              </w:rPr>
              <w:t>MEGI</w:t>
            </w:r>
          </w:p>
        </w:tc>
        <w:tc>
          <w:tcPr>
            <w:tcW w:w="1680" w:type="dxa"/>
            <w:vAlign w:val="bottom"/>
            <w:shd w:val="clear" w:color="auto" w:fill="E5FFFF"/>
          </w:tcPr>
          <w:p>
            <w:pPr>
              <w:jc w:val="center"/>
              <w:spacing w:after="0"/>
              <w:rPr>
                <w:sz w:val="20"/>
                <w:szCs w:val="20"/>
                <w:color w:val="auto"/>
              </w:rPr>
            </w:pPr>
            <w:r>
              <w:rPr>
                <w:rFonts w:ascii="Times New Roman" w:cs="Times New Roman" w:eastAsia="Times New Roman" w:hAnsi="Times New Roman"/>
                <w:sz w:val="16"/>
                <w:szCs w:val="16"/>
                <w:color w:val="auto"/>
                <w:w w:val="99"/>
              </w:rPr>
              <w:t>2035</w:t>
            </w:r>
          </w:p>
        </w:tc>
        <w:tc>
          <w:tcPr>
            <w:tcW w:w="100" w:type="dxa"/>
            <w:vAlign w:val="bottom"/>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1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Hull No. 2535</w:t>
            </w:r>
          </w:p>
        </w:tc>
        <w:tc>
          <w:tcPr>
            <w:tcW w:w="17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Q4 2025</w:t>
            </w:r>
          </w:p>
        </w:tc>
        <w:tc>
          <w:tcPr>
            <w:tcW w:w="11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174,000</w:t>
            </w:r>
          </w:p>
        </w:tc>
        <w:tc>
          <w:tcPr>
            <w:tcW w:w="120" w:type="dxa"/>
            <w:vAlign w:val="bottom"/>
          </w:tcPr>
          <w:p>
            <w:pPr>
              <w:spacing w:after="0"/>
              <w:rPr>
                <w:sz w:val="18"/>
                <w:szCs w:val="18"/>
                <w:color w:val="auto"/>
              </w:rPr>
            </w:pPr>
          </w:p>
        </w:tc>
        <w:tc>
          <w:tcPr>
            <w:tcW w:w="30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8"/>
              </w:rPr>
              <w:t>Woodside</w:t>
            </w:r>
          </w:p>
        </w:tc>
        <w:tc>
          <w:tcPr>
            <w:tcW w:w="13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rPr>
              <w:t>MEGI</w:t>
            </w:r>
          </w:p>
        </w:tc>
        <w:tc>
          <w:tcPr>
            <w:tcW w:w="16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2035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158115</wp:posOffset>
            </wp:positionV>
            <wp:extent cx="107124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071245" cy="8890"/>
                    </a:xfrm>
                    <a:prstGeom prst="rect">
                      <a:avLst/>
                    </a:prstGeom>
                    <a:noFill/>
                  </pic:spPr>
                </pic:pic>
              </a:graphicData>
            </a:graphic>
          </wp:anchor>
        </w:drawing>
      </w:r>
    </w:p>
    <w:p>
      <w:pPr>
        <w:spacing w:after="0" w:line="287" w:lineRule="exact"/>
        <w:rPr>
          <w:sz w:val="20"/>
          <w:szCs w:val="20"/>
          <w:color w:val="auto"/>
        </w:rPr>
      </w:pPr>
    </w:p>
    <w:p>
      <w:pPr>
        <w:ind w:left="340" w:hanging="332"/>
        <w:spacing w:after="0"/>
        <w:tabs>
          <w:tab w:leader="none" w:pos="340"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4"/>
          <w:szCs w:val="14"/>
          <w:color w:val="auto"/>
        </w:rPr>
        <w:t>M-type, Electronically controlled Gas Injection (“MEGI”) engine.</w:t>
      </w:r>
    </w:p>
    <w:p>
      <w:pPr>
        <w:spacing w:after="0" w:line="17" w:lineRule="exact"/>
        <w:rPr>
          <w:rFonts w:ascii="Times New Roman" w:cs="Times New Roman" w:eastAsia="Times New Roman" w:hAnsi="Times New Roman"/>
          <w:sz w:val="12"/>
          <w:szCs w:val="12"/>
          <w:color w:val="auto"/>
        </w:rPr>
      </w:pPr>
    </w:p>
    <w:p>
      <w:pPr>
        <w:ind w:left="340" w:hanging="332"/>
        <w:spacing w:after="0"/>
        <w:tabs>
          <w:tab w:leader="none" w:pos="340"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4"/>
          <w:szCs w:val="14"/>
          <w:color w:val="auto"/>
        </w:rPr>
        <w:t>Charter expiration to be determined based upon actual date of delivery.</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Forward-Looking Statements</w:t>
      </w:r>
    </w:p>
    <w:p>
      <w:pPr>
        <w:spacing w:after="0" w:line="223" w:lineRule="exact"/>
        <w:rPr>
          <w:sz w:val="20"/>
          <w:szCs w:val="20"/>
          <w:color w:val="auto"/>
        </w:rPr>
      </w:pPr>
    </w:p>
    <w:p>
      <w:pPr>
        <w:ind w:right="20" w:firstLine="324"/>
        <w:spacing w:after="0" w:line="271" w:lineRule="auto"/>
        <w:rPr>
          <w:sz w:val="20"/>
          <w:szCs w:val="20"/>
          <w:color w:val="auto"/>
        </w:rPr>
      </w:pPr>
      <w:r>
        <w:rPr>
          <w:rFonts w:ascii="Times New Roman" w:cs="Times New Roman" w:eastAsia="Times New Roman" w:hAnsi="Times New Roman"/>
          <w:sz w:val="16"/>
          <w:szCs w:val="16"/>
          <w:color w:val="auto"/>
        </w:rPr>
        <w:t>All statements in this press release that are not statements of historical fact are “forward-looking statements” within the meaning of the U.S. Private Securities Litigation Reform Act of 1995. Forward-looking statements include statements that address activities, events or developments that GasLog and the Partnership expect, project, believe or anticipate will or may occur in the future, particularly in relation to our operations, cash flows, financial position, liquidity and cash available for dividends or distributions, plans, strategies, business prospects and changes and trends in our business and the markets in which we operate. We caution that these forward-looking statements represent our estimates and assumptions only as of the date of this press release, about factors that are beyond our ability to control or predict, and are not intended to give any assurance as to future results.</w:t>
      </w:r>
    </w:p>
    <w:p>
      <w:pPr>
        <w:spacing w:after="0" w:line="39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98" w:right="339" w:bottom="1440" w:gutter="0" w:footer="0" w:header="0"/>
        </w:sectPr>
      </w:pPr>
    </w:p>
    <w:bookmarkStart w:id="7" w:name="page8"/>
    <w:bookmarkEnd w:id="7"/>
    <w:p>
      <w:pPr>
        <w:jc w:val="both"/>
        <w:spacing w:after="0" w:line="261" w:lineRule="auto"/>
        <w:rPr>
          <w:sz w:val="20"/>
          <w:szCs w:val="20"/>
          <w:color w:val="auto"/>
        </w:rPr>
      </w:pPr>
      <w:r>
        <w:rPr>
          <w:rFonts w:ascii="Times New Roman" w:cs="Times New Roman" w:eastAsia="Times New Roman" w:hAnsi="Times New Roman"/>
          <w:sz w:val="18"/>
          <w:szCs w:val="18"/>
          <w:color w:val="auto"/>
        </w:rPr>
        <w:t>Any of these factors or a combination of these factors could materially affect future results of operations and the ultimate accuracy of the forward-looking statements. Other factors that might cause future results and outcomes to differ include, but are not limited to, the other risks and uncertainties described in GasLog’s Annual Report on Form 20-F filed with the SEC on March 3, 2023, available at http://www.sec.gov. Accordingly, you should not unduly rely on any forward-looking statements.</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undertake no obligation to update or revise any forward-looking statements contained in this press release, whether as a result of new information, future events, a change in our views or expectations or otherwise, except as required by applicable law. New factors emerge from time to time, and it is not possible for us to predict all of these factors. Further, we cannot assess the impact of each such factor on our business or the extent to which any factor, or combination of factors, may cause actual results to be materially different from those contained in any forward-looking statement.</w:t>
      </w:r>
    </w:p>
    <w:p>
      <w:pPr>
        <w:spacing w:after="0" w:line="39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60"/>
          </w:cols>
          <w:pgMar w:left="320" w:top="904" w:right="41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6"/>
          <w:szCs w:val="16"/>
          <w:b w:val="1"/>
          <w:bCs w:val="1"/>
          <w:color w:val="auto"/>
        </w:rPr>
        <w:t>EXHIBIT I - Unaudited Interim Financial Information of GasLog Ltd. and its Subsidiaries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4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GasLog Ltd. and its Subsidiaries</w:t>
            </w:r>
          </w:p>
        </w:tc>
        <w:tc>
          <w:tcPr>
            <w:tcW w:w="204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5"/>
        </w:trPr>
        <w:tc>
          <w:tcPr>
            <w:tcW w:w="340" w:type="dxa"/>
            <w:vAlign w:val="bottom"/>
          </w:tcPr>
          <w:p>
            <w:pPr>
              <w:spacing w:after="0"/>
              <w:rPr>
                <w:sz w:val="24"/>
                <w:szCs w:val="24"/>
                <w:color w:val="auto"/>
              </w:rPr>
            </w:pPr>
          </w:p>
        </w:tc>
        <w:tc>
          <w:tcPr>
            <w:tcW w:w="49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Unaudited condensed consolidated statements of financial position</w:t>
            </w:r>
          </w:p>
        </w:tc>
        <w:tc>
          <w:tcPr>
            <w:tcW w:w="204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49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As of December 31, 2022 and December 31, 2023</w:t>
            </w:r>
          </w:p>
        </w:tc>
        <w:tc>
          <w:tcPr>
            <w:tcW w:w="204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34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(Amounts expressed in thousands of U.S. Dollars)</w:t>
            </w:r>
          </w:p>
        </w:tc>
        <w:tc>
          <w:tcPr>
            <w:tcW w:w="204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08"/>
        </w:trPr>
        <w:tc>
          <w:tcPr>
            <w:tcW w:w="340" w:type="dxa"/>
            <w:vAlign w:val="bottom"/>
          </w:tcPr>
          <w:p>
            <w:pPr>
              <w:spacing w:after="0"/>
              <w:rPr>
                <w:sz w:val="24"/>
                <w:szCs w:val="24"/>
                <w:color w:val="auto"/>
              </w:rPr>
            </w:pPr>
          </w:p>
        </w:tc>
        <w:tc>
          <w:tcPr>
            <w:tcW w:w="490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2020" w:type="dxa"/>
            <w:vAlign w:val="bottom"/>
            <w:gridSpan w:val="2"/>
          </w:tcPr>
          <w:p>
            <w:pPr>
              <w:ind w:left="240"/>
              <w:spacing w:after="0"/>
              <w:rPr>
                <w:sz w:val="20"/>
                <w:szCs w:val="20"/>
                <w:color w:val="auto"/>
              </w:rPr>
            </w:pPr>
            <w:r>
              <w:rPr>
                <w:rFonts w:ascii="Times New Roman" w:cs="Times New Roman" w:eastAsia="Times New Roman" w:hAnsi="Times New Roman"/>
                <w:sz w:val="16"/>
                <w:szCs w:val="16"/>
                <w:b w:val="1"/>
                <w:bCs w:val="1"/>
                <w:color w:val="auto"/>
              </w:rPr>
              <w:t>December 31, 2022</w:t>
            </w:r>
          </w:p>
        </w:tc>
        <w:tc>
          <w:tcPr>
            <w:tcW w:w="194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0" w:type="dxa"/>
            <w:vAlign w:val="bottom"/>
          </w:tcPr>
          <w:p>
            <w:pPr>
              <w:spacing w:after="0"/>
              <w:rPr>
                <w:sz w:val="1"/>
                <w:szCs w:val="1"/>
                <w:color w:val="auto"/>
              </w:rPr>
            </w:pPr>
          </w:p>
        </w:tc>
      </w:tr>
      <w:tr>
        <w:trPr>
          <w:trHeight w:val="199"/>
        </w:trPr>
        <w:tc>
          <w:tcPr>
            <w:tcW w:w="340" w:type="dxa"/>
            <w:vAlign w:val="bottom"/>
          </w:tcPr>
          <w:p>
            <w:pPr>
              <w:spacing w:after="0"/>
              <w:rPr>
                <w:sz w:val="17"/>
                <w:szCs w:val="17"/>
                <w:color w:val="auto"/>
              </w:rPr>
            </w:pPr>
          </w:p>
        </w:tc>
        <w:tc>
          <w:tcPr>
            <w:tcW w:w="4900" w:type="dxa"/>
            <w:vAlign w:val="bottom"/>
            <w:tcBorders>
              <w:top w:val="single" w:sz="8" w:color="E5FFFF"/>
            </w:tcBorders>
            <w:shd w:val="clear" w:color="auto" w:fill="E5FFFF"/>
          </w:tcPr>
          <w:p>
            <w:pPr>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040" w:type="dxa"/>
            <w:vAlign w:val="bottom"/>
            <w:tcBorders>
              <w:top w:val="single" w:sz="8" w:color="E5FFFF"/>
            </w:tcBorders>
            <w:shd w:val="clear" w:color="auto" w:fill="E5FFFF"/>
          </w:tcPr>
          <w:p>
            <w:pPr>
              <w:spacing w:after="0"/>
              <w:rPr>
                <w:sz w:val="17"/>
                <w:szCs w:val="17"/>
                <w:color w:val="auto"/>
              </w:rPr>
            </w:pPr>
          </w:p>
        </w:tc>
        <w:tc>
          <w:tcPr>
            <w:tcW w:w="1820" w:type="dxa"/>
            <w:vAlign w:val="bottom"/>
            <w:tcBorders>
              <w:top w:val="single" w:sz="8" w:color="auto"/>
            </w:tcBorders>
            <w:shd w:val="clear" w:color="auto" w:fill="E5FFFF"/>
          </w:tcPr>
          <w:p>
            <w:pPr>
              <w:spacing w:after="0"/>
              <w:rPr>
                <w:sz w:val="17"/>
                <w:szCs w:val="17"/>
                <w:color w:val="auto"/>
              </w:rPr>
            </w:pPr>
          </w:p>
        </w:tc>
        <w:tc>
          <w:tcPr>
            <w:tcW w:w="200" w:type="dxa"/>
            <w:vAlign w:val="bottom"/>
            <w:tcBorders>
              <w:top w:val="single" w:sz="8" w:color="E5FFFF"/>
            </w:tcBorders>
            <w:shd w:val="clear" w:color="auto" w:fill="E5FFFF"/>
          </w:tcPr>
          <w:p>
            <w:pPr>
              <w:spacing w:after="0"/>
              <w:rPr>
                <w:sz w:val="17"/>
                <w:szCs w:val="17"/>
                <w:color w:val="auto"/>
              </w:rPr>
            </w:pPr>
          </w:p>
        </w:tc>
        <w:tc>
          <w:tcPr>
            <w:tcW w:w="1700" w:type="dxa"/>
            <w:vAlign w:val="bottom"/>
            <w:tcBorders>
              <w:top w:val="single" w:sz="8" w:color="auto"/>
            </w:tcBorders>
            <w:shd w:val="clear" w:color="auto" w:fill="E5FFFF"/>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49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Non-current assets</w:t>
            </w:r>
          </w:p>
        </w:tc>
        <w:tc>
          <w:tcPr>
            <w:tcW w:w="204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4900" w:type="dxa"/>
            <w:vAlign w:val="bottom"/>
            <w:shd w:val="clear" w:color="auto" w:fill="E5FFFF"/>
          </w:tcPr>
          <w:p>
            <w:pPr>
              <w:spacing w:after="0"/>
              <w:rPr>
                <w:sz w:val="20"/>
                <w:szCs w:val="20"/>
                <w:color w:val="auto"/>
              </w:rPr>
            </w:pPr>
            <w:r>
              <w:rPr>
                <w:rFonts w:ascii="Times New Roman" w:cs="Times New Roman" w:eastAsia="Times New Roman" w:hAnsi="Times New Roman"/>
                <w:sz w:val="16"/>
                <w:szCs w:val="16"/>
                <w:color w:val="auto"/>
              </w:rPr>
              <w:t>Goodwill</w:t>
            </w:r>
          </w:p>
        </w:tc>
        <w:tc>
          <w:tcPr>
            <w:tcW w:w="4060" w:type="dxa"/>
            <w:vAlign w:val="bottom"/>
            <w:gridSpan w:val="3"/>
            <w:shd w:val="clear" w:color="auto" w:fill="E5FFFF"/>
          </w:tcPr>
          <w:p>
            <w:pPr>
              <w:jc w:val="right"/>
              <w:ind w:right="200"/>
              <w:spacing w:after="0"/>
              <w:rPr>
                <w:sz w:val="20"/>
                <w:szCs w:val="20"/>
                <w:color w:val="auto"/>
              </w:rPr>
            </w:pPr>
            <w:r>
              <w:rPr>
                <w:rFonts w:ascii="Times New Roman" w:cs="Times New Roman" w:eastAsia="Times New Roman" w:hAnsi="Times New Roman"/>
                <w:sz w:val="16"/>
                <w:szCs w:val="16"/>
                <w:color w:val="auto"/>
              </w:rPr>
              <w:t>9,511</w:t>
            </w:r>
          </w:p>
        </w:tc>
        <w:tc>
          <w:tcPr>
            <w:tcW w:w="170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9,511</w:t>
            </w: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4900" w:type="dxa"/>
            <w:vAlign w:val="bottom"/>
          </w:tcPr>
          <w:p>
            <w:pPr>
              <w:spacing w:after="0"/>
              <w:rPr>
                <w:sz w:val="20"/>
                <w:szCs w:val="20"/>
                <w:color w:val="auto"/>
              </w:rPr>
            </w:pPr>
            <w:r>
              <w:rPr>
                <w:rFonts w:ascii="Times New Roman" w:cs="Times New Roman" w:eastAsia="Times New Roman" w:hAnsi="Times New Roman"/>
                <w:sz w:val="16"/>
                <w:szCs w:val="16"/>
                <w:color w:val="auto"/>
              </w:rPr>
              <w:t>Investment in associates</w:t>
            </w:r>
          </w:p>
        </w:tc>
        <w:tc>
          <w:tcPr>
            <w:tcW w:w="38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28,823</w:t>
            </w:r>
          </w:p>
        </w:tc>
        <w:tc>
          <w:tcPr>
            <w:tcW w:w="200" w:type="dxa"/>
            <w:vAlign w:val="bottom"/>
          </w:tcPr>
          <w:p>
            <w:pPr>
              <w:spacing w:after="0"/>
              <w:rPr>
                <w:sz w:val="17"/>
                <w:szCs w:val="17"/>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43,081</w:t>
            </w: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4900" w:type="dxa"/>
            <w:vAlign w:val="bottom"/>
            <w:shd w:val="clear" w:color="auto" w:fill="E5FFFF"/>
          </w:tcPr>
          <w:p>
            <w:pPr>
              <w:spacing w:after="0"/>
              <w:rPr>
                <w:sz w:val="20"/>
                <w:szCs w:val="20"/>
                <w:color w:val="auto"/>
              </w:rPr>
            </w:pPr>
            <w:r>
              <w:rPr>
                <w:rFonts w:ascii="Times New Roman" w:cs="Times New Roman" w:eastAsia="Times New Roman" w:hAnsi="Times New Roman"/>
                <w:sz w:val="16"/>
                <w:szCs w:val="16"/>
                <w:color w:val="auto"/>
              </w:rPr>
              <w:t>Deferred financing costs</w:t>
            </w:r>
          </w:p>
        </w:tc>
        <w:tc>
          <w:tcPr>
            <w:tcW w:w="3860" w:type="dxa"/>
            <w:vAlign w:val="bottom"/>
            <w:gridSpan w:val="2"/>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8,778</w:t>
            </w:r>
          </w:p>
        </w:tc>
        <w:tc>
          <w:tcPr>
            <w:tcW w:w="200" w:type="dxa"/>
            <w:vAlign w:val="bottom"/>
            <w:shd w:val="clear" w:color="auto" w:fill="E5FFFF"/>
          </w:tcPr>
          <w:p>
            <w:pPr>
              <w:spacing w:after="0"/>
              <w:rPr>
                <w:sz w:val="17"/>
                <w:szCs w:val="17"/>
                <w:color w:val="auto"/>
              </w:rPr>
            </w:pPr>
          </w:p>
        </w:tc>
        <w:tc>
          <w:tcPr>
            <w:tcW w:w="170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8,095</w:t>
            </w: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4900" w:type="dxa"/>
            <w:vAlign w:val="bottom"/>
          </w:tcPr>
          <w:p>
            <w:pPr>
              <w:spacing w:after="0"/>
              <w:rPr>
                <w:sz w:val="20"/>
                <w:szCs w:val="20"/>
                <w:color w:val="auto"/>
              </w:rPr>
            </w:pPr>
            <w:r>
              <w:rPr>
                <w:rFonts w:ascii="Times New Roman" w:cs="Times New Roman" w:eastAsia="Times New Roman" w:hAnsi="Times New Roman"/>
                <w:sz w:val="16"/>
                <w:szCs w:val="16"/>
                <w:color w:val="auto"/>
              </w:rPr>
              <w:t>Other non-current assets</w:t>
            </w:r>
          </w:p>
        </w:tc>
        <w:tc>
          <w:tcPr>
            <w:tcW w:w="38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2,092</w:t>
            </w:r>
          </w:p>
        </w:tc>
        <w:tc>
          <w:tcPr>
            <w:tcW w:w="200" w:type="dxa"/>
            <w:vAlign w:val="bottom"/>
          </w:tcPr>
          <w:p>
            <w:pPr>
              <w:spacing w:after="0"/>
              <w:rPr>
                <w:sz w:val="17"/>
                <w:szCs w:val="17"/>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4,010</w:t>
            </w: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4900" w:type="dxa"/>
            <w:vAlign w:val="bottom"/>
            <w:shd w:val="clear" w:color="auto" w:fill="E5FFFF"/>
          </w:tcPr>
          <w:p>
            <w:pPr>
              <w:spacing w:after="0"/>
              <w:rPr>
                <w:sz w:val="20"/>
                <w:szCs w:val="20"/>
                <w:color w:val="auto"/>
              </w:rPr>
            </w:pPr>
            <w:r>
              <w:rPr>
                <w:rFonts w:ascii="Times New Roman" w:cs="Times New Roman" w:eastAsia="Times New Roman" w:hAnsi="Times New Roman"/>
                <w:sz w:val="16"/>
                <w:szCs w:val="16"/>
                <w:color w:val="auto"/>
              </w:rPr>
              <w:t>Derivative financial instruments, non-current portion</w:t>
            </w:r>
          </w:p>
        </w:tc>
        <w:tc>
          <w:tcPr>
            <w:tcW w:w="3860" w:type="dxa"/>
            <w:vAlign w:val="bottom"/>
            <w:gridSpan w:val="2"/>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13,225</w:t>
            </w:r>
          </w:p>
        </w:tc>
        <w:tc>
          <w:tcPr>
            <w:tcW w:w="200" w:type="dxa"/>
            <w:vAlign w:val="bottom"/>
            <w:shd w:val="clear" w:color="auto" w:fill="E5FFFF"/>
          </w:tcPr>
          <w:p>
            <w:pPr>
              <w:spacing w:after="0"/>
              <w:rPr>
                <w:sz w:val="17"/>
                <w:szCs w:val="17"/>
                <w:color w:val="auto"/>
              </w:rPr>
            </w:pPr>
          </w:p>
        </w:tc>
        <w:tc>
          <w:tcPr>
            <w:tcW w:w="170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418</w:t>
            </w: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4900" w:type="dxa"/>
            <w:vAlign w:val="bottom"/>
          </w:tcPr>
          <w:p>
            <w:pPr>
              <w:spacing w:after="0"/>
              <w:rPr>
                <w:sz w:val="20"/>
                <w:szCs w:val="20"/>
                <w:color w:val="auto"/>
              </w:rPr>
            </w:pPr>
            <w:r>
              <w:rPr>
                <w:rFonts w:ascii="Times New Roman" w:cs="Times New Roman" w:eastAsia="Times New Roman" w:hAnsi="Times New Roman"/>
                <w:sz w:val="16"/>
                <w:szCs w:val="16"/>
                <w:color w:val="auto"/>
              </w:rPr>
              <w:t>Tangible fixed assets</w:t>
            </w:r>
          </w:p>
        </w:tc>
        <w:tc>
          <w:tcPr>
            <w:tcW w:w="38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4,514,663</w:t>
            </w:r>
          </w:p>
        </w:tc>
        <w:tc>
          <w:tcPr>
            <w:tcW w:w="200" w:type="dxa"/>
            <w:vAlign w:val="bottom"/>
          </w:tcPr>
          <w:p>
            <w:pPr>
              <w:spacing w:after="0"/>
              <w:rPr>
                <w:sz w:val="17"/>
                <w:szCs w:val="17"/>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3,912,762</w:t>
            </w: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4900" w:type="dxa"/>
            <w:vAlign w:val="bottom"/>
            <w:shd w:val="clear" w:color="auto" w:fill="E5FFFF"/>
          </w:tcPr>
          <w:p>
            <w:pPr>
              <w:spacing w:after="0"/>
              <w:rPr>
                <w:sz w:val="20"/>
                <w:szCs w:val="20"/>
                <w:color w:val="auto"/>
              </w:rPr>
            </w:pPr>
            <w:r>
              <w:rPr>
                <w:rFonts w:ascii="Times New Roman" w:cs="Times New Roman" w:eastAsia="Times New Roman" w:hAnsi="Times New Roman"/>
                <w:sz w:val="16"/>
                <w:szCs w:val="16"/>
                <w:color w:val="auto"/>
              </w:rPr>
              <w:t>Vessels under construction</w:t>
            </w:r>
          </w:p>
        </w:tc>
        <w:tc>
          <w:tcPr>
            <w:tcW w:w="3860" w:type="dxa"/>
            <w:vAlign w:val="bottom"/>
            <w:gridSpan w:val="2"/>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210,099</w:t>
            </w:r>
          </w:p>
        </w:tc>
        <w:tc>
          <w:tcPr>
            <w:tcW w:w="200" w:type="dxa"/>
            <w:vAlign w:val="bottom"/>
            <w:shd w:val="clear" w:color="auto" w:fill="E5FFFF"/>
          </w:tcPr>
          <w:p>
            <w:pPr>
              <w:spacing w:after="0"/>
              <w:rPr>
                <w:sz w:val="17"/>
                <w:szCs w:val="17"/>
                <w:color w:val="auto"/>
              </w:rPr>
            </w:pPr>
          </w:p>
        </w:tc>
        <w:tc>
          <w:tcPr>
            <w:tcW w:w="170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265,575</w:t>
            </w: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4900" w:type="dxa"/>
            <w:vAlign w:val="bottom"/>
          </w:tcPr>
          <w:p>
            <w:pPr>
              <w:spacing w:after="0"/>
              <w:rPr>
                <w:sz w:val="20"/>
                <w:szCs w:val="20"/>
                <w:color w:val="auto"/>
              </w:rPr>
            </w:pPr>
            <w:r>
              <w:rPr>
                <w:rFonts w:ascii="Times New Roman" w:cs="Times New Roman" w:eastAsia="Times New Roman" w:hAnsi="Times New Roman"/>
                <w:sz w:val="16"/>
                <w:szCs w:val="16"/>
                <w:color w:val="auto"/>
              </w:rPr>
              <w:t>Right-of-use assets</w:t>
            </w:r>
          </w:p>
        </w:tc>
        <w:tc>
          <w:tcPr>
            <w:tcW w:w="38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416,485</w:t>
            </w:r>
          </w:p>
        </w:tc>
        <w:tc>
          <w:tcPr>
            <w:tcW w:w="200" w:type="dxa"/>
            <w:vAlign w:val="bottom"/>
          </w:tcPr>
          <w:p>
            <w:pPr>
              <w:spacing w:after="0"/>
              <w:rPr>
                <w:sz w:val="17"/>
                <w:szCs w:val="17"/>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468,603</w:t>
            </w: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40" w:type="dxa"/>
            <w:vAlign w:val="bottom"/>
          </w:tcPr>
          <w:p>
            <w:pPr>
              <w:spacing w:after="0"/>
              <w:rPr>
                <w:sz w:val="17"/>
                <w:szCs w:val="17"/>
                <w:color w:val="auto"/>
              </w:rPr>
            </w:pPr>
          </w:p>
        </w:tc>
        <w:tc>
          <w:tcPr>
            <w:tcW w:w="4900" w:type="dxa"/>
            <w:vAlign w:val="bottom"/>
            <w:tcBorders>
              <w:top w:val="single" w:sz="8" w:color="E5FFFF"/>
            </w:tcBorders>
            <w:shd w:val="clear" w:color="auto" w:fill="E5FFFF"/>
          </w:tcPr>
          <w:p>
            <w:pPr>
              <w:spacing w:after="0"/>
              <w:rPr>
                <w:sz w:val="20"/>
                <w:szCs w:val="20"/>
                <w:color w:val="auto"/>
              </w:rPr>
            </w:pPr>
            <w:r>
              <w:rPr>
                <w:rFonts w:ascii="Times New Roman" w:cs="Times New Roman" w:eastAsia="Times New Roman" w:hAnsi="Times New Roman"/>
                <w:sz w:val="16"/>
                <w:szCs w:val="16"/>
                <w:b w:val="1"/>
                <w:bCs w:val="1"/>
                <w:color w:val="auto"/>
              </w:rPr>
              <w:t>Total non-current assets</w:t>
            </w:r>
          </w:p>
        </w:tc>
        <w:tc>
          <w:tcPr>
            <w:tcW w:w="2040" w:type="dxa"/>
            <w:vAlign w:val="bottom"/>
            <w:tcBorders>
              <w:top w:val="single" w:sz="8" w:color="E5FFFF"/>
            </w:tcBorders>
            <w:shd w:val="clear" w:color="auto" w:fill="E5FFFF"/>
          </w:tcPr>
          <w:p>
            <w:pPr>
              <w:spacing w:after="0"/>
              <w:rPr>
                <w:sz w:val="17"/>
                <w:szCs w:val="17"/>
                <w:color w:val="auto"/>
              </w:rPr>
            </w:pPr>
          </w:p>
        </w:tc>
        <w:tc>
          <w:tcPr>
            <w:tcW w:w="1820" w:type="dxa"/>
            <w:vAlign w:val="bottom"/>
            <w:tcBorders>
              <w:top w:val="single" w:sz="8" w:color="auto"/>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6"/>
                <w:szCs w:val="16"/>
                <w:b w:val="1"/>
                <w:bCs w:val="1"/>
                <w:color w:val="auto"/>
              </w:rPr>
              <w:t>5,203,676</w:t>
            </w:r>
          </w:p>
        </w:tc>
        <w:tc>
          <w:tcPr>
            <w:tcW w:w="200" w:type="dxa"/>
            <w:vAlign w:val="bottom"/>
            <w:tcBorders>
              <w:top w:val="single" w:sz="8" w:color="E5FFFF"/>
            </w:tcBorders>
            <w:shd w:val="clear" w:color="auto" w:fill="E5FFFF"/>
          </w:tcPr>
          <w:p>
            <w:pPr>
              <w:spacing w:after="0"/>
              <w:rPr>
                <w:sz w:val="17"/>
                <w:szCs w:val="17"/>
                <w:color w:val="auto"/>
              </w:rPr>
            </w:pPr>
          </w:p>
        </w:tc>
        <w:tc>
          <w:tcPr>
            <w:tcW w:w="1700" w:type="dxa"/>
            <w:vAlign w:val="bottom"/>
            <w:tcBorders>
              <w:top w:val="single" w:sz="8" w:color="auto"/>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6"/>
                <w:szCs w:val="16"/>
                <w:b w:val="1"/>
                <w:bCs w:val="1"/>
                <w:color w:val="auto"/>
              </w:rPr>
              <w:t>4,712,055</w:t>
            </w: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340" w:type="dxa"/>
            <w:vAlign w:val="bottom"/>
          </w:tcPr>
          <w:p>
            <w:pPr>
              <w:spacing w:after="0"/>
              <w:rPr>
                <w:sz w:val="16"/>
                <w:szCs w:val="16"/>
                <w:color w:val="auto"/>
              </w:rPr>
            </w:pPr>
          </w:p>
        </w:tc>
        <w:tc>
          <w:tcPr>
            <w:tcW w:w="49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Current assets</w:t>
            </w:r>
          </w:p>
        </w:tc>
        <w:tc>
          <w:tcPr>
            <w:tcW w:w="204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340" w:type="dxa"/>
            <w:vAlign w:val="bottom"/>
          </w:tcPr>
          <w:p>
            <w:pPr>
              <w:spacing w:after="0"/>
              <w:rPr>
                <w:sz w:val="17"/>
                <w:szCs w:val="17"/>
                <w:color w:val="auto"/>
              </w:rPr>
            </w:pPr>
          </w:p>
        </w:tc>
        <w:tc>
          <w:tcPr>
            <w:tcW w:w="4900" w:type="dxa"/>
            <w:vAlign w:val="bottom"/>
            <w:shd w:val="clear" w:color="auto" w:fill="E5FFFF"/>
          </w:tcPr>
          <w:p>
            <w:pPr>
              <w:spacing w:after="0"/>
              <w:rPr>
                <w:sz w:val="20"/>
                <w:szCs w:val="20"/>
                <w:color w:val="auto"/>
              </w:rPr>
            </w:pPr>
            <w:r>
              <w:rPr>
                <w:rFonts w:ascii="Times New Roman" w:cs="Times New Roman" w:eastAsia="Times New Roman" w:hAnsi="Times New Roman"/>
                <w:sz w:val="16"/>
                <w:szCs w:val="16"/>
                <w:color w:val="auto"/>
              </w:rPr>
              <w:t>FSRU held for sale</w:t>
            </w:r>
          </w:p>
        </w:tc>
        <w:tc>
          <w:tcPr>
            <w:tcW w:w="2040" w:type="dxa"/>
            <w:vAlign w:val="bottom"/>
            <w:shd w:val="clear" w:color="auto" w:fill="E5FFFF"/>
          </w:tcPr>
          <w:p>
            <w:pPr>
              <w:spacing w:after="0"/>
              <w:rPr>
                <w:sz w:val="17"/>
                <w:szCs w:val="17"/>
                <w:color w:val="auto"/>
              </w:rPr>
            </w:pPr>
          </w:p>
        </w:tc>
        <w:tc>
          <w:tcPr>
            <w:tcW w:w="2020" w:type="dxa"/>
            <w:vAlign w:val="bottom"/>
            <w:gridSpan w:val="2"/>
            <w:shd w:val="clear" w:color="auto" w:fill="E5FF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70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269,687</w:t>
            </w: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4900" w:type="dxa"/>
            <w:vAlign w:val="bottom"/>
          </w:tcPr>
          <w:p>
            <w:pPr>
              <w:spacing w:after="0"/>
              <w:rPr>
                <w:sz w:val="20"/>
                <w:szCs w:val="20"/>
                <w:color w:val="auto"/>
              </w:rPr>
            </w:pPr>
            <w:r>
              <w:rPr>
                <w:rFonts w:ascii="Times New Roman" w:cs="Times New Roman" w:eastAsia="Times New Roman" w:hAnsi="Times New Roman"/>
                <w:sz w:val="16"/>
                <w:szCs w:val="16"/>
                <w:color w:val="auto"/>
              </w:rPr>
              <w:t>Trade and other receivables</w:t>
            </w:r>
          </w:p>
        </w:tc>
        <w:tc>
          <w:tcPr>
            <w:tcW w:w="38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22,897</w:t>
            </w:r>
          </w:p>
        </w:tc>
        <w:tc>
          <w:tcPr>
            <w:tcW w:w="200" w:type="dxa"/>
            <w:vAlign w:val="bottom"/>
          </w:tcPr>
          <w:p>
            <w:pPr>
              <w:spacing w:after="0"/>
              <w:rPr>
                <w:sz w:val="17"/>
                <w:szCs w:val="17"/>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36,718</w:t>
            </w: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4900" w:type="dxa"/>
            <w:vAlign w:val="bottom"/>
            <w:shd w:val="clear" w:color="auto" w:fill="E5FFFF"/>
          </w:tcPr>
          <w:p>
            <w:pPr>
              <w:spacing w:after="0"/>
              <w:rPr>
                <w:sz w:val="20"/>
                <w:szCs w:val="20"/>
                <w:color w:val="auto"/>
              </w:rPr>
            </w:pPr>
            <w:r>
              <w:rPr>
                <w:rFonts w:ascii="Times New Roman" w:cs="Times New Roman" w:eastAsia="Times New Roman" w:hAnsi="Times New Roman"/>
                <w:sz w:val="16"/>
                <w:szCs w:val="16"/>
                <w:color w:val="auto"/>
              </w:rPr>
              <w:t>Dividends receivable and other amounts due from related parties</w:t>
            </w:r>
          </w:p>
        </w:tc>
        <w:tc>
          <w:tcPr>
            <w:tcW w:w="3860" w:type="dxa"/>
            <w:vAlign w:val="bottom"/>
            <w:gridSpan w:val="2"/>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61</w:t>
            </w:r>
          </w:p>
        </w:tc>
        <w:tc>
          <w:tcPr>
            <w:tcW w:w="200" w:type="dxa"/>
            <w:vAlign w:val="bottom"/>
            <w:shd w:val="clear" w:color="auto" w:fill="E5FFFF"/>
          </w:tcPr>
          <w:p>
            <w:pPr>
              <w:spacing w:after="0"/>
              <w:rPr>
                <w:sz w:val="17"/>
                <w:szCs w:val="17"/>
                <w:color w:val="auto"/>
              </w:rPr>
            </w:pPr>
          </w:p>
        </w:tc>
        <w:tc>
          <w:tcPr>
            <w:tcW w:w="170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272</w:t>
            </w: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4900" w:type="dxa"/>
            <w:vAlign w:val="bottom"/>
          </w:tcPr>
          <w:p>
            <w:pPr>
              <w:spacing w:after="0"/>
              <w:rPr>
                <w:sz w:val="20"/>
                <w:szCs w:val="20"/>
                <w:color w:val="auto"/>
              </w:rPr>
            </w:pPr>
            <w:r>
              <w:rPr>
                <w:rFonts w:ascii="Times New Roman" w:cs="Times New Roman" w:eastAsia="Times New Roman" w:hAnsi="Times New Roman"/>
                <w:sz w:val="16"/>
                <w:szCs w:val="16"/>
                <w:color w:val="auto"/>
              </w:rPr>
              <w:t>Derivative financial instruments, current portion</w:t>
            </w:r>
          </w:p>
        </w:tc>
        <w:tc>
          <w:tcPr>
            <w:tcW w:w="38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25,383</w:t>
            </w:r>
          </w:p>
        </w:tc>
        <w:tc>
          <w:tcPr>
            <w:tcW w:w="200" w:type="dxa"/>
            <w:vAlign w:val="bottom"/>
          </w:tcPr>
          <w:p>
            <w:pPr>
              <w:spacing w:after="0"/>
              <w:rPr>
                <w:sz w:val="17"/>
                <w:szCs w:val="17"/>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1,675</w:t>
            </w: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4900" w:type="dxa"/>
            <w:vAlign w:val="bottom"/>
            <w:shd w:val="clear" w:color="auto" w:fill="E5FFFF"/>
          </w:tcPr>
          <w:p>
            <w:pPr>
              <w:spacing w:after="0"/>
              <w:rPr>
                <w:sz w:val="20"/>
                <w:szCs w:val="20"/>
                <w:color w:val="auto"/>
              </w:rPr>
            </w:pPr>
            <w:r>
              <w:rPr>
                <w:rFonts w:ascii="Times New Roman" w:cs="Times New Roman" w:eastAsia="Times New Roman" w:hAnsi="Times New Roman"/>
                <w:sz w:val="16"/>
                <w:szCs w:val="16"/>
                <w:color w:val="auto"/>
              </w:rPr>
              <w:t>Inventories</w:t>
            </w:r>
          </w:p>
        </w:tc>
        <w:tc>
          <w:tcPr>
            <w:tcW w:w="3860" w:type="dxa"/>
            <w:vAlign w:val="bottom"/>
            <w:gridSpan w:val="2"/>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8,483</w:t>
            </w:r>
          </w:p>
        </w:tc>
        <w:tc>
          <w:tcPr>
            <w:tcW w:w="200" w:type="dxa"/>
            <w:vAlign w:val="bottom"/>
            <w:shd w:val="clear" w:color="auto" w:fill="E5FFFF"/>
          </w:tcPr>
          <w:p>
            <w:pPr>
              <w:spacing w:after="0"/>
              <w:rPr>
                <w:sz w:val="17"/>
                <w:szCs w:val="17"/>
                <w:color w:val="auto"/>
              </w:rPr>
            </w:pPr>
          </w:p>
        </w:tc>
        <w:tc>
          <w:tcPr>
            <w:tcW w:w="170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9,066</w:t>
            </w: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4900" w:type="dxa"/>
            <w:vAlign w:val="bottom"/>
          </w:tcPr>
          <w:p>
            <w:pPr>
              <w:spacing w:after="0"/>
              <w:rPr>
                <w:sz w:val="20"/>
                <w:szCs w:val="20"/>
                <w:color w:val="auto"/>
              </w:rPr>
            </w:pPr>
            <w:r>
              <w:rPr>
                <w:rFonts w:ascii="Times New Roman" w:cs="Times New Roman" w:eastAsia="Times New Roman" w:hAnsi="Times New Roman"/>
                <w:sz w:val="16"/>
                <w:szCs w:val="16"/>
                <w:color w:val="auto"/>
              </w:rPr>
              <w:t>Prepayments and other current assets</w:t>
            </w:r>
          </w:p>
        </w:tc>
        <w:tc>
          <w:tcPr>
            <w:tcW w:w="38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7,262</w:t>
            </w:r>
          </w:p>
        </w:tc>
        <w:tc>
          <w:tcPr>
            <w:tcW w:w="200" w:type="dxa"/>
            <w:vAlign w:val="bottom"/>
          </w:tcPr>
          <w:p>
            <w:pPr>
              <w:spacing w:after="0"/>
              <w:rPr>
                <w:sz w:val="17"/>
                <w:szCs w:val="17"/>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11,620</w:t>
            </w: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4900" w:type="dxa"/>
            <w:vAlign w:val="bottom"/>
            <w:shd w:val="clear" w:color="auto" w:fill="E5FFFF"/>
          </w:tcPr>
          <w:p>
            <w:pPr>
              <w:spacing w:after="0"/>
              <w:rPr>
                <w:sz w:val="20"/>
                <w:szCs w:val="20"/>
                <w:color w:val="auto"/>
              </w:rPr>
            </w:pPr>
            <w:r>
              <w:rPr>
                <w:rFonts w:ascii="Times New Roman" w:cs="Times New Roman" w:eastAsia="Times New Roman" w:hAnsi="Times New Roman"/>
                <w:sz w:val="16"/>
                <w:szCs w:val="16"/>
                <w:color w:val="auto"/>
              </w:rPr>
              <w:t>Short-term cash deposits</w:t>
            </w:r>
          </w:p>
        </w:tc>
        <w:tc>
          <w:tcPr>
            <w:tcW w:w="3860" w:type="dxa"/>
            <w:vAlign w:val="bottom"/>
            <w:gridSpan w:val="2"/>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36,000</w:t>
            </w:r>
          </w:p>
        </w:tc>
        <w:tc>
          <w:tcPr>
            <w:tcW w:w="200" w:type="dxa"/>
            <w:vAlign w:val="bottom"/>
            <w:shd w:val="clear" w:color="auto" w:fill="E5FFFF"/>
          </w:tcPr>
          <w:p>
            <w:pPr>
              <w:spacing w:after="0"/>
              <w:rPr>
                <w:sz w:val="17"/>
                <w:szCs w:val="17"/>
                <w:color w:val="auto"/>
              </w:rPr>
            </w:pPr>
          </w:p>
        </w:tc>
        <w:tc>
          <w:tcPr>
            <w:tcW w:w="170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10,000</w:t>
            </w: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4900" w:type="dxa"/>
            <w:vAlign w:val="bottom"/>
          </w:tcPr>
          <w:p>
            <w:pPr>
              <w:spacing w:after="0"/>
              <w:rPr>
                <w:sz w:val="20"/>
                <w:szCs w:val="20"/>
                <w:color w:val="auto"/>
              </w:rPr>
            </w:pPr>
            <w:r>
              <w:rPr>
                <w:rFonts w:ascii="Times New Roman" w:cs="Times New Roman" w:eastAsia="Times New Roman" w:hAnsi="Times New Roman"/>
                <w:sz w:val="16"/>
                <w:szCs w:val="16"/>
                <w:color w:val="auto"/>
              </w:rPr>
              <w:t>Cash and cash equivalents</w:t>
            </w:r>
          </w:p>
        </w:tc>
        <w:tc>
          <w:tcPr>
            <w:tcW w:w="38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368,286</w:t>
            </w:r>
          </w:p>
        </w:tc>
        <w:tc>
          <w:tcPr>
            <w:tcW w:w="200" w:type="dxa"/>
            <w:vAlign w:val="bottom"/>
          </w:tcPr>
          <w:p>
            <w:pPr>
              <w:spacing w:after="0"/>
              <w:rPr>
                <w:sz w:val="17"/>
                <w:szCs w:val="17"/>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221,371</w:t>
            </w: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40" w:type="dxa"/>
            <w:vAlign w:val="bottom"/>
          </w:tcPr>
          <w:p>
            <w:pPr>
              <w:spacing w:after="0"/>
              <w:rPr>
                <w:sz w:val="17"/>
                <w:szCs w:val="17"/>
                <w:color w:val="auto"/>
              </w:rPr>
            </w:pPr>
          </w:p>
        </w:tc>
        <w:tc>
          <w:tcPr>
            <w:tcW w:w="4900" w:type="dxa"/>
            <w:vAlign w:val="bottom"/>
            <w:tcBorders>
              <w:top w:val="single" w:sz="8" w:color="E5FFFF"/>
            </w:tcBorders>
            <w:shd w:val="clear" w:color="auto" w:fill="E5FFFF"/>
          </w:tcPr>
          <w:p>
            <w:pPr>
              <w:spacing w:after="0"/>
              <w:rPr>
                <w:sz w:val="20"/>
                <w:szCs w:val="20"/>
                <w:color w:val="auto"/>
              </w:rPr>
            </w:pPr>
            <w:r>
              <w:rPr>
                <w:rFonts w:ascii="Times New Roman" w:cs="Times New Roman" w:eastAsia="Times New Roman" w:hAnsi="Times New Roman"/>
                <w:sz w:val="16"/>
                <w:szCs w:val="16"/>
                <w:b w:val="1"/>
                <w:bCs w:val="1"/>
                <w:color w:val="auto"/>
              </w:rPr>
              <w:t>Total current assets</w:t>
            </w:r>
          </w:p>
        </w:tc>
        <w:tc>
          <w:tcPr>
            <w:tcW w:w="2040" w:type="dxa"/>
            <w:vAlign w:val="bottom"/>
            <w:tcBorders>
              <w:top w:val="single" w:sz="8" w:color="E5FFFF"/>
            </w:tcBorders>
            <w:shd w:val="clear" w:color="auto" w:fill="E5FFFF"/>
          </w:tcPr>
          <w:p>
            <w:pPr>
              <w:spacing w:after="0"/>
              <w:rPr>
                <w:sz w:val="17"/>
                <w:szCs w:val="17"/>
                <w:color w:val="auto"/>
              </w:rPr>
            </w:pPr>
          </w:p>
        </w:tc>
        <w:tc>
          <w:tcPr>
            <w:tcW w:w="1820" w:type="dxa"/>
            <w:vAlign w:val="bottom"/>
            <w:tcBorders>
              <w:top w:val="single" w:sz="8" w:color="auto"/>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6"/>
                <w:szCs w:val="16"/>
                <w:b w:val="1"/>
                <w:bCs w:val="1"/>
                <w:color w:val="auto"/>
              </w:rPr>
              <w:t>468,372</w:t>
            </w:r>
          </w:p>
        </w:tc>
        <w:tc>
          <w:tcPr>
            <w:tcW w:w="200" w:type="dxa"/>
            <w:vAlign w:val="bottom"/>
            <w:tcBorders>
              <w:top w:val="single" w:sz="8" w:color="E5FFFF"/>
            </w:tcBorders>
            <w:shd w:val="clear" w:color="auto" w:fill="E5FFFF"/>
          </w:tcPr>
          <w:p>
            <w:pPr>
              <w:spacing w:after="0"/>
              <w:rPr>
                <w:sz w:val="17"/>
                <w:szCs w:val="17"/>
                <w:color w:val="auto"/>
              </w:rPr>
            </w:pPr>
          </w:p>
        </w:tc>
        <w:tc>
          <w:tcPr>
            <w:tcW w:w="1700" w:type="dxa"/>
            <w:vAlign w:val="bottom"/>
            <w:tcBorders>
              <w:top w:val="single" w:sz="8" w:color="auto"/>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6"/>
                <w:szCs w:val="16"/>
                <w:b w:val="1"/>
                <w:bCs w:val="1"/>
                <w:color w:val="auto"/>
              </w:rPr>
              <w:t>560,409</w:t>
            </w: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340" w:type="dxa"/>
            <w:vAlign w:val="bottom"/>
          </w:tcPr>
          <w:p>
            <w:pPr>
              <w:spacing w:after="0"/>
              <w:rPr>
                <w:sz w:val="21"/>
                <w:szCs w:val="21"/>
                <w:color w:val="auto"/>
              </w:rPr>
            </w:pPr>
          </w:p>
        </w:tc>
        <w:tc>
          <w:tcPr>
            <w:tcW w:w="4900" w:type="dxa"/>
            <w:vAlign w:val="bottom"/>
            <w:tcBorders>
              <w:bottom w:val="single" w:sz="8" w:color="E5FFFF"/>
            </w:tcBorders>
          </w:tcPr>
          <w:p>
            <w:pPr>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2040" w:type="dxa"/>
            <w:vAlign w:val="bottom"/>
            <w:tcBorders>
              <w:bottom w:val="single" w:sz="8" w:color="E5FFFF"/>
            </w:tcBorders>
          </w:tcPr>
          <w:p>
            <w:pPr>
              <w:spacing w:after="0"/>
              <w:rPr>
                <w:sz w:val="21"/>
                <w:szCs w:val="21"/>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5,672,048</w:t>
            </w:r>
          </w:p>
        </w:tc>
        <w:tc>
          <w:tcPr>
            <w:tcW w:w="200" w:type="dxa"/>
            <w:vAlign w:val="bottom"/>
            <w:tcBorders>
              <w:bottom w:val="single" w:sz="8" w:color="E5FFFF"/>
            </w:tcBorders>
          </w:tcPr>
          <w:p>
            <w:pPr>
              <w:spacing w:after="0"/>
              <w:rPr>
                <w:sz w:val="21"/>
                <w:szCs w:val="21"/>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5,272,464</w:t>
            </w:r>
          </w:p>
        </w:tc>
        <w:tc>
          <w:tcPr>
            <w:tcW w:w="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5"/>
        </w:trPr>
        <w:tc>
          <w:tcPr>
            <w:tcW w:w="340" w:type="dxa"/>
            <w:vAlign w:val="bottom"/>
          </w:tcPr>
          <w:p>
            <w:pPr>
              <w:spacing w:after="0"/>
              <w:rPr>
                <w:sz w:val="16"/>
                <w:szCs w:val="16"/>
                <w:color w:val="auto"/>
              </w:rPr>
            </w:pPr>
          </w:p>
        </w:tc>
        <w:tc>
          <w:tcPr>
            <w:tcW w:w="4900" w:type="dxa"/>
            <w:vAlign w:val="bottom"/>
            <w:shd w:val="clear" w:color="auto" w:fill="E5FFFF"/>
          </w:tcPr>
          <w:p>
            <w:pPr>
              <w:spacing w:after="0" w:line="179" w:lineRule="exact"/>
              <w:rPr>
                <w:sz w:val="20"/>
                <w:szCs w:val="20"/>
                <w:color w:val="auto"/>
              </w:rPr>
            </w:pPr>
            <w:r>
              <w:rPr>
                <w:rFonts w:ascii="Times New Roman" w:cs="Times New Roman" w:eastAsia="Times New Roman" w:hAnsi="Times New Roman"/>
                <w:sz w:val="16"/>
                <w:szCs w:val="16"/>
                <w:b w:val="1"/>
                <w:bCs w:val="1"/>
                <w:color w:val="auto"/>
              </w:rPr>
              <w:t>Equity and liabilities</w:t>
            </w:r>
          </w:p>
        </w:tc>
        <w:tc>
          <w:tcPr>
            <w:tcW w:w="2040" w:type="dxa"/>
            <w:vAlign w:val="bottom"/>
            <w:shd w:val="clear" w:color="auto" w:fill="E5FFFF"/>
          </w:tcPr>
          <w:p>
            <w:pPr>
              <w:spacing w:after="0"/>
              <w:rPr>
                <w:sz w:val="16"/>
                <w:szCs w:val="16"/>
                <w:color w:val="auto"/>
              </w:rPr>
            </w:pPr>
          </w:p>
        </w:tc>
        <w:tc>
          <w:tcPr>
            <w:tcW w:w="1820" w:type="dxa"/>
            <w:vAlign w:val="bottom"/>
            <w:shd w:val="clear" w:color="auto" w:fill="E5FFFF"/>
          </w:tcPr>
          <w:p>
            <w:pPr>
              <w:spacing w:after="0"/>
              <w:rPr>
                <w:sz w:val="16"/>
                <w:szCs w:val="16"/>
                <w:color w:val="auto"/>
              </w:rPr>
            </w:pPr>
          </w:p>
        </w:tc>
        <w:tc>
          <w:tcPr>
            <w:tcW w:w="200" w:type="dxa"/>
            <w:vAlign w:val="bottom"/>
            <w:shd w:val="clear" w:color="auto" w:fill="E5FFFF"/>
          </w:tcPr>
          <w:p>
            <w:pPr>
              <w:spacing w:after="0"/>
              <w:rPr>
                <w:sz w:val="16"/>
                <w:szCs w:val="16"/>
                <w:color w:val="auto"/>
              </w:rPr>
            </w:pPr>
          </w:p>
        </w:tc>
        <w:tc>
          <w:tcPr>
            <w:tcW w:w="1700" w:type="dxa"/>
            <w:vAlign w:val="bottom"/>
            <w:shd w:val="clear" w:color="auto" w:fill="E5FFFF"/>
          </w:tcPr>
          <w:p>
            <w:pPr>
              <w:spacing w:after="0"/>
              <w:rPr>
                <w:sz w:val="16"/>
                <w:szCs w:val="16"/>
                <w:color w:val="auto"/>
              </w:rPr>
            </w:pP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49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Equity</w:t>
            </w:r>
          </w:p>
        </w:tc>
        <w:tc>
          <w:tcPr>
            <w:tcW w:w="204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4900" w:type="dxa"/>
            <w:vAlign w:val="bottom"/>
            <w:shd w:val="clear" w:color="auto" w:fill="E5FFFF"/>
          </w:tcPr>
          <w:p>
            <w:pPr>
              <w:spacing w:after="0"/>
              <w:rPr>
                <w:sz w:val="20"/>
                <w:szCs w:val="20"/>
                <w:color w:val="auto"/>
              </w:rPr>
            </w:pPr>
            <w:r>
              <w:rPr>
                <w:rFonts w:ascii="Times New Roman" w:cs="Times New Roman" w:eastAsia="Times New Roman" w:hAnsi="Times New Roman"/>
                <w:sz w:val="16"/>
                <w:szCs w:val="16"/>
                <w:color w:val="auto"/>
              </w:rPr>
              <w:t>Preference shares</w:t>
            </w:r>
          </w:p>
        </w:tc>
        <w:tc>
          <w:tcPr>
            <w:tcW w:w="3860" w:type="dxa"/>
            <w:vAlign w:val="bottom"/>
            <w:gridSpan w:val="2"/>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200" w:type="dxa"/>
            <w:vAlign w:val="bottom"/>
            <w:shd w:val="clear" w:color="auto" w:fill="E5FFFF"/>
          </w:tcPr>
          <w:p>
            <w:pPr>
              <w:spacing w:after="0"/>
              <w:rPr>
                <w:sz w:val="17"/>
                <w:szCs w:val="17"/>
                <w:color w:val="auto"/>
              </w:rPr>
            </w:pPr>
          </w:p>
        </w:tc>
        <w:tc>
          <w:tcPr>
            <w:tcW w:w="170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4900" w:type="dxa"/>
            <w:vAlign w:val="bottom"/>
          </w:tcPr>
          <w:p>
            <w:pPr>
              <w:spacing w:after="0"/>
              <w:rPr>
                <w:sz w:val="20"/>
                <w:szCs w:val="20"/>
                <w:color w:val="auto"/>
              </w:rPr>
            </w:pPr>
            <w:r>
              <w:rPr>
                <w:rFonts w:ascii="Times New Roman" w:cs="Times New Roman" w:eastAsia="Times New Roman" w:hAnsi="Times New Roman"/>
                <w:sz w:val="16"/>
                <w:szCs w:val="16"/>
                <w:color w:val="auto"/>
              </w:rPr>
              <w:t>Share capital</w:t>
            </w:r>
          </w:p>
        </w:tc>
        <w:tc>
          <w:tcPr>
            <w:tcW w:w="38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954</w:t>
            </w:r>
          </w:p>
        </w:tc>
        <w:tc>
          <w:tcPr>
            <w:tcW w:w="200" w:type="dxa"/>
            <w:vAlign w:val="bottom"/>
          </w:tcPr>
          <w:p>
            <w:pPr>
              <w:spacing w:after="0"/>
              <w:rPr>
                <w:sz w:val="17"/>
                <w:szCs w:val="17"/>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954</w:t>
            </w: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4900" w:type="dxa"/>
            <w:vAlign w:val="bottom"/>
            <w:shd w:val="clear" w:color="auto" w:fill="E5FFFF"/>
          </w:tcPr>
          <w:p>
            <w:pPr>
              <w:spacing w:after="0"/>
              <w:rPr>
                <w:sz w:val="20"/>
                <w:szCs w:val="20"/>
                <w:color w:val="auto"/>
              </w:rPr>
            </w:pPr>
            <w:r>
              <w:rPr>
                <w:rFonts w:ascii="Times New Roman" w:cs="Times New Roman" w:eastAsia="Times New Roman" w:hAnsi="Times New Roman"/>
                <w:sz w:val="16"/>
                <w:szCs w:val="16"/>
                <w:color w:val="auto"/>
              </w:rPr>
              <w:t>Contributed surplus</w:t>
            </w:r>
          </w:p>
        </w:tc>
        <w:tc>
          <w:tcPr>
            <w:tcW w:w="3860" w:type="dxa"/>
            <w:vAlign w:val="bottom"/>
            <w:gridSpan w:val="2"/>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658,888</w:t>
            </w:r>
          </w:p>
        </w:tc>
        <w:tc>
          <w:tcPr>
            <w:tcW w:w="200" w:type="dxa"/>
            <w:vAlign w:val="bottom"/>
            <w:shd w:val="clear" w:color="auto" w:fill="E5FFFF"/>
          </w:tcPr>
          <w:p>
            <w:pPr>
              <w:spacing w:after="0"/>
              <w:rPr>
                <w:sz w:val="17"/>
                <w:szCs w:val="17"/>
                <w:color w:val="auto"/>
              </w:rPr>
            </w:pPr>
          </w:p>
        </w:tc>
        <w:tc>
          <w:tcPr>
            <w:tcW w:w="170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929,308</w:t>
            </w: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4900" w:type="dxa"/>
            <w:vAlign w:val="bottom"/>
          </w:tcPr>
          <w:p>
            <w:pPr>
              <w:spacing w:after="0"/>
              <w:rPr>
                <w:sz w:val="20"/>
                <w:szCs w:val="20"/>
                <w:color w:val="auto"/>
              </w:rPr>
            </w:pPr>
            <w:r>
              <w:rPr>
                <w:rFonts w:ascii="Times New Roman" w:cs="Times New Roman" w:eastAsia="Times New Roman" w:hAnsi="Times New Roman"/>
                <w:sz w:val="16"/>
                <w:szCs w:val="16"/>
                <w:color w:val="auto"/>
              </w:rPr>
              <w:t>Reserves</w:t>
            </w:r>
          </w:p>
        </w:tc>
        <w:tc>
          <w:tcPr>
            <w:tcW w:w="38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16,464</w:t>
            </w:r>
          </w:p>
        </w:tc>
        <w:tc>
          <w:tcPr>
            <w:tcW w:w="200" w:type="dxa"/>
            <w:vAlign w:val="bottom"/>
          </w:tcPr>
          <w:p>
            <w:pPr>
              <w:spacing w:after="0"/>
              <w:rPr>
                <w:sz w:val="17"/>
                <w:szCs w:val="17"/>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15,236</w:t>
            </w: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4900" w:type="dxa"/>
            <w:vAlign w:val="bottom"/>
            <w:shd w:val="clear" w:color="auto" w:fill="E5FFFF"/>
          </w:tcPr>
          <w:p>
            <w:pPr>
              <w:spacing w:after="0"/>
              <w:rPr>
                <w:sz w:val="20"/>
                <w:szCs w:val="20"/>
                <w:color w:val="auto"/>
              </w:rPr>
            </w:pPr>
            <w:r>
              <w:rPr>
                <w:rFonts w:ascii="Times New Roman" w:cs="Times New Roman" w:eastAsia="Times New Roman" w:hAnsi="Times New Roman"/>
                <w:sz w:val="16"/>
                <w:szCs w:val="16"/>
                <w:color w:val="auto"/>
              </w:rPr>
              <w:t>Retained earnings</w:t>
            </w:r>
          </w:p>
        </w:tc>
        <w:tc>
          <w:tcPr>
            <w:tcW w:w="3860" w:type="dxa"/>
            <w:vAlign w:val="bottom"/>
            <w:gridSpan w:val="2"/>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108,685</w:t>
            </w:r>
          </w:p>
        </w:tc>
        <w:tc>
          <w:tcPr>
            <w:tcW w:w="200" w:type="dxa"/>
            <w:vAlign w:val="bottom"/>
            <w:shd w:val="clear" w:color="auto" w:fill="E5FFFF"/>
          </w:tcPr>
          <w:p>
            <w:pPr>
              <w:spacing w:after="0"/>
              <w:rPr>
                <w:sz w:val="17"/>
                <w:szCs w:val="17"/>
                <w:color w:val="auto"/>
              </w:rPr>
            </w:pPr>
          </w:p>
        </w:tc>
        <w:tc>
          <w:tcPr>
            <w:tcW w:w="170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160,832</w:t>
            </w: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40" w:type="dxa"/>
            <w:vAlign w:val="bottom"/>
          </w:tcPr>
          <w:p>
            <w:pPr>
              <w:spacing w:after="0"/>
              <w:rPr>
                <w:sz w:val="17"/>
                <w:szCs w:val="17"/>
                <w:color w:val="auto"/>
              </w:rPr>
            </w:pPr>
          </w:p>
        </w:tc>
        <w:tc>
          <w:tcPr>
            <w:tcW w:w="49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Equity attributable to owners of the Group</w:t>
            </w:r>
          </w:p>
        </w:tc>
        <w:tc>
          <w:tcPr>
            <w:tcW w:w="2040" w:type="dxa"/>
            <w:vAlign w:val="bottom"/>
          </w:tcPr>
          <w:p>
            <w:pPr>
              <w:spacing w:after="0"/>
              <w:rPr>
                <w:sz w:val="17"/>
                <w:szCs w:val="17"/>
                <w:color w:val="auto"/>
              </w:rPr>
            </w:pPr>
          </w:p>
        </w:tc>
        <w:tc>
          <w:tcPr>
            <w:tcW w:w="1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785,037</w:t>
            </w:r>
          </w:p>
        </w:tc>
        <w:tc>
          <w:tcPr>
            <w:tcW w:w="200" w:type="dxa"/>
            <w:vAlign w:val="bottom"/>
          </w:tcPr>
          <w:p>
            <w:pPr>
              <w:spacing w:after="0"/>
              <w:rPr>
                <w:sz w:val="17"/>
                <w:szCs w:val="17"/>
                <w:color w:val="auto"/>
              </w:rPr>
            </w:pPr>
          </w:p>
        </w:tc>
        <w:tc>
          <w:tcPr>
            <w:tcW w:w="1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1,106,332</w:t>
            </w: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4900" w:type="dxa"/>
            <w:vAlign w:val="bottom"/>
            <w:shd w:val="clear" w:color="auto" w:fill="E5FFFF"/>
          </w:tcPr>
          <w:p>
            <w:pPr>
              <w:spacing w:after="0"/>
              <w:rPr>
                <w:sz w:val="20"/>
                <w:szCs w:val="20"/>
                <w:color w:val="auto"/>
              </w:rPr>
            </w:pPr>
            <w:r>
              <w:rPr>
                <w:rFonts w:ascii="Times New Roman" w:cs="Times New Roman" w:eastAsia="Times New Roman" w:hAnsi="Times New Roman"/>
                <w:sz w:val="16"/>
                <w:szCs w:val="16"/>
                <w:color w:val="auto"/>
              </w:rPr>
              <w:t>Non-controlling interests</w:t>
            </w:r>
          </w:p>
        </w:tc>
        <w:tc>
          <w:tcPr>
            <w:tcW w:w="3860" w:type="dxa"/>
            <w:vAlign w:val="bottom"/>
            <w:gridSpan w:val="2"/>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936,741</w:t>
            </w:r>
          </w:p>
        </w:tc>
        <w:tc>
          <w:tcPr>
            <w:tcW w:w="200" w:type="dxa"/>
            <w:vAlign w:val="bottom"/>
            <w:shd w:val="clear" w:color="auto" w:fill="E5FFFF"/>
          </w:tcPr>
          <w:p>
            <w:pPr>
              <w:spacing w:after="0"/>
              <w:rPr>
                <w:sz w:val="17"/>
                <w:szCs w:val="17"/>
                <w:color w:val="auto"/>
              </w:rPr>
            </w:pPr>
          </w:p>
        </w:tc>
        <w:tc>
          <w:tcPr>
            <w:tcW w:w="170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280,067</w:t>
            </w: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40" w:type="dxa"/>
            <w:vAlign w:val="bottom"/>
          </w:tcPr>
          <w:p>
            <w:pPr>
              <w:spacing w:after="0"/>
              <w:rPr>
                <w:sz w:val="17"/>
                <w:szCs w:val="17"/>
                <w:color w:val="auto"/>
              </w:rPr>
            </w:pPr>
          </w:p>
        </w:tc>
        <w:tc>
          <w:tcPr>
            <w:tcW w:w="4900" w:type="dxa"/>
            <w:vAlign w:val="bottom"/>
            <w:tcBorders>
              <w:bottom w:val="single" w:sz="8" w:color="E5FFFF"/>
            </w:tcBorders>
          </w:tcPr>
          <w:p>
            <w:pPr>
              <w:spacing w:after="0"/>
              <w:rPr>
                <w:sz w:val="20"/>
                <w:szCs w:val="20"/>
                <w:color w:val="auto"/>
              </w:rPr>
            </w:pPr>
            <w:r>
              <w:rPr>
                <w:rFonts w:ascii="Times New Roman" w:cs="Times New Roman" w:eastAsia="Times New Roman" w:hAnsi="Times New Roman"/>
                <w:sz w:val="16"/>
                <w:szCs w:val="16"/>
                <w:b w:val="1"/>
                <w:bCs w:val="1"/>
                <w:color w:val="auto"/>
              </w:rPr>
              <w:t>Total equity</w:t>
            </w:r>
          </w:p>
        </w:tc>
        <w:tc>
          <w:tcPr>
            <w:tcW w:w="2040" w:type="dxa"/>
            <w:vAlign w:val="bottom"/>
            <w:tcBorders>
              <w:bottom w:val="single" w:sz="8" w:color="E5FFFF"/>
            </w:tcBorders>
          </w:tcPr>
          <w:p>
            <w:pPr>
              <w:spacing w:after="0"/>
              <w:rPr>
                <w:sz w:val="17"/>
                <w:szCs w:val="17"/>
                <w:color w:val="auto"/>
              </w:rPr>
            </w:pPr>
          </w:p>
        </w:tc>
        <w:tc>
          <w:tcPr>
            <w:tcW w:w="1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1,721,778</w:t>
            </w:r>
          </w:p>
        </w:tc>
        <w:tc>
          <w:tcPr>
            <w:tcW w:w="200" w:type="dxa"/>
            <w:vAlign w:val="bottom"/>
            <w:tcBorders>
              <w:bottom w:val="single" w:sz="8" w:color="E5FFFF"/>
            </w:tcBorders>
          </w:tcPr>
          <w:p>
            <w:pPr>
              <w:spacing w:after="0"/>
              <w:rPr>
                <w:sz w:val="17"/>
                <w:szCs w:val="17"/>
                <w:color w:val="auto"/>
              </w:rPr>
            </w:pPr>
          </w:p>
        </w:tc>
        <w:tc>
          <w:tcPr>
            <w:tcW w:w="1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1,386,399</w:t>
            </w: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40" w:type="dxa"/>
            <w:vAlign w:val="bottom"/>
          </w:tcPr>
          <w:p>
            <w:pPr>
              <w:spacing w:after="0"/>
              <w:rPr>
                <w:sz w:val="17"/>
                <w:szCs w:val="17"/>
                <w:color w:val="auto"/>
              </w:rPr>
            </w:pPr>
          </w:p>
        </w:tc>
        <w:tc>
          <w:tcPr>
            <w:tcW w:w="4900" w:type="dxa"/>
            <w:vAlign w:val="bottom"/>
            <w:shd w:val="clear" w:color="auto" w:fill="E5FFFF"/>
          </w:tcPr>
          <w:p>
            <w:pPr>
              <w:spacing w:after="0"/>
              <w:rPr>
                <w:sz w:val="20"/>
                <w:szCs w:val="20"/>
                <w:color w:val="auto"/>
              </w:rPr>
            </w:pPr>
            <w:r>
              <w:rPr>
                <w:rFonts w:ascii="Times New Roman" w:cs="Times New Roman" w:eastAsia="Times New Roman" w:hAnsi="Times New Roman"/>
                <w:sz w:val="16"/>
                <w:szCs w:val="16"/>
                <w:b w:val="1"/>
                <w:bCs w:val="1"/>
                <w:color w:val="auto"/>
              </w:rPr>
              <w:t>Current liabilities</w:t>
            </w:r>
          </w:p>
        </w:tc>
        <w:tc>
          <w:tcPr>
            <w:tcW w:w="2040" w:type="dxa"/>
            <w:vAlign w:val="bottom"/>
            <w:shd w:val="clear" w:color="auto" w:fill="E5FFFF"/>
          </w:tcPr>
          <w:p>
            <w:pPr>
              <w:spacing w:after="0"/>
              <w:rPr>
                <w:sz w:val="17"/>
                <w:szCs w:val="17"/>
                <w:color w:val="auto"/>
              </w:rPr>
            </w:pPr>
          </w:p>
        </w:tc>
        <w:tc>
          <w:tcPr>
            <w:tcW w:w="1820" w:type="dxa"/>
            <w:vAlign w:val="bottom"/>
            <w:shd w:val="clear" w:color="auto" w:fill="E5FFFF"/>
          </w:tcPr>
          <w:p>
            <w:pPr>
              <w:spacing w:after="0"/>
              <w:rPr>
                <w:sz w:val="17"/>
                <w:szCs w:val="17"/>
                <w:color w:val="auto"/>
              </w:rPr>
            </w:pPr>
          </w:p>
        </w:tc>
        <w:tc>
          <w:tcPr>
            <w:tcW w:w="200" w:type="dxa"/>
            <w:vAlign w:val="bottom"/>
            <w:shd w:val="clear" w:color="auto" w:fill="E5FFFF"/>
          </w:tcPr>
          <w:p>
            <w:pPr>
              <w:spacing w:after="0"/>
              <w:rPr>
                <w:sz w:val="17"/>
                <w:szCs w:val="17"/>
                <w:color w:val="auto"/>
              </w:rPr>
            </w:pPr>
          </w:p>
        </w:tc>
        <w:tc>
          <w:tcPr>
            <w:tcW w:w="1700" w:type="dxa"/>
            <w:vAlign w:val="bottom"/>
            <w:shd w:val="clear" w:color="auto" w:fill="E5FFFF"/>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4900" w:type="dxa"/>
            <w:vAlign w:val="bottom"/>
          </w:tcPr>
          <w:p>
            <w:pPr>
              <w:spacing w:after="0"/>
              <w:rPr>
                <w:sz w:val="20"/>
                <w:szCs w:val="20"/>
                <w:color w:val="auto"/>
              </w:rPr>
            </w:pPr>
            <w:r>
              <w:rPr>
                <w:rFonts w:ascii="Times New Roman" w:cs="Times New Roman" w:eastAsia="Times New Roman" w:hAnsi="Times New Roman"/>
                <w:sz w:val="16"/>
                <w:szCs w:val="16"/>
                <w:color w:val="auto"/>
              </w:rPr>
              <w:t>Trade accounts payable</w:t>
            </w:r>
          </w:p>
        </w:tc>
        <w:tc>
          <w:tcPr>
            <w:tcW w:w="38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19,725</w:t>
            </w:r>
          </w:p>
        </w:tc>
        <w:tc>
          <w:tcPr>
            <w:tcW w:w="200" w:type="dxa"/>
            <w:vAlign w:val="bottom"/>
          </w:tcPr>
          <w:p>
            <w:pPr>
              <w:spacing w:after="0"/>
              <w:rPr>
                <w:sz w:val="17"/>
                <w:szCs w:val="17"/>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22,776</w:t>
            </w: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4900" w:type="dxa"/>
            <w:vAlign w:val="bottom"/>
            <w:shd w:val="clear" w:color="auto" w:fill="E5FFFF"/>
          </w:tcPr>
          <w:p>
            <w:pPr>
              <w:spacing w:after="0"/>
              <w:rPr>
                <w:sz w:val="20"/>
                <w:szCs w:val="20"/>
                <w:color w:val="auto"/>
              </w:rPr>
            </w:pPr>
            <w:r>
              <w:rPr>
                <w:rFonts w:ascii="Times New Roman" w:cs="Times New Roman" w:eastAsia="Times New Roman" w:hAnsi="Times New Roman"/>
                <w:sz w:val="16"/>
                <w:szCs w:val="16"/>
                <w:color w:val="auto"/>
              </w:rPr>
              <w:t>Ship management creditors</w:t>
            </w:r>
          </w:p>
        </w:tc>
        <w:tc>
          <w:tcPr>
            <w:tcW w:w="3860" w:type="dxa"/>
            <w:vAlign w:val="bottom"/>
            <w:gridSpan w:val="2"/>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200" w:type="dxa"/>
            <w:vAlign w:val="bottom"/>
            <w:shd w:val="clear" w:color="auto" w:fill="E5FFFF"/>
          </w:tcPr>
          <w:p>
            <w:pPr>
              <w:spacing w:after="0"/>
              <w:rPr>
                <w:sz w:val="17"/>
                <w:szCs w:val="17"/>
                <w:color w:val="auto"/>
              </w:rPr>
            </w:pPr>
          </w:p>
        </w:tc>
        <w:tc>
          <w:tcPr>
            <w:tcW w:w="170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181</w:t>
            </w: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4900" w:type="dxa"/>
            <w:vAlign w:val="bottom"/>
          </w:tcPr>
          <w:p>
            <w:pPr>
              <w:spacing w:after="0"/>
              <w:rPr>
                <w:sz w:val="20"/>
                <w:szCs w:val="20"/>
                <w:color w:val="auto"/>
              </w:rPr>
            </w:pPr>
            <w:r>
              <w:rPr>
                <w:rFonts w:ascii="Times New Roman" w:cs="Times New Roman" w:eastAsia="Times New Roman" w:hAnsi="Times New Roman"/>
                <w:sz w:val="16"/>
                <w:szCs w:val="16"/>
                <w:color w:val="auto"/>
              </w:rPr>
              <w:t>Amounts due to related parties</w:t>
            </w:r>
          </w:p>
        </w:tc>
        <w:tc>
          <w:tcPr>
            <w:tcW w:w="38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200" w:type="dxa"/>
            <w:vAlign w:val="bottom"/>
          </w:tcPr>
          <w:p>
            <w:pPr>
              <w:spacing w:after="0"/>
              <w:rPr>
                <w:sz w:val="17"/>
                <w:szCs w:val="17"/>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196</w:t>
            </w: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4900" w:type="dxa"/>
            <w:vAlign w:val="bottom"/>
            <w:shd w:val="clear" w:color="auto" w:fill="E5FFFF"/>
          </w:tcPr>
          <w:p>
            <w:pPr>
              <w:spacing w:after="0"/>
              <w:rPr>
                <w:sz w:val="20"/>
                <w:szCs w:val="20"/>
                <w:color w:val="auto"/>
              </w:rPr>
            </w:pPr>
            <w:r>
              <w:rPr>
                <w:rFonts w:ascii="Times New Roman" w:cs="Times New Roman" w:eastAsia="Times New Roman" w:hAnsi="Times New Roman"/>
                <w:sz w:val="16"/>
                <w:szCs w:val="16"/>
                <w:color w:val="auto"/>
              </w:rPr>
              <w:t>Derivative financial instruments, current portion</w:t>
            </w:r>
          </w:p>
        </w:tc>
        <w:tc>
          <w:tcPr>
            <w:tcW w:w="3860" w:type="dxa"/>
            <w:vAlign w:val="bottom"/>
            <w:gridSpan w:val="2"/>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2,834</w:t>
            </w:r>
          </w:p>
        </w:tc>
        <w:tc>
          <w:tcPr>
            <w:tcW w:w="200" w:type="dxa"/>
            <w:vAlign w:val="bottom"/>
            <w:shd w:val="clear" w:color="auto" w:fill="E5FFFF"/>
          </w:tcPr>
          <w:p>
            <w:pPr>
              <w:spacing w:after="0"/>
              <w:rPr>
                <w:sz w:val="17"/>
                <w:szCs w:val="17"/>
                <w:color w:val="auto"/>
              </w:rPr>
            </w:pPr>
          </w:p>
        </w:tc>
        <w:tc>
          <w:tcPr>
            <w:tcW w:w="170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11,202</w:t>
            </w: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4900" w:type="dxa"/>
            <w:vAlign w:val="bottom"/>
          </w:tcPr>
          <w:p>
            <w:pPr>
              <w:spacing w:after="0"/>
              <w:rPr>
                <w:sz w:val="20"/>
                <w:szCs w:val="20"/>
                <w:color w:val="auto"/>
              </w:rPr>
            </w:pPr>
            <w:r>
              <w:rPr>
                <w:rFonts w:ascii="Times New Roman" w:cs="Times New Roman" w:eastAsia="Times New Roman" w:hAnsi="Times New Roman"/>
                <w:sz w:val="16"/>
                <w:szCs w:val="16"/>
                <w:color w:val="auto"/>
              </w:rPr>
              <w:t>Other payables and accruals</w:t>
            </w:r>
          </w:p>
        </w:tc>
        <w:tc>
          <w:tcPr>
            <w:tcW w:w="38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166,932</w:t>
            </w:r>
          </w:p>
        </w:tc>
        <w:tc>
          <w:tcPr>
            <w:tcW w:w="200" w:type="dxa"/>
            <w:vAlign w:val="bottom"/>
          </w:tcPr>
          <w:p>
            <w:pPr>
              <w:spacing w:after="0"/>
              <w:rPr>
                <w:sz w:val="17"/>
                <w:szCs w:val="17"/>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409,291</w:t>
            </w: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4900" w:type="dxa"/>
            <w:vAlign w:val="bottom"/>
            <w:shd w:val="clear" w:color="auto" w:fill="E5FFFF"/>
          </w:tcPr>
          <w:p>
            <w:pPr>
              <w:spacing w:after="0"/>
              <w:rPr>
                <w:sz w:val="20"/>
                <w:szCs w:val="20"/>
                <w:color w:val="auto"/>
              </w:rPr>
            </w:pPr>
            <w:r>
              <w:rPr>
                <w:rFonts w:ascii="Times New Roman" w:cs="Times New Roman" w:eastAsia="Times New Roman" w:hAnsi="Times New Roman"/>
                <w:sz w:val="16"/>
                <w:szCs w:val="16"/>
                <w:color w:val="auto"/>
              </w:rPr>
              <w:t>Borrowings, current portion</w:t>
            </w:r>
          </w:p>
        </w:tc>
        <w:tc>
          <w:tcPr>
            <w:tcW w:w="3860" w:type="dxa"/>
            <w:vAlign w:val="bottom"/>
            <w:gridSpan w:val="2"/>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294,977</w:t>
            </w:r>
          </w:p>
        </w:tc>
        <w:tc>
          <w:tcPr>
            <w:tcW w:w="200" w:type="dxa"/>
            <w:vAlign w:val="bottom"/>
            <w:shd w:val="clear" w:color="auto" w:fill="E5FFFF"/>
          </w:tcPr>
          <w:p>
            <w:pPr>
              <w:spacing w:after="0"/>
              <w:rPr>
                <w:sz w:val="17"/>
                <w:szCs w:val="17"/>
                <w:color w:val="auto"/>
              </w:rPr>
            </w:pPr>
          </w:p>
        </w:tc>
        <w:tc>
          <w:tcPr>
            <w:tcW w:w="170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107,917</w:t>
            </w: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4900" w:type="dxa"/>
            <w:vAlign w:val="bottom"/>
          </w:tcPr>
          <w:p>
            <w:pPr>
              <w:spacing w:after="0"/>
              <w:rPr>
                <w:sz w:val="20"/>
                <w:szCs w:val="20"/>
                <w:color w:val="auto"/>
              </w:rPr>
            </w:pPr>
            <w:r>
              <w:rPr>
                <w:rFonts w:ascii="Times New Roman" w:cs="Times New Roman" w:eastAsia="Times New Roman" w:hAnsi="Times New Roman"/>
                <w:sz w:val="16"/>
                <w:szCs w:val="16"/>
                <w:color w:val="auto"/>
              </w:rPr>
              <w:t>Lease liabilities, current portion</w:t>
            </w:r>
          </w:p>
        </w:tc>
        <w:tc>
          <w:tcPr>
            <w:tcW w:w="38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48,548</w:t>
            </w:r>
          </w:p>
        </w:tc>
        <w:tc>
          <w:tcPr>
            <w:tcW w:w="200" w:type="dxa"/>
            <w:vAlign w:val="bottom"/>
          </w:tcPr>
          <w:p>
            <w:pPr>
              <w:spacing w:after="0"/>
              <w:rPr>
                <w:sz w:val="17"/>
                <w:szCs w:val="17"/>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70,979</w:t>
            </w: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40" w:type="dxa"/>
            <w:vAlign w:val="bottom"/>
          </w:tcPr>
          <w:p>
            <w:pPr>
              <w:spacing w:after="0"/>
              <w:rPr>
                <w:sz w:val="17"/>
                <w:szCs w:val="17"/>
                <w:color w:val="auto"/>
              </w:rPr>
            </w:pPr>
          </w:p>
        </w:tc>
        <w:tc>
          <w:tcPr>
            <w:tcW w:w="4900" w:type="dxa"/>
            <w:vAlign w:val="bottom"/>
            <w:tcBorders>
              <w:top w:val="single" w:sz="8" w:color="E5FFFF"/>
            </w:tcBorders>
            <w:shd w:val="clear" w:color="auto" w:fill="E5FFFF"/>
          </w:tcPr>
          <w:p>
            <w:pPr>
              <w:spacing w:after="0"/>
              <w:rPr>
                <w:sz w:val="20"/>
                <w:szCs w:val="20"/>
                <w:color w:val="auto"/>
              </w:rPr>
            </w:pPr>
            <w:r>
              <w:rPr>
                <w:rFonts w:ascii="Times New Roman" w:cs="Times New Roman" w:eastAsia="Times New Roman" w:hAnsi="Times New Roman"/>
                <w:sz w:val="16"/>
                <w:szCs w:val="16"/>
                <w:b w:val="1"/>
                <w:bCs w:val="1"/>
                <w:color w:val="auto"/>
              </w:rPr>
              <w:t>Total current liabilities</w:t>
            </w:r>
          </w:p>
        </w:tc>
        <w:tc>
          <w:tcPr>
            <w:tcW w:w="2040" w:type="dxa"/>
            <w:vAlign w:val="bottom"/>
            <w:tcBorders>
              <w:top w:val="single" w:sz="8" w:color="E5FFFF"/>
            </w:tcBorders>
            <w:shd w:val="clear" w:color="auto" w:fill="E5FFFF"/>
          </w:tcPr>
          <w:p>
            <w:pPr>
              <w:spacing w:after="0"/>
              <w:rPr>
                <w:sz w:val="17"/>
                <w:szCs w:val="17"/>
                <w:color w:val="auto"/>
              </w:rPr>
            </w:pPr>
          </w:p>
        </w:tc>
        <w:tc>
          <w:tcPr>
            <w:tcW w:w="1820" w:type="dxa"/>
            <w:vAlign w:val="bottom"/>
            <w:tcBorders>
              <w:top w:val="single" w:sz="8" w:color="auto"/>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6"/>
                <w:szCs w:val="16"/>
                <w:b w:val="1"/>
                <w:bCs w:val="1"/>
                <w:color w:val="auto"/>
              </w:rPr>
              <w:t>533,056</w:t>
            </w:r>
          </w:p>
        </w:tc>
        <w:tc>
          <w:tcPr>
            <w:tcW w:w="200" w:type="dxa"/>
            <w:vAlign w:val="bottom"/>
            <w:tcBorders>
              <w:top w:val="single" w:sz="8" w:color="E5FFFF"/>
            </w:tcBorders>
            <w:shd w:val="clear" w:color="auto" w:fill="E5FFFF"/>
          </w:tcPr>
          <w:p>
            <w:pPr>
              <w:spacing w:after="0"/>
              <w:rPr>
                <w:sz w:val="17"/>
                <w:szCs w:val="17"/>
                <w:color w:val="auto"/>
              </w:rPr>
            </w:pPr>
          </w:p>
        </w:tc>
        <w:tc>
          <w:tcPr>
            <w:tcW w:w="1700" w:type="dxa"/>
            <w:vAlign w:val="bottom"/>
            <w:tcBorders>
              <w:top w:val="single" w:sz="8" w:color="auto"/>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6"/>
                <w:szCs w:val="16"/>
                <w:b w:val="1"/>
                <w:bCs w:val="1"/>
                <w:color w:val="auto"/>
              </w:rPr>
              <w:t>622,542</w:t>
            </w: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340" w:type="dxa"/>
            <w:vAlign w:val="bottom"/>
          </w:tcPr>
          <w:p>
            <w:pPr>
              <w:spacing w:after="0"/>
              <w:rPr>
                <w:sz w:val="16"/>
                <w:szCs w:val="16"/>
                <w:color w:val="auto"/>
              </w:rPr>
            </w:pPr>
          </w:p>
        </w:tc>
        <w:tc>
          <w:tcPr>
            <w:tcW w:w="49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Non-current liabilities</w:t>
            </w:r>
          </w:p>
        </w:tc>
        <w:tc>
          <w:tcPr>
            <w:tcW w:w="204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340" w:type="dxa"/>
            <w:vAlign w:val="bottom"/>
          </w:tcPr>
          <w:p>
            <w:pPr>
              <w:spacing w:after="0"/>
              <w:rPr>
                <w:sz w:val="17"/>
                <w:szCs w:val="17"/>
                <w:color w:val="auto"/>
              </w:rPr>
            </w:pPr>
          </w:p>
        </w:tc>
        <w:tc>
          <w:tcPr>
            <w:tcW w:w="4900" w:type="dxa"/>
            <w:vAlign w:val="bottom"/>
            <w:shd w:val="clear" w:color="auto" w:fill="E5FFFF"/>
          </w:tcPr>
          <w:p>
            <w:pPr>
              <w:spacing w:after="0"/>
              <w:rPr>
                <w:sz w:val="20"/>
                <w:szCs w:val="20"/>
                <w:color w:val="auto"/>
              </w:rPr>
            </w:pPr>
            <w:r>
              <w:rPr>
                <w:rFonts w:ascii="Times New Roman" w:cs="Times New Roman" w:eastAsia="Times New Roman" w:hAnsi="Times New Roman"/>
                <w:sz w:val="16"/>
                <w:szCs w:val="16"/>
                <w:color w:val="auto"/>
              </w:rPr>
              <w:t>Derivative financial instruments, non-current portion</w:t>
            </w:r>
          </w:p>
        </w:tc>
        <w:tc>
          <w:tcPr>
            <w:tcW w:w="3860" w:type="dxa"/>
            <w:vAlign w:val="bottom"/>
            <w:gridSpan w:val="2"/>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5,498</w:t>
            </w:r>
          </w:p>
        </w:tc>
        <w:tc>
          <w:tcPr>
            <w:tcW w:w="200" w:type="dxa"/>
            <w:vAlign w:val="bottom"/>
            <w:shd w:val="clear" w:color="auto" w:fill="E5FFFF"/>
          </w:tcPr>
          <w:p>
            <w:pPr>
              <w:spacing w:after="0"/>
              <w:rPr>
                <w:sz w:val="17"/>
                <w:szCs w:val="17"/>
                <w:color w:val="auto"/>
              </w:rPr>
            </w:pPr>
          </w:p>
        </w:tc>
        <w:tc>
          <w:tcPr>
            <w:tcW w:w="170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4900" w:type="dxa"/>
            <w:vAlign w:val="bottom"/>
          </w:tcPr>
          <w:p>
            <w:pPr>
              <w:spacing w:after="0"/>
              <w:rPr>
                <w:sz w:val="20"/>
                <w:szCs w:val="20"/>
                <w:color w:val="auto"/>
              </w:rPr>
            </w:pPr>
            <w:r>
              <w:rPr>
                <w:rFonts w:ascii="Times New Roman" w:cs="Times New Roman" w:eastAsia="Times New Roman" w:hAnsi="Times New Roman"/>
                <w:sz w:val="16"/>
                <w:szCs w:val="16"/>
                <w:color w:val="auto"/>
              </w:rPr>
              <w:t>Borrowings, non-current portion</w:t>
            </w:r>
          </w:p>
        </w:tc>
        <w:tc>
          <w:tcPr>
            <w:tcW w:w="38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3,004,767</w:t>
            </w:r>
          </w:p>
        </w:tc>
        <w:tc>
          <w:tcPr>
            <w:tcW w:w="200" w:type="dxa"/>
            <w:vAlign w:val="bottom"/>
          </w:tcPr>
          <w:p>
            <w:pPr>
              <w:spacing w:after="0"/>
              <w:rPr>
                <w:sz w:val="17"/>
                <w:szCs w:val="17"/>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2,944,987</w:t>
            </w: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4900" w:type="dxa"/>
            <w:vAlign w:val="bottom"/>
            <w:shd w:val="clear" w:color="auto" w:fill="E5FFFF"/>
          </w:tcPr>
          <w:p>
            <w:pPr>
              <w:spacing w:after="0"/>
              <w:rPr>
                <w:sz w:val="20"/>
                <w:szCs w:val="20"/>
                <w:color w:val="auto"/>
              </w:rPr>
            </w:pPr>
            <w:r>
              <w:rPr>
                <w:rFonts w:ascii="Times New Roman" w:cs="Times New Roman" w:eastAsia="Times New Roman" w:hAnsi="Times New Roman"/>
                <w:sz w:val="16"/>
                <w:szCs w:val="16"/>
                <w:color w:val="auto"/>
              </w:rPr>
              <w:t>Lease liabilities, non-current portion</w:t>
            </w:r>
          </w:p>
        </w:tc>
        <w:tc>
          <w:tcPr>
            <w:tcW w:w="3860" w:type="dxa"/>
            <w:vAlign w:val="bottom"/>
            <w:gridSpan w:val="2"/>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287,828</w:t>
            </w:r>
          </w:p>
        </w:tc>
        <w:tc>
          <w:tcPr>
            <w:tcW w:w="200" w:type="dxa"/>
            <w:vAlign w:val="bottom"/>
            <w:shd w:val="clear" w:color="auto" w:fill="E5FFFF"/>
          </w:tcPr>
          <w:p>
            <w:pPr>
              <w:spacing w:after="0"/>
              <w:rPr>
                <w:sz w:val="17"/>
                <w:szCs w:val="17"/>
                <w:color w:val="auto"/>
              </w:rPr>
            </w:pPr>
          </w:p>
        </w:tc>
        <w:tc>
          <w:tcPr>
            <w:tcW w:w="170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312,446</w:t>
            </w: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4900" w:type="dxa"/>
            <w:vAlign w:val="bottom"/>
          </w:tcPr>
          <w:p>
            <w:pPr>
              <w:spacing w:after="0"/>
              <w:rPr>
                <w:sz w:val="20"/>
                <w:szCs w:val="20"/>
                <w:color w:val="auto"/>
              </w:rPr>
            </w:pPr>
            <w:r>
              <w:rPr>
                <w:rFonts w:ascii="Times New Roman" w:cs="Times New Roman" w:eastAsia="Times New Roman" w:hAnsi="Times New Roman"/>
                <w:sz w:val="16"/>
                <w:szCs w:val="16"/>
                <w:color w:val="auto"/>
              </w:rPr>
              <w:t>Other non-current liabilities</w:t>
            </w:r>
          </w:p>
        </w:tc>
        <w:tc>
          <w:tcPr>
            <w:tcW w:w="406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119,121</w:t>
            </w: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6,090</w:t>
            </w: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40" w:type="dxa"/>
            <w:vAlign w:val="bottom"/>
          </w:tcPr>
          <w:p>
            <w:pPr>
              <w:spacing w:after="0"/>
              <w:rPr>
                <w:sz w:val="17"/>
                <w:szCs w:val="17"/>
                <w:color w:val="auto"/>
              </w:rPr>
            </w:pPr>
          </w:p>
        </w:tc>
        <w:tc>
          <w:tcPr>
            <w:tcW w:w="4900" w:type="dxa"/>
            <w:vAlign w:val="bottom"/>
            <w:tcBorders>
              <w:top w:val="single" w:sz="8" w:color="E5FFFF"/>
            </w:tcBorders>
            <w:shd w:val="clear" w:color="auto" w:fill="E5FFFF"/>
          </w:tcPr>
          <w:p>
            <w:pPr>
              <w:spacing w:after="0"/>
              <w:rPr>
                <w:sz w:val="20"/>
                <w:szCs w:val="20"/>
                <w:color w:val="auto"/>
              </w:rPr>
            </w:pPr>
            <w:r>
              <w:rPr>
                <w:rFonts w:ascii="Times New Roman" w:cs="Times New Roman" w:eastAsia="Times New Roman" w:hAnsi="Times New Roman"/>
                <w:sz w:val="16"/>
                <w:szCs w:val="16"/>
                <w:b w:val="1"/>
                <w:bCs w:val="1"/>
                <w:color w:val="auto"/>
              </w:rPr>
              <w:t>Total non-current liabilities</w:t>
            </w:r>
          </w:p>
        </w:tc>
        <w:tc>
          <w:tcPr>
            <w:tcW w:w="2040" w:type="dxa"/>
            <w:vAlign w:val="bottom"/>
            <w:tcBorders>
              <w:top w:val="single" w:sz="8" w:color="E5FFFF"/>
            </w:tcBorders>
            <w:shd w:val="clear" w:color="auto" w:fill="E5FFFF"/>
          </w:tcPr>
          <w:p>
            <w:pPr>
              <w:spacing w:after="0"/>
              <w:rPr>
                <w:sz w:val="17"/>
                <w:szCs w:val="17"/>
                <w:color w:val="auto"/>
              </w:rPr>
            </w:pPr>
          </w:p>
        </w:tc>
        <w:tc>
          <w:tcPr>
            <w:tcW w:w="1820" w:type="dxa"/>
            <w:vAlign w:val="bottom"/>
            <w:tcBorders>
              <w:top w:val="single" w:sz="8" w:color="auto"/>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6"/>
                <w:szCs w:val="16"/>
                <w:b w:val="1"/>
                <w:bCs w:val="1"/>
                <w:color w:val="auto"/>
              </w:rPr>
              <w:t>3,417,214</w:t>
            </w:r>
          </w:p>
        </w:tc>
        <w:tc>
          <w:tcPr>
            <w:tcW w:w="200" w:type="dxa"/>
            <w:vAlign w:val="bottom"/>
            <w:tcBorders>
              <w:top w:val="single" w:sz="8" w:color="E5FFFF"/>
            </w:tcBorders>
            <w:shd w:val="clear" w:color="auto" w:fill="E5FFFF"/>
          </w:tcPr>
          <w:p>
            <w:pPr>
              <w:spacing w:after="0"/>
              <w:rPr>
                <w:sz w:val="17"/>
                <w:szCs w:val="17"/>
                <w:color w:val="auto"/>
              </w:rPr>
            </w:pPr>
          </w:p>
        </w:tc>
        <w:tc>
          <w:tcPr>
            <w:tcW w:w="1700" w:type="dxa"/>
            <w:vAlign w:val="bottom"/>
            <w:tcBorders>
              <w:top w:val="single" w:sz="8" w:color="auto"/>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6"/>
                <w:szCs w:val="16"/>
                <w:b w:val="1"/>
                <w:bCs w:val="1"/>
                <w:color w:val="auto"/>
              </w:rPr>
              <w:t>3,263,523</w:t>
            </w: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40" w:type="dxa"/>
            <w:vAlign w:val="bottom"/>
          </w:tcPr>
          <w:p>
            <w:pPr>
              <w:spacing w:after="0"/>
              <w:rPr>
                <w:sz w:val="17"/>
                <w:szCs w:val="17"/>
                <w:color w:val="auto"/>
              </w:rPr>
            </w:pPr>
          </w:p>
        </w:tc>
        <w:tc>
          <w:tcPr>
            <w:tcW w:w="49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 equity and liabilities</w:t>
            </w:r>
          </w:p>
        </w:tc>
        <w:tc>
          <w:tcPr>
            <w:tcW w:w="2040" w:type="dxa"/>
            <w:vAlign w:val="bottom"/>
          </w:tcPr>
          <w:p>
            <w:pPr>
              <w:spacing w:after="0"/>
              <w:rPr>
                <w:sz w:val="17"/>
                <w:szCs w:val="17"/>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5,672,048</w:t>
            </w:r>
          </w:p>
        </w:tc>
        <w:tc>
          <w:tcPr>
            <w:tcW w:w="200" w:type="dxa"/>
            <w:vAlign w:val="bottom"/>
          </w:tcPr>
          <w:p>
            <w:pPr>
              <w:spacing w:after="0"/>
              <w:rPr>
                <w:sz w:val="17"/>
                <w:szCs w:val="17"/>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5,272,464</w:t>
            </w: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2040" w:type="dxa"/>
            <w:vAlign w:val="bottom"/>
            <w:vMerge w:val="restart"/>
          </w:tcPr>
          <w:p>
            <w:pPr>
              <w:jc w:val="right"/>
              <w:ind w:right="1559"/>
              <w:spacing w:after="0"/>
              <w:rPr>
                <w:sz w:val="20"/>
                <w:szCs w:val="20"/>
                <w:color w:val="auto"/>
              </w:rPr>
            </w:pPr>
            <w:r>
              <w:rPr>
                <w:rFonts w:ascii="Times New Roman" w:cs="Times New Roman" w:eastAsia="Times New Roman" w:hAnsi="Times New Roman"/>
                <w:sz w:val="14"/>
                <w:szCs w:val="14"/>
                <w:color w:val="auto"/>
              </w:rPr>
              <w:t>9</w:t>
            </w:r>
          </w:p>
        </w:tc>
        <w:tc>
          <w:tcPr>
            <w:tcW w:w="1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1"/>
        </w:trPr>
        <w:tc>
          <w:tcPr>
            <w:tcW w:w="340" w:type="dxa"/>
            <w:vAlign w:val="bottom"/>
            <w:tcBorders>
              <w:bottom w:val="single" w:sz="8" w:color="auto"/>
            </w:tcBorders>
          </w:tcPr>
          <w:p>
            <w:pPr>
              <w:spacing w:after="0"/>
              <w:rPr>
                <w:sz w:val="24"/>
                <w:szCs w:val="24"/>
                <w:color w:val="auto"/>
              </w:rPr>
            </w:pPr>
          </w:p>
        </w:tc>
        <w:tc>
          <w:tcPr>
            <w:tcW w:w="490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vMerge w:val="continue"/>
          </w:tcPr>
          <w:p>
            <w:pPr>
              <w:spacing w:after="0"/>
              <w:rPr>
                <w:sz w:val="24"/>
                <w:szCs w:val="24"/>
                <w:color w:val="auto"/>
              </w:rPr>
            </w:pPr>
          </w:p>
        </w:tc>
        <w:tc>
          <w:tcPr>
            <w:tcW w:w="18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93" w:right="339" w:bottom="1440" w:gutter="0" w:footer="0" w:header="0"/>
        </w:sectPr>
      </w:pPr>
    </w:p>
    <w:bookmarkStart w:id="9" w:name="page10"/>
    <w:bookmarkEnd w:id="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4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GasLog Ltd. and its Subsidiaries</w:t>
            </w:r>
          </w:p>
        </w:tc>
        <w:tc>
          <w:tcPr>
            <w:tcW w:w="10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5"/>
        </w:trPr>
        <w:tc>
          <w:tcPr>
            <w:tcW w:w="340" w:type="dxa"/>
            <w:vAlign w:val="bottom"/>
          </w:tcPr>
          <w:p>
            <w:pPr>
              <w:spacing w:after="0"/>
              <w:rPr>
                <w:sz w:val="24"/>
                <w:szCs w:val="24"/>
                <w:color w:val="auto"/>
              </w:rPr>
            </w:pPr>
          </w:p>
        </w:tc>
        <w:tc>
          <w:tcPr>
            <w:tcW w:w="49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Unaudited condensed consolidated statements of profit or loss</w:t>
            </w:r>
          </w:p>
        </w:tc>
        <w:tc>
          <w:tcPr>
            <w:tcW w:w="10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49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For the three months and years ended December 31, 2022 and 2023</w:t>
            </w:r>
          </w:p>
        </w:tc>
        <w:tc>
          <w:tcPr>
            <w:tcW w:w="10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34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(Amounts expressed in thousands of U.S. Dollars)</w:t>
            </w:r>
          </w:p>
        </w:tc>
        <w:tc>
          <w:tcPr>
            <w:tcW w:w="10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09"/>
        </w:trPr>
        <w:tc>
          <w:tcPr>
            <w:tcW w:w="340" w:type="dxa"/>
            <w:vAlign w:val="bottom"/>
          </w:tcPr>
          <w:p>
            <w:pPr>
              <w:spacing w:after="0"/>
              <w:rPr>
                <w:sz w:val="24"/>
                <w:szCs w:val="24"/>
                <w:color w:val="auto"/>
              </w:rPr>
            </w:pPr>
          </w:p>
        </w:tc>
        <w:tc>
          <w:tcPr>
            <w:tcW w:w="49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360" w:type="dxa"/>
            <w:vAlign w:val="bottom"/>
            <w:gridSpan w:val="4"/>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rPr>
              <w:t>For the three months ended</w:t>
            </w:r>
          </w:p>
        </w:tc>
        <w:tc>
          <w:tcPr>
            <w:tcW w:w="2560" w:type="dxa"/>
            <w:vAlign w:val="bottom"/>
            <w:gridSpan w:val="4"/>
          </w:tcPr>
          <w:p>
            <w:pPr>
              <w:ind w:left="420"/>
              <w:spacing w:after="0"/>
              <w:rPr>
                <w:sz w:val="20"/>
                <w:szCs w:val="20"/>
                <w:color w:val="auto"/>
              </w:rPr>
            </w:pPr>
            <w:r>
              <w:rPr>
                <w:rFonts w:ascii="Times New Roman" w:cs="Times New Roman" w:eastAsia="Times New Roman" w:hAnsi="Times New Roman"/>
                <w:sz w:val="16"/>
                <w:szCs w:val="16"/>
                <w:b w:val="1"/>
                <w:bCs w:val="1"/>
                <w:color w:val="auto"/>
              </w:rPr>
              <w:t>For the years ended</w:t>
            </w: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49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rPr>
              <w:t>December</w:t>
            </w: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rPr>
              <w:t>December</w:t>
            </w: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rPr>
              <w:t>December</w:t>
            </w:r>
          </w:p>
        </w:tc>
        <w:tc>
          <w:tcPr>
            <w:tcW w:w="140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December</w:t>
            </w:r>
          </w:p>
        </w:tc>
        <w:tc>
          <w:tcPr>
            <w:tcW w:w="0" w:type="dxa"/>
            <w:vAlign w:val="bottom"/>
          </w:tcPr>
          <w:p>
            <w:pPr>
              <w:spacing w:after="0"/>
              <w:rPr>
                <w:sz w:val="1"/>
                <w:szCs w:val="1"/>
                <w:color w:val="auto"/>
              </w:rPr>
            </w:pPr>
          </w:p>
        </w:tc>
      </w:tr>
      <w:tr>
        <w:trPr>
          <w:trHeight w:val="215"/>
        </w:trPr>
        <w:tc>
          <w:tcPr>
            <w:tcW w:w="340" w:type="dxa"/>
            <w:vAlign w:val="bottom"/>
          </w:tcPr>
          <w:p>
            <w:pPr>
              <w:spacing w:after="0"/>
              <w:rPr>
                <w:sz w:val="18"/>
                <w:szCs w:val="18"/>
                <w:color w:val="auto"/>
              </w:rPr>
            </w:pPr>
          </w:p>
        </w:tc>
        <w:tc>
          <w:tcPr>
            <w:tcW w:w="4920" w:type="dxa"/>
            <w:vAlign w:val="bottom"/>
          </w:tcPr>
          <w:p>
            <w:pPr>
              <w:spacing w:after="0"/>
              <w:rPr>
                <w:sz w:val="18"/>
                <w:szCs w:val="18"/>
                <w:color w:val="auto"/>
              </w:rPr>
            </w:pPr>
          </w:p>
        </w:tc>
        <w:tc>
          <w:tcPr>
            <w:tcW w:w="2140" w:type="dxa"/>
            <w:vAlign w:val="bottom"/>
            <w:gridSpan w:val="2"/>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31, 2022</w:t>
            </w:r>
          </w:p>
        </w:tc>
        <w:tc>
          <w:tcPr>
            <w:tcW w:w="120" w:type="dxa"/>
            <w:vAlign w:val="bottom"/>
          </w:tcPr>
          <w:p>
            <w:pPr>
              <w:spacing w:after="0"/>
              <w:rPr>
                <w:sz w:val="18"/>
                <w:szCs w:val="18"/>
                <w:color w:val="auto"/>
              </w:rPr>
            </w:pPr>
          </w:p>
        </w:tc>
        <w:tc>
          <w:tcPr>
            <w:tcW w:w="1060" w:type="dxa"/>
            <w:vAlign w:val="bottom"/>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31, 2023</w:t>
            </w:r>
          </w:p>
        </w:tc>
        <w:tc>
          <w:tcPr>
            <w:tcW w:w="100" w:type="dxa"/>
            <w:vAlign w:val="bottom"/>
          </w:tcPr>
          <w:p>
            <w:pPr>
              <w:spacing w:after="0"/>
              <w:rPr>
                <w:sz w:val="18"/>
                <w:szCs w:val="18"/>
                <w:color w:val="auto"/>
              </w:rPr>
            </w:pPr>
          </w:p>
        </w:tc>
        <w:tc>
          <w:tcPr>
            <w:tcW w:w="1060" w:type="dxa"/>
            <w:vAlign w:val="bottom"/>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31, 2022</w:t>
            </w:r>
          </w:p>
        </w:tc>
        <w:tc>
          <w:tcPr>
            <w:tcW w:w="100" w:type="dxa"/>
            <w:vAlign w:val="bottom"/>
          </w:tcPr>
          <w:p>
            <w:pPr>
              <w:spacing w:after="0"/>
              <w:rPr>
                <w:sz w:val="18"/>
                <w:szCs w:val="18"/>
                <w:color w:val="auto"/>
              </w:rPr>
            </w:pPr>
          </w:p>
        </w:tc>
        <w:tc>
          <w:tcPr>
            <w:tcW w:w="1060" w:type="dxa"/>
            <w:vAlign w:val="bottom"/>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31, 2023</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340" w:type="dxa"/>
            <w:vAlign w:val="bottom"/>
          </w:tcPr>
          <w:p>
            <w:pPr>
              <w:spacing w:after="0"/>
              <w:rPr>
                <w:sz w:val="17"/>
                <w:szCs w:val="17"/>
                <w:color w:val="auto"/>
              </w:rPr>
            </w:pPr>
          </w:p>
        </w:tc>
        <w:tc>
          <w:tcPr>
            <w:tcW w:w="4920" w:type="dxa"/>
            <w:vAlign w:val="bottom"/>
            <w:tcBorders>
              <w:top w:val="single" w:sz="8" w:color="E5FFFF"/>
            </w:tcBorders>
            <w:shd w:val="clear" w:color="auto" w:fill="E5FFFF"/>
          </w:tcPr>
          <w:p>
            <w:pPr>
              <w:spacing w:after="0"/>
              <w:rPr>
                <w:sz w:val="20"/>
                <w:szCs w:val="20"/>
                <w:color w:val="auto"/>
              </w:rPr>
            </w:pPr>
            <w:r>
              <w:rPr>
                <w:rFonts w:ascii="Times New Roman" w:cs="Times New Roman" w:eastAsia="Times New Roman" w:hAnsi="Times New Roman"/>
                <w:sz w:val="16"/>
                <w:szCs w:val="16"/>
                <w:color w:val="auto"/>
              </w:rPr>
              <w:t>Revenues</w:t>
            </w:r>
          </w:p>
        </w:tc>
        <w:tc>
          <w:tcPr>
            <w:tcW w:w="1060" w:type="dxa"/>
            <w:vAlign w:val="bottom"/>
            <w:tcBorders>
              <w:top w:val="single" w:sz="8" w:color="E5FFFF"/>
            </w:tcBorders>
            <w:shd w:val="clear" w:color="auto" w:fill="E5FFFF"/>
          </w:tcPr>
          <w:p>
            <w:pPr>
              <w:spacing w:after="0"/>
              <w:rPr>
                <w:sz w:val="17"/>
                <w:szCs w:val="17"/>
                <w:color w:val="auto"/>
              </w:rPr>
            </w:pPr>
          </w:p>
        </w:tc>
        <w:tc>
          <w:tcPr>
            <w:tcW w:w="1080" w:type="dxa"/>
            <w:vAlign w:val="bottom"/>
            <w:tcBorders>
              <w:top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244,847</w:t>
            </w:r>
          </w:p>
        </w:tc>
        <w:tc>
          <w:tcPr>
            <w:tcW w:w="120" w:type="dxa"/>
            <w:vAlign w:val="bottom"/>
            <w:tcBorders>
              <w:top w:val="single" w:sz="8" w:color="E5FFFF"/>
            </w:tcBorders>
            <w:shd w:val="clear" w:color="auto" w:fill="E5FFFF"/>
          </w:tcPr>
          <w:p>
            <w:pPr>
              <w:spacing w:after="0"/>
              <w:rPr>
                <w:sz w:val="17"/>
                <w:szCs w:val="17"/>
                <w:color w:val="auto"/>
              </w:rPr>
            </w:pPr>
          </w:p>
        </w:tc>
        <w:tc>
          <w:tcPr>
            <w:tcW w:w="1060" w:type="dxa"/>
            <w:vAlign w:val="bottom"/>
            <w:tcBorders>
              <w:top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229,948</w:t>
            </w:r>
          </w:p>
        </w:tc>
        <w:tc>
          <w:tcPr>
            <w:tcW w:w="100" w:type="dxa"/>
            <w:vAlign w:val="bottom"/>
            <w:tcBorders>
              <w:top w:val="single" w:sz="8" w:color="E5FFFF"/>
            </w:tcBorders>
            <w:shd w:val="clear" w:color="auto" w:fill="E5FFFF"/>
          </w:tcPr>
          <w:p>
            <w:pPr>
              <w:spacing w:after="0"/>
              <w:rPr>
                <w:sz w:val="17"/>
                <w:szCs w:val="17"/>
                <w:color w:val="auto"/>
              </w:rPr>
            </w:pPr>
          </w:p>
        </w:tc>
        <w:tc>
          <w:tcPr>
            <w:tcW w:w="1060" w:type="dxa"/>
            <w:vAlign w:val="bottom"/>
            <w:tcBorders>
              <w:top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915,625</w:t>
            </w:r>
          </w:p>
        </w:tc>
        <w:tc>
          <w:tcPr>
            <w:tcW w:w="100" w:type="dxa"/>
            <w:vAlign w:val="bottom"/>
            <w:tcBorders>
              <w:top w:val="single" w:sz="8" w:color="E5FFFF"/>
            </w:tcBorders>
            <w:shd w:val="clear" w:color="auto" w:fill="E5FFFF"/>
          </w:tcPr>
          <w:p>
            <w:pPr>
              <w:spacing w:after="0"/>
              <w:rPr>
                <w:sz w:val="17"/>
                <w:szCs w:val="17"/>
                <w:color w:val="auto"/>
              </w:rPr>
            </w:pPr>
          </w:p>
        </w:tc>
        <w:tc>
          <w:tcPr>
            <w:tcW w:w="1060" w:type="dxa"/>
            <w:vAlign w:val="bottom"/>
            <w:tcBorders>
              <w:top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918,031</w:t>
            </w: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4920" w:type="dxa"/>
            <w:vAlign w:val="bottom"/>
          </w:tcPr>
          <w:p>
            <w:pPr>
              <w:spacing w:after="0"/>
              <w:rPr>
                <w:sz w:val="20"/>
                <w:szCs w:val="20"/>
                <w:color w:val="auto"/>
              </w:rPr>
            </w:pPr>
            <w:r>
              <w:rPr>
                <w:rFonts w:ascii="Times New Roman" w:cs="Times New Roman" w:eastAsia="Times New Roman" w:hAnsi="Times New Roman"/>
                <w:sz w:val="16"/>
                <w:szCs w:val="16"/>
                <w:color w:val="auto"/>
              </w:rPr>
              <w:t>Voyage expenses and commissions</w:t>
            </w:r>
          </w:p>
        </w:tc>
        <w:tc>
          <w:tcPr>
            <w:tcW w:w="226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(4,135)</w:t>
            </w: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(289)</w:t>
            </w: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(14,260)</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(14,507)</w:t>
            </w: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4920" w:type="dxa"/>
            <w:vAlign w:val="bottom"/>
            <w:shd w:val="clear" w:color="auto" w:fill="E5FFFF"/>
          </w:tcPr>
          <w:p>
            <w:pPr>
              <w:spacing w:after="0"/>
              <w:rPr>
                <w:sz w:val="20"/>
                <w:szCs w:val="20"/>
                <w:color w:val="auto"/>
              </w:rPr>
            </w:pPr>
            <w:r>
              <w:rPr>
                <w:rFonts w:ascii="Times New Roman" w:cs="Times New Roman" w:eastAsia="Times New Roman" w:hAnsi="Times New Roman"/>
                <w:sz w:val="16"/>
                <w:szCs w:val="16"/>
                <w:color w:val="auto"/>
              </w:rPr>
              <w:t>Vessel operating and supervision costs</w:t>
            </w:r>
          </w:p>
        </w:tc>
        <w:tc>
          <w:tcPr>
            <w:tcW w:w="2260" w:type="dxa"/>
            <w:vAlign w:val="bottom"/>
            <w:gridSpan w:val="3"/>
            <w:shd w:val="clear" w:color="auto" w:fill="E5FFFF"/>
          </w:tcPr>
          <w:p>
            <w:pPr>
              <w:jc w:val="right"/>
              <w:ind w:right="60"/>
              <w:spacing w:after="0"/>
              <w:rPr>
                <w:sz w:val="20"/>
                <w:szCs w:val="20"/>
                <w:color w:val="auto"/>
              </w:rPr>
            </w:pPr>
            <w:r>
              <w:rPr>
                <w:rFonts w:ascii="Times New Roman" w:cs="Times New Roman" w:eastAsia="Times New Roman" w:hAnsi="Times New Roman"/>
                <w:sz w:val="16"/>
                <w:szCs w:val="16"/>
                <w:color w:val="auto"/>
              </w:rPr>
              <w:t>(45,417)</w:t>
            </w:r>
          </w:p>
        </w:tc>
        <w:tc>
          <w:tcPr>
            <w:tcW w:w="1160" w:type="dxa"/>
            <w:vAlign w:val="bottom"/>
            <w:gridSpan w:val="2"/>
            <w:shd w:val="clear" w:color="auto" w:fill="E5FFFF"/>
          </w:tcPr>
          <w:p>
            <w:pPr>
              <w:jc w:val="right"/>
              <w:ind w:right="40"/>
              <w:spacing w:after="0"/>
              <w:rPr>
                <w:sz w:val="20"/>
                <w:szCs w:val="20"/>
                <w:color w:val="auto"/>
              </w:rPr>
            </w:pPr>
            <w:r>
              <w:rPr>
                <w:rFonts w:ascii="Times New Roman" w:cs="Times New Roman" w:eastAsia="Times New Roman" w:hAnsi="Times New Roman"/>
                <w:sz w:val="16"/>
                <w:szCs w:val="16"/>
                <w:color w:val="auto"/>
              </w:rPr>
              <w:t>(44,199)</w:t>
            </w:r>
          </w:p>
        </w:tc>
        <w:tc>
          <w:tcPr>
            <w:tcW w:w="1160" w:type="dxa"/>
            <w:vAlign w:val="bottom"/>
            <w:gridSpan w:val="2"/>
            <w:shd w:val="clear" w:color="auto" w:fill="E5FFFF"/>
          </w:tcPr>
          <w:p>
            <w:pPr>
              <w:jc w:val="right"/>
              <w:ind w:right="40"/>
              <w:spacing w:after="0"/>
              <w:rPr>
                <w:sz w:val="20"/>
                <w:szCs w:val="20"/>
                <w:color w:val="auto"/>
              </w:rPr>
            </w:pPr>
            <w:r>
              <w:rPr>
                <w:rFonts w:ascii="Times New Roman" w:cs="Times New Roman" w:eastAsia="Times New Roman" w:hAnsi="Times New Roman"/>
                <w:sz w:val="16"/>
                <w:szCs w:val="16"/>
                <w:color w:val="auto"/>
              </w:rPr>
              <w:t>(170,591)</w:t>
            </w:r>
          </w:p>
        </w:tc>
        <w:tc>
          <w:tcPr>
            <w:tcW w:w="106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(162,790)</w:t>
            </w: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4920" w:type="dxa"/>
            <w:vAlign w:val="bottom"/>
          </w:tcPr>
          <w:p>
            <w:pPr>
              <w:spacing w:after="0"/>
              <w:rPr>
                <w:sz w:val="20"/>
                <w:szCs w:val="20"/>
                <w:color w:val="auto"/>
              </w:rPr>
            </w:pPr>
            <w:r>
              <w:rPr>
                <w:rFonts w:ascii="Times New Roman" w:cs="Times New Roman" w:eastAsia="Times New Roman" w:hAnsi="Times New Roman"/>
                <w:sz w:val="16"/>
                <w:szCs w:val="16"/>
                <w:color w:val="auto"/>
              </w:rPr>
              <w:t>Depreciation</w:t>
            </w:r>
          </w:p>
        </w:tc>
        <w:tc>
          <w:tcPr>
            <w:tcW w:w="226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(58,565)</w:t>
            </w: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(61,222)</w:t>
            </w: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(228,639)</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(238,711)</w:t>
            </w: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4920" w:type="dxa"/>
            <w:vAlign w:val="bottom"/>
            <w:shd w:val="clear" w:color="auto" w:fill="E5FFFF"/>
          </w:tcPr>
          <w:p>
            <w:pPr>
              <w:spacing w:after="0"/>
              <w:rPr>
                <w:sz w:val="20"/>
                <w:szCs w:val="20"/>
                <w:color w:val="auto"/>
              </w:rPr>
            </w:pPr>
            <w:r>
              <w:rPr>
                <w:rFonts w:ascii="Times New Roman" w:cs="Times New Roman" w:eastAsia="Times New Roman" w:hAnsi="Times New Roman"/>
                <w:sz w:val="16"/>
                <w:szCs w:val="16"/>
                <w:color w:val="auto"/>
              </w:rPr>
              <w:t>Impairment loss</w:t>
            </w:r>
          </w:p>
        </w:tc>
        <w:tc>
          <w:tcPr>
            <w:tcW w:w="2260" w:type="dxa"/>
            <w:vAlign w:val="bottom"/>
            <w:gridSpan w:val="3"/>
            <w:shd w:val="clear" w:color="auto" w:fill="E5FFFF"/>
          </w:tcPr>
          <w:p>
            <w:pPr>
              <w:jc w:val="right"/>
              <w:ind w:right="60"/>
              <w:spacing w:after="0"/>
              <w:rPr>
                <w:sz w:val="20"/>
                <w:szCs w:val="20"/>
                <w:color w:val="auto"/>
              </w:rPr>
            </w:pPr>
            <w:r>
              <w:rPr>
                <w:rFonts w:ascii="Times New Roman" w:cs="Times New Roman" w:eastAsia="Times New Roman" w:hAnsi="Times New Roman"/>
                <w:sz w:val="16"/>
                <w:szCs w:val="16"/>
                <w:color w:val="auto"/>
              </w:rPr>
              <w:t>(11,376)</w:t>
            </w:r>
          </w:p>
        </w:tc>
        <w:tc>
          <w:tcPr>
            <w:tcW w:w="1160" w:type="dxa"/>
            <w:vAlign w:val="bottom"/>
            <w:gridSpan w:val="2"/>
            <w:shd w:val="clear" w:color="auto" w:fill="E5FF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gridSpan w:val="2"/>
            <w:shd w:val="clear" w:color="auto" w:fill="E5FFFF"/>
          </w:tcPr>
          <w:p>
            <w:pPr>
              <w:jc w:val="right"/>
              <w:ind w:right="40"/>
              <w:spacing w:after="0"/>
              <w:rPr>
                <w:sz w:val="20"/>
                <w:szCs w:val="20"/>
                <w:color w:val="auto"/>
              </w:rPr>
            </w:pPr>
            <w:r>
              <w:rPr>
                <w:rFonts w:ascii="Times New Roman" w:cs="Times New Roman" w:eastAsia="Times New Roman" w:hAnsi="Times New Roman"/>
                <w:sz w:val="16"/>
                <w:szCs w:val="16"/>
                <w:color w:val="auto"/>
              </w:rPr>
              <w:t>(68,287)</w:t>
            </w:r>
          </w:p>
        </w:tc>
        <w:tc>
          <w:tcPr>
            <w:tcW w:w="106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(11,740)</w:t>
            </w: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4920" w:type="dxa"/>
            <w:vAlign w:val="bottom"/>
          </w:tcPr>
          <w:p>
            <w:pPr>
              <w:spacing w:after="0"/>
              <w:rPr>
                <w:sz w:val="20"/>
                <w:szCs w:val="20"/>
                <w:color w:val="auto"/>
              </w:rPr>
            </w:pPr>
            <w:r>
              <w:rPr>
                <w:rFonts w:ascii="Times New Roman" w:cs="Times New Roman" w:eastAsia="Times New Roman" w:hAnsi="Times New Roman"/>
                <w:sz w:val="16"/>
                <w:szCs w:val="16"/>
                <w:color w:val="auto"/>
              </w:rPr>
              <w:t>Gain/(loss) on disposal of non-current assets</w:t>
            </w:r>
          </w:p>
        </w:tc>
        <w:tc>
          <w:tcPr>
            <w:tcW w:w="226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338</w:t>
            </w: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(406)</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(2,058)</w:t>
            </w: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4920" w:type="dxa"/>
            <w:vAlign w:val="bottom"/>
            <w:shd w:val="clear" w:color="auto" w:fill="E5FFFF"/>
          </w:tcPr>
          <w:p>
            <w:pPr>
              <w:spacing w:after="0"/>
              <w:rPr>
                <w:sz w:val="20"/>
                <w:szCs w:val="20"/>
                <w:color w:val="auto"/>
              </w:rPr>
            </w:pPr>
            <w:r>
              <w:rPr>
                <w:rFonts w:ascii="Times New Roman" w:cs="Times New Roman" w:eastAsia="Times New Roman" w:hAnsi="Times New Roman"/>
                <w:sz w:val="16"/>
                <w:szCs w:val="16"/>
                <w:color w:val="auto"/>
              </w:rPr>
              <w:t>General and administrative expenses</w:t>
            </w:r>
          </w:p>
        </w:tc>
        <w:tc>
          <w:tcPr>
            <w:tcW w:w="2260" w:type="dxa"/>
            <w:vAlign w:val="bottom"/>
            <w:gridSpan w:val="3"/>
            <w:shd w:val="clear" w:color="auto" w:fill="E5FFFF"/>
          </w:tcPr>
          <w:p>
            <w:pPr>
              <w:jc w:val="right"/>
              <w:ind w:right="60"/>
              <w:spacing w:after="0"/>
              <w:rPr>
                <w:sz w:val="20"/>
                <w:szCs w:val="20"/>
                <w:color w:val="auto"/>
              </w:rPr>
            </w:pPr>
            <w:r>
              <w:rPr>
                <w:rFonts w:ascii="Times New Roman" w:cs="Times New Roman" w:eastAsia="Times New Roman" w:hAnsi="Times New Roman"/>
                <w:sz w:val="16"/>
                <w:szCs w:val="16"/>
                <w:color w:val="auto"/>
              </w:rPr>
              <w:t>(12,399)</w:t>
            </w:r>
          </w:p>
        </w:tc>
        <w:tc>
          <w:tcPr>
            <w:tcW w:w="1160" w:type="dxa"/>
            <w:vAlign w:val="bottom"/>
            <w:gridSpan w:val="2"/>
            <w:shd w:val="clear" w:color="auto" w:fill="E5FFFF"/>
          </w:tcPr>
          <w:p>
            <w:pPr>
              <w:jc w:val="right"/>
              <w:ind w:right="40"/>
              <w:spacing w:after="0"/>
              <w:rPr>
                <w:sz w:val="20"/>
                <w:szCs w:val="20"/>
                <w:color w:val="auto"/>
              </w:rPr>
            </w:pPr>
            <w:r>
              <w:rPr>
                <w:rFonts w:ascii="Times New Roman" w:cs="Times New Roman" w:eastAsia="Times New Roman" w:hAnsi="Times New Roman"/>
                <w:sz w:val="16"/>
                <w:szCs w:val="16"/>
                <w:color w:val="auto"/>
              </w:rPr>
              <w:t>(7,061)</w:t>
            </w:r>
          </w:p>
        </w:tc>
        <w:tc>
          <w:tcPr>
            <w:tcW w:w="1160" w:type="dxa"/>
            <w:vAlign w:val="bottom"/>
            <w:gridSpan w:val="2"/>
            <w:shd w:val="clear" w:color="auto" w:fill="E5FFFF"/>
          </w:tcPr>
          <w:p>
            <w:pPr>
              <w:jc w:val="right"/>
              <w:ind w:right="40"/>
              <w:spacing w:after="0"/>
              <w:rPr>
                <w:sz w:val="20"/>
                <w:szCs w:val="20"/>
                <w:color w:val="auto"/>
              </w:rPr>
            </w:pPr>
            <w:r>
              <w:rPr>
                <w:rFonts w:ascii="Times New Roman" w:cs="Times New Roman" w:eastAsia="Times New Roman" w:hAnsi="Times New Roman"/>
                <w:sz w:val="16"/>
                <w:szCs w:val="16"/>
                <w:color w:val="auto"/>
              </w:rPr>
              <w:t>(35,007)</w:t>
            </w:r>
          </w:p>
        </w:tc>
        <w:tc>
          <w:tcPr>
            <w:tcW w:w="106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(34,934)</w:t>
            </w: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40" w:type="dxa"/>
            <w:vAlign w:val="bottom"/>
          </w:tcPr>
          <w:p>
            <w:pPr>
              <w:spacing w:after="0"/>
              <w:rPr>
                <w:sz w:val="17"/>
                <w:szCs w:val="17"/>
                <w:color w:val="auto"/>
              </w:rPr>
            </w:pPr>
          </w:p>
        </w:tc>
        <w:tc>
          <w:tcPr>
            <w:tcW w:w="4920" w:type="dxa"/>
            <w:vAlign w:val="bottom"/>
            <w:tcBorders>
              <w:bottom w:val="single" w:sz="8" w:color="E5FFFF"/>
            </w:tcBorders>
          </w:tcPr>
          <w:p>
            <w:pPr>
              <w:spacing w:after="0"/>
              <w:rPr>
                <w:sz w:val="20"/>
                <w:szCs w:val="20"/>
                <w:color w:val="auto"/>
              </w:rPr>
            </w:pPr>
            <w:r>
              <w:rPr>
                <w:rFonts w:ascii="Times New Roman" w:cs="Times New Roman" w:eastAsia="Times New Roman" w:hAnsi="Times New Roman"/>
                <w:sz w:val="16"/>
                <w:szCs w:val="16"/>
                <w:b w:val="1"/>
                <w:bCs w:val="1"/>
                <w:color w:val="auto"/>
              </w:rPr>
              <w:t>Profit from operations</w:t>
            </w:r>
          </w:p>
        </w:tc>
        <w:tc>
          <w:tcPr>
            <w:tcW w:w="1060" w:type="dxa"/>
            <w:vAlign w:val="bottom"/>
            <w:tcBorders>
              <w:bottom w:val="single" w:sz="8" w:color="E5FFFF"/>
            </w:tcBorders>
          </w:tcPr>
          <w:p>
            <w:pPr>
              <w:spacing w:after="0"/>
              <w:rPr>
                <w:sz w:val="17"/>
                <w:szCs w:val="17"/>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113,293</w:t>
            </w:r>
          </w:p>
        </w:tc>
        <w:tc>
          <w:tcPr>
            <w:tcW w:w="120" w:type="dxa"/>
            <w:vAlign w:val="bottom"/>
            <w:tcBorders>
              <w:bottom w:val="single" w:sz="8" w:color="E5FFFF"/>
            </w:tcBorders>
          </w:tcPr>
          <w:p>
            <w:pPr>
              <w:spacing w:after="0"/>
              <w:rPr>
                <w:sz w:val="17"/>
                <w:szCs w:val="17"/>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117,177</w:t>
            </w:r>
          </w:p>
        </w:tc>
        <w:tc>
          <w:tcPr>
            <w:tcW w:w="100" w:type="dxa"/>
            <w:vAlign w:val="bottom"/>
            <w:tcBorders>
              <w:bottom w:val="single" w:sz="8" w:color="E5FFFF"/>
            </w:tcBorders>
          </w:tcPr>
          <w:p>
            <w:pPr>
              <w:spacing w:after="0"/>
              <w:rPr>
                <w:sz w:val="17"/>
                <w:szCs w:val="17"/>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398,435</w:t>
            </w:r>
          </w:p>
        </w:tc>
        <w:tc>
          <w:tcPr>
            <w:tcW w:w="100" w:type="dxa"/>
            <w:vAlign w:val="bottom"/>
            <w:tcBorders>
              <w:bottom w:val="single" w:sz="8" w:color="E5FFFF"/>
            </w:tcBorders>
          </w:tcPr>
          <w:p>
            <w:pPr>
              <w:spacing w:after="0"/>
              <w:rPr>
                <w:sz w:val="17"/>
                <w:szCs w:val="17"/>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453,291</w:t>
            </w: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40" w:type="dxa"/>
            <w:vAlign w:val="bottom"/>
          </w:tcPr>
          <w:p>
            <w:pPr>
              <w:spacing w:after="0"/>
              <w:rPr>
                <w:sz w:val="17"/>
                <w:szCs w:val="17"/>
                <w:color w:val="auto"/>
              </w:rPr>
            </w:pPr>
          </w:p>
        </w:tc>
        <w:tc>
          <w:tcPr>
            <w:tcW w:w="4920" w:type="dxa"/>
            <w:vAlign w:val="bottom"/>
            <w:shd w:val="clear" w:color="auto" w:fill="E5FFFF"/>
          </w:tcPr>
          <w:p>
            <w:pPr>
              <w:spacing w:after="0"/>
              <w:rPr>
                <w:sz w:val="20"/>
                <w:szCs w:val="20"/>
                <w:color w:val="auto"/>
              </w:rPr>
            </w:pPr>
            <w:r>
              <w:rPr>
                <w:rFonts w:ascii="Times New Roman" w:cs="Times New Roman" w:eastAsia="Times New Roman" w:hAnsi="Times New Roman"/>
                <w:sz w:val="16"/>
                <w:szCs w:val="16"/>
                <w:color w:val="auto"/>
              </w:rPr>
              <w:t>Financial costs</w:t>
            </w:r>
          </w:p>
        </w:tc>
        <w:tc>
          <w:tcPr>
            <w:tcW w:w="1060" w:type="dxa"/>
            <w:vAlign w:val="bottom"/>
            <w:shd w:val="clear" w:color="auto" w:fill="E5FFFF"/>
          </w:tcPr>
          <w:p>
            <w:pPr>
              <w:spacing w:after="0"/>
              <w:rPr>
                <w:sz w:val="17"/>
                <w:szCs w:val="17"/>
                <w:color w:val="auto"/>
              </w:rPr>
            </w:pPr>
          </w:p>
        </w:tc>
        <w:tc>
          <w:tcPr>
            <w:tcW w:w="108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(58,502)</w:t>
            </w:r>
          </w:p>
        </w:tc>
        <w:tc>
          <w:tcPr>
            <w:tcW w:w="120" w:type="dxa"/>
            <w:vAlign w:val="bottom"/>
            <w:shd w:val="clear" w:color="auto" w:fill="E5FFFF"/>
          </w:tcPr>
          <w:p>
            <w:pPr>
              <w:spacing w:after="0"/>
              <w:rPr>
                <w:sz w:val="17"/>
                <w:szCs w:val="17"/>
                <w:color w:val="auto"/>
              </w:rPr>
            </w:pPr>
          </w:p>
        </w:tc>
        <w:tc>
          <w:tcPr>
            <w:tcW w:w="106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(92,514)</w:t>
            </w:r>
          </w:p>
        </w:tc>
        <w:tc>
          <w:tcPr>
            <w:tcW w:w="100" w:type="dxa"/>
            <w:vAlign w:val="bottom"/>
            <w:shd w:val="clear" w:color="auto" w:fill="E5FFFF"/>
          </w:tcPr>
          <w:p>
            <w:pPr>
              <w:spacing w:after="0"/>
              <w:rPr>
                <w:sz w:val="17"/>
                <w:szCs w:val="17"/>
                <w:color w:val="auto"/>
              </w:rPr>
            </w:pPr>
          </w:p>
        </w:tc>
        <w:tc>
          <w:tcPr>
            <w:tcW w:w="106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(184,675)</w:t>
            </w:r>
          </w:p>
        </w:tc>
        <w:tc>
          <w:tcPr>
            <w:tcW w:w="100" w:type="dxa"/>
            <w:vAlign w:val="bottom"/>
            <w:shd w:val="clear" w:color="auto" w:fill="E5FFFF"/>
          </w:tcPr>
          <w:p>
            <w:pPr>
              <w:spacing w:after="0"/>
              <w:rPr>
                <w:sz w:val="17"/>
                <w:szCs w:val="17"/>
                <w:color w:val="auto"/>
              </w:rPr>
            </w:pPr>
          </w:p>
        </w:tc>
        <w:tc>
          <w:tcPr>
            <w:tcW w:w="106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(287,068)</w:t>
            </w: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4920" w:type="dxa"/>
            <w:vAlign w:val="bottom"/>
          </w:tcPr>
          <w:p>
            <w:pPr>
              <w:spacing w:after="0"/>
              <w:rPr>
                <w:sz w:val="20"/>
                <w:szCs w:val="20"/>
                <w:color w:val="auto"/>
              </w:rPr>
            </w:pPr>
            <w:r>
              <w:rPr>
                <w:rFonts w:ascii="Times New Roman" w:cs="Times New Roman" w:eastAsia="Times New Roman" w:hAnsi="Times New Roman"/>
                <w:sz w:val="16"/>
                <w:szCs w:val="16"/>
                <w:color w:val="auto"/>
              </w:rPr>
              <w:t>Financial income</w:t>
            </w:r>
          </w:p>
        </w:tc>
        <w:tc>
          <w:tcPr>
            <w:tcW w:w="226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2,625</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2,139</w:t>
            </w:r>
          </w:p>
        </w:tc>
        <w:tc>
          <w:tcPr>
            <w:tcW w:w="100" w:type="dxa"/>
            <w:vAlign w:val="bottom"/>
          </w:tcPr>
          <w:p>
            <w:pPr>
              <w:spacing w:after="0"/>
              <w:rPr>
                <w:sz w:val="17"/>
                <w:szCs w:val="17"/>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4,118</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14,879</w:t>
            </w: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4920" w:type="dxa"/>
            <w:vAlign w:val="bottom"/>
            <w:shd w:val="clear" w:color="auto" w:fill="E5FFFF"/>
          </w:tcPr>
          <w:p>
            <w:pPr>
              <w:spacing w:after="0"/>
              <w:rPr>
                <w:sz w:val="20"/>
                <w:szCs w:val="20"/>
                <w:color w:val="auto"/>
              </w:rPr>
            </w:pPr>
            <w:r>
              <w:rPr>
                <w:rFonts w:ascii="Times New Roman" w:cs="Times New Roman" w:eastAsia="Times New Roman" w:hAnsi="Times New Roman"/>
                <w:sz w:val="16"/>
                <w:szCs w:val="16"/>
                <w:color w:val="auto"/>
              </w:rPr>
              <w:t>Gain on derivatives</w:t>
            </w:r>
          </w:p>
        </w:tc>
        <w:tc>
          <w:tcPr>
            <w:tcW w:w="2260" w:type="dxa"/>
            <w:vAlign w:val="bottom"/>
            <w:gridSpan w:val="3"/>
            <w:shd w:val="clear" w:color="auto" w:fill="E5FFFF"/>
          </w:tcPr>
          <w:p>
            <w:pPr>
              <w:jc w:val="right"/>
              <w:ind w:right="120"/>
              <w:spacing w:after="0"/>
              <w:rPr>
                <w:sz w:val="20"/>
                <w:szCs w:val="20"/>
                <w:color w:val="auto"/>
              </w:rPr>
            </w:pPr>
            <w:r>
              <w:rPr>
                <w:rFonts w:ascii="Times New Roman" w:cs="Times New Roman" w:eastAsia="Times New Roman" w:hAnsi="Times New Roman"/>
                <w:sz w:val="16"/>
                <w:szCs w:val="16"/>
                <w:color w:val="auto"/>
              </w:rPr>
              <w:t>7,465</w:t>
            </w:r>
          </w:p>
        </w:tc>
        <w:tc>
          <w:tcPr>
            <w:tcW w:w="106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4,628</w:t>
            </w:r>
          </w:p>
        </w:tc>
        <w:tc>
          <w:tcPr>
            <w:tcW w:w="100" w:type="dxa"/>
            <w:vAlign w:val="bottom"/>
            <w:shd w:val="clear" w:color="auto" w:fill="E5FFFF"/>
          </w:tcPr>
          <w:p>
            <w:pPr>
              <w:spacing w:after="0"/>
              <w:rPr>
                <w:sz w:val="17"/>
                <w:szCs w:val="17"/>
                <w:color w:val="auto"/>
              </w:rPr>
            </w:pPr>
          </w:p>
        </w:tc>
        <w:tc>
          <w:tcPr>
            <w:tcW w:w="106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74,807</w:t>
            </w:r>
          </w:p>
        </w:tc>
        <w:tc>
          <w:tcPr>
            <w:tcW w:w="100" w:type="dxa"/>
            <w:vAlign w:val="bottom"/>
            <w:shd w:val="clear" w:color="auto" w:fill="E5FFFF"/>
          </w:tcPr>
          <w:p>
            <w:pPr>
              <w:spacing w:after="0"/>
              <w:rPr>
                <w:sz w:val="17"/>
                <w:szCs w:val="17"/>
                <w:color w:val="auto"/>
              </w:rPr>
            </w:pPr>
          </w:p>
        </w:tc>
        <w:tc>
          <w:tcPr>
            <w:tcW w:w="106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13,011</w:t>
            </w: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4920" w:type="dxa"/>
            <w:vAlign w:val="bottom"/>
          </w:tcPr>
          <w:p>
            <w:pPr>
              <w:spacing w:after="0"/>
              <w:rPr>
                <w:sz w:val="20"/>
                <w:szCs w:val="20"/>
                <w:color w:val="auto"/>
              </w:rPr>
            </w:pPr>
            <w:r>
              <w:rPr>
                <w:rFonts w:ascii="Times New Roman" w:cs="Times New Roman" w:eastAsia="Times New Roman" w:hAnsi="Times New Roman"/>
                <w:sz w:val="16"/>
                <w:szCs w:val="16"/>
                <w:color w:val="auto"/>
              </w:rPr>
              <w:t>Share of profit of associates</w:t>
            </w:r>
          </w:p>
        </w:tc>
        <w:tc>
          <w:tcPr>
            <w:tcW w:w="226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3,822</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4,562</w:t>
            </w:r>
          </w:p>
        </w:tc>
        <w:tc>
          <w:tcPr>
            <w:tcW w:w="1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2,190</w:t>
            </w: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40" w:type="dxa"/>
            <w:vAlign w:val="bottom"/>
          </w:tcPr>
          <w:p>
            <w:pPr>
              <w:spacing w:after="0"/>
              <w:rPr>
                <w:sz w:val="17"/>
                <w:szCs w:val="17"/>
                <w:color w:val="auto"/>
              </w:rPr>
            </w:pPr>
          </w:p>
        </w:tc>
        <w:tc>
          <w:tcPr>
            <w:tcW w:w="4920" w:type="dxa"/>
            <w:vAlign w:val="bottom"/>
            <w:tcBorders>
              <w:top w:val="single" w:sz="8" w:color="E5FFFF"/>
            </w:tcBorders>
            <w:shd w:val="clear" w:color="auto" w:fill="E5FFFF"/>
          </w:tcPr>
          <w:p>
            <w:pPr>
              <w:spacing w:after="0"/>
              <w:rPr>
                <w:sz w:val="20"/>
                <w:szCs w:val="20"/>
                <w:color w:val="auto"/>
              </w:rPr>
            </w:pPr>
            <w:r>
              <w:rPr>
                <w:rFonts w:ascii="Times New Roman" w:cs="Times New Roman" w:eastAsia="Times New Roman" w:hAnsi="Times New Roman"/>
                <w:sz w:val="16"/>
                <w:szCs w:val="16"/>
                <w:b w:val="1"/>
                <w:bCs w:val="1"/>
                <w:color w:val="auto"/>
              </w:rPr>
              <w:t>Total other expenses, net</w:t>
            </w:r>
          </w:p>
        </w:tc>
        <w:tc>
          <w:tcPr>
            <w:tcW w:w="1060" w:type="dxa"/>
            <w:vAlign w:val="bottom"/>
            <w:tcBorders>
              <w:top w:val="single" w:sz="8" w:color="E5FFFF"/>
            </w:tcBorders>
            <w:shd w:val="clear" w:color="auto" w:fill="E5FFFF"/>
          </w:tcPr>
          <w:p>
            <w:pPr>
              <w:spacing w:after="0"/>
              <w:rPr>
                <w:sz w:val="17"/>
                <w:szCs w:val="17"/>
                <w:color w:val="auto"/>
              </w:rPr>
            </w:pPr>
          </w:p>
        </w:tc>
        <w:tc>
          <w:tcPr>
            <w:tcW w:w="1080" w:type="dxa"/>
            <w:vAlign w:val="bottom"/>
            <w:tcBorders>
              <w:top w:val="single" w:sz="8" w:color="auto"/>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6"/>
                <w:szCs w:val="16"/>
                <w:b w:val="1"/>
                <w:bCs w:val="1"/>
                <w:color w:val="auto"/>
              </w:rPr>
              <w:t>(44,590)</w:t>
            </w:r>
          </w:p>
        </w:tc>
        <w:tc>
          <w:tcPr>
            <w:tcW w:w="120" w:type="dxa"/>
            <w:vAlign w:val="bottom"/>
            <w:tcBorders>
              <w:top w:val="single" w:sz="8" w:color="E5FFFF"/>
            </w:tcBorders>
            <w:shd w:val="clear" w:color="auto" w:fill="E5FFFF"/>
          </w:tcPr>
          <w:p>
            <w:pPr>
              <w:spacing w:after="0"/>
              <w:rPr>
                <w:sz w:val="17"/>
                <w:szCs w:val="17"/>
                <w:color w:val="auto"/>
              </w:rPr>
            </w:pPr>
          </w:p>
        </w:tc>
        <w:tc>
          <w:tcPr>
            <w:tcW w:w="1060" w:type="dxa"/>
            <w:vAlign w:val="bottom"/>
            <w:tcBorders>
              <w:top w:val="single" w:sz="8" w:color="auto"/>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6"/>
                <w:szCs w:val="16"/>
                <w:b w:val="1"/>
                <w:bCs w:val="1"/>
                <w:color w:val="auto"/>
              </w:rPr>
              <w:t>(85,741)</w:t>
            </w:r>
          </w:p>
        </w:tc>
        <w:tc>
          <w:tcPr>
            <w:tcW w:w="100" w:type="dxa"/>
            <w:vAlign w:val="bottom"/>
            <w:tcBorders>
              <w:top w:val="single" w:sz="8" w:color="E5FFFF"/>
            </w:tcBorders>
            <w:shd w:val="clear" w:color="auto" w:fill="E5FFFF"/>
          </w:tcPr>
          <w:p>
            <w:pPr>
              <w:spacing w:after="0"/>
              <w:rPr>
                <w:sz w:val="17"/>
                <w:szCs w:val="17"/>
                <w:color w:val="auto"/>
              </w:rPr>
            </w:pPr>
          </w:p>
        </w:tc>
        <w:tc>
          <w:tcPr>
            <w:tcW w:w="1060" w:type="dxa"/>
            <w:vAlign w:val="bottom"/>
            <w:tcBorders>
              <w:top w:val="single" w:sz="8" w:color="auto"/>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6"/>
                <w:szCs w:val="16"/>
                <w:b w:val="1"/>
                <w:bCs w:val="1"/>
                <w:color w:val="auto"/>
              </w:rPr>
              <w:t>(101,188)</w:t>
            </w:r>
          </w:p>
        </w:tc>
        <w:tc>
          <w:tcPr>
            <w:tcW w:w="100" w:type="dxa"/>
            <w:vAlign w:val="bottom"/>
            <w:tcBorders>
              <w:top w:val="single" w:sz="8" w:color="E5FFFF"/>
            </w:tcBorders>
            <w:shd w:val="clear" w:color="auto" w:fill="E5FFFF"/>
          </w:tcPr>
          <w:p>
            <w:pPr>
              <w:spacing w:after="0"/>
              <w:rPr>
                <w:sz w:val="17"/>
                <w:szCs w:val="17"/>
                <w:color w:val="auto"/>
              </w:rPr>
            </w:pPr>
          </w:p>
        </w:tc>
        <w:tc>
          <w:tcPr>
            <w:tcW w:w="1060" w:type="dxa"/>
            <w:vAlign w:val="bottom"/>
            <w:tcBorders>
              <w:top w:val="single" w:sz="8" w:color="auto"/>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6"/>
                <w:szCs w:val="16"/>
                <w:b w:val="1"/>
                <w:bCs w:val="1"/>
                <w:color w:val="auto"/>
              </w:rPr>
              <w:t>(256,988)</w:t>
            </w: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340" w:type="dxa"/>
            <w:vAlign w:val="bottom"/>
          </w:tcPr>
          <w:p>
            <w:pPr>
              <w:spacing w:after="0"/>
              <w:rPr>
                <w:sz w:val="21"/>
                <w:szCs w:val="21"/>
                <w:color w:val="auto"/>
              </w:rPr>
            </w:pPr>
          </w:p>
        </w:tc>
        <w:tc>
          <w:tcPr>
            <w:tcW w:w="4920" w:type="dxa"/>
            <w:vAlign w:val="bottom"/>
            <w:tcBorders>
              <w:bottom w:val="single" w:sz="8" w:color="E5FFFF"/>
            </w:tcBorders>
          </w:tcPr>
          <w:p>
            <w:pPr>
              <w:spacing w:after="0"/>
              <w:rPr>
                <w:sz w:val="20"/>
                <w:szCs w:val="20"/>
                <w:color w:val="auto"/>
              </w:rPr>
            </w:pPr>
            <w:r>
              <w:rPr>
                <w:rFonts w:ascii="Times New Roman" w:cs="Times New Roman" w:eastAsia="Times New Roman" w:hAnsi="Times New Roman"/>
                <w:sz w:val="16"/>
                <w:szCs w:val="16"/>
                <w:b w:val="1"/>
                <w:bCs w:val="1"/>
                <w:color w:val="auto"/>
              </w:rPr>
              <w:t>Profit for the period</w:t>
            </w:r>
          </w:p>
        </w:tc>
        <w:tc>
          <w:tcPr>
            <w:tcW w:w="1060" w:type="dxa"/>
            <w:vAlign w:val="bottom"/>
            <w:tcBorders>
              <w:bottom w:val="single" w:sz="8" w:color="E5FFFF"/>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68,703</w:t>
            </w:r>
          </w:p>
        </w:tc>
        <w:tc>
          <w:tcPr>
            <w:tcW w:w="120" w:type="dxa"/>
            <w:vAlign w:val="bottom"/>
            <w:tcBorders>
              <w:bottom w:val="single" w:sz="8" w:color="E5FFFF"/>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31,436</w:t>
            </w:r>
          </w:p>
        </w:tc>
        <w:tc>
          <w:tcPr>
            <w:tcW w:w="100" w:type="dxa"/>
            <w:vAlign w:val="bottom"/>
            <w:tcBorders>
              <w:bottom w:val="single" w:sz="8" w:color="E5FFFF"/>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297,247</w:t>
            </w:r>
          </w:p>
        </w:tc>
        <w:tc>
          <w:tcPr>
            <w:tcW w:w="100" w:type="dxa"/>
            <w:vAlign w:val="bottom"/>
            <w:tcBorders>
              <w:bottom w:val="single" w:sz="8" w:color="E5FFFF"/>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196,303</w:t>
            </w:r>
          </w:p>
        </w:tc>
        <w:tc>
          <w:tcPr>
            <w:tcW w:w="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5"/>
        </w:trPr>
        <w:tc>
          <w:tcPr>
            <w:tcW w:w="340" w:type="dxa"/>
            <w:vAlign w:val="bottom"/>
          </w:tcPr>
          <w:p>
            <w:pPr>
              <w:spacing w:after="0"/>
              <w:rPr>
                <w:sz w:val="16"/>
                <w:szCs w:val="16"/>
                <w:color w:val="auto"/>
              </w:rPr>
            </w:pPr>
          </w:p>
        </w:tc>
        <w:tc>
          <w:tcPr>
            <w:tcW w:w="4920" w:type="dxa"/>
            <w:vAlign w:val="bottom"/>
            <w:shd w:val="clear" w:color="auto" w:fill="E5FFFF"/>
          </w:tcPr>
          <w:p>
            <w:pPr>
              <w:spacing w:after="0" w:line="179" w:lineRule="exact"/>
              <w:rPr>
                <w:sz w:val="20"/>
                <w:szCs w:val="20"/>
                <w:color w:val="auto"/>
              </w:rPr>
            </w:pPr>
            <w:r>
              <w:rPr>
                <w:rFonts w:ascii="Times New Roman" w:cs="Times New Roman" w:eastAsia="Times New Roman" w:hAnsi="Times New Roman"/>
                <w:sz w:val="16"/>
                <w:szCs w:val="16"/>
                <w:color w:val="auto"/>
              </w:rPr>
              <w:t>Attributable to:</w:t>
            </w:r>
          </w:p>
        </w:tc>
        <w:tc>
          <w:tcPr>
            <w:tcW w:w="1060" w:type="dxa"/>
            <w:vAlign w:val="bottom"/>
            <w:shd w:val="clear" w:color="auto" w:fill="E5FFFF"/>
          </w:tcPr>
          <w:p>
            <w:pPr>
              <w:spacing w:after="0"/>
              <w:rPr>
                <w:sz w:val="16"/>
                <w:szCs w:val="16"/>
                <w:color w:val="auto"/>
              </w:rPr>
            </w:pPr>
          </w:p>
        </w:tc>
        <w:tc>
          <w:tcPr>
            <w:tcW w:w="1080" w:type="dxa"/>
            <w:vAlign w:val="bottom"/>
            <w:shd w:val="clear" w:color="auto" w:fill="E5FFFF"/>
          </w:tcPr>
          <w:p>
            <w:pPr>
              <w:spacing w:after="0"/>
              <w:rPr>
                <w:sz w:val="16"/>
                <w:szCs w:val="16"/>
                <w:color w:val="auto"/>
              </w:rPr>
            </w:pPr>
          </w:p>
        </w:tc>
        <w:tc>
          <w:tcPr>
            <w:tcW w:w="120" w:type="dxa"/>
            <w:vAlign w:val="bottom"/>
            <w:shd w:val="clear" w:color="auto" w:fill="E5FFFF"/>
          </w:tcPr>
          <w:p>
            <w:pPr>
              <w:spacing w:after="0"/>
              <w:rPr>
                <w:sz w:val="16"/>
                <w:szCs w:val="16"/>
                <w:color w:val="auto"/>
              </w:rPr>
            </w:pPr>
          </w:p>
        </w:tc>
        <w:tc>
          <w:tcPr>
            <w:tcW w:w="1060" w:type="dxa"/>
            <w:vAlign w:val="bottom"/>
            <w:shd w:val="clear" w:color="auto" w:fill="E5FFFF"/>
          </w:tcPr>
          <w:p>
            <w:pPr>
              <w:spacing w:after="0"/>
              <w:rPr>
                <w:sz w:val="16"/>
                <w:szCs w:val="16"/>
                <w:color w:val="auto"/>
              </w:rPr>
            </w:pPr>
          </w:p>
        </w:tc>
        <w:tc>
          <w:tcPr>
            <w:tcW w:w="100" w:type="dxa"/>
            <w:vAlign w:val="bottom"/>
            <w:shd w:val="clear" w:color="auto" w:fill="E5FFFF"/>
          </w:tcPr>
          <w:p>
            <w:pPr>
              <w:spacing w:after="0"/>
              <w:rPr>
                <w:sz w:val="16"/>
                <w:szCs w:val="16"/>
                <w:color w:val="auto"/>
              </w:rPr>
            </w:pPr>
          </w:p>
        </w:tc>
        <w:tc>
          <w:tcPr>
            <w:tcW w:w="1060" w:type="dxa"/>
            <w:vAlign w:val="bottom"/>
            <w:shd w:val="clear" w:color="auto" w:fill="E5FFFF"/>
          </w:tcPr>
          <w:p>
            <w:pPr>
              <w:spacing w:after="0"/>
              <w:rPr>
                <w:sz w:val="16"/>
                <w:szCs w:val="16"/>
                <w:color w:val="auto"/>
              </w:rPr>
            </w:pPr>
          </w:p>
        </w:tc>
        <w:tc>
          <w:tcPr>
            <w:tcW w:w="100" w:type="dxa"/>
            <w:vAlign w:val="bottom"/>
            <w:shd w:val="clear" w:color="auto" w:fill="E5FFFF"/>
          </w:tcPr>
          <w:p>
            <w:pPr>
              <w:spacing w:after="0"/>
              <w:rPr>
                <w:sz w:val="16"/>
                <w:szCs w:val="16"/>
                <w:color w:val="auto"/>
              </w:rPr>
            </w:pPr>
          </w:p>
        </w:tc>
        <w:tc>
          <w:tcPr>
            <w:tcW w:w="1060" w:type="dxa"/>
            <w:vAlign w:val="bottom"/>
            <w:shd w:val="clear" w:color="auto" w:fill="E5FFFF"/>
          </w:tcPr>
          <w:p>
            <w:pPr>
              <w:spacing w:after="0"/>
              <w:rPr>
                <w:sz w:val="16"/>
                <w:szCs w:val="16"/>
                <w:color w:val="auto"/>
              </w:rPr>
            </w:pPr>
          </w:p>
        </w:tc>
        <w:tc>
          <w:tcPr>
            <w:tcW w:w="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4920" w:type="dxa"/>
            <w:vAlign w:val="bottom"/>
          </w:tcPr>
          <w:p>
            <w:pPr>
              <w:spacing w:after="0"/>
              <w:rPr>
                <w:sz w:val="20"/>
                <w:szCs w:val="20"/>
                <w:color w:val="auto"/>
              </w:rPr>
            </w:pPr>
            <w:r>
              <w:rPr>
                <w:rFonts w:ascii="Times New Roman" w:cs="Times New Roman" w:eastAsia="Times New Roman" w:hAnsi="Times New Roman"/>
                <w:sz w:val="16"/>
                <w:szCs w:val="16"/>
                <w:color w:val="auto"/>
              </w:rPr>
              <w:t>Owners of the Group</w:t>
            </w:r>
          </w:p>
        </w:tc>
        <w:tc>
          <w:tcPr>
            <w:tcW w:w="226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39,009</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24,504</w:t>
            </w:r>
          </w:p>
        </w:tc>
        <w:tc>
          <w:tcPr>
            <w:tcW w:w="1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207,450</w:t>
            </w:r>
          </w:p>
        </w:tc>
        <w:tc>
          <w:tcPr>
            <w:tcW w:w="1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128,845</w:t>
            </w: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4920" w:type="dxa"/>
            <w:vAlign w:val="bottom"/>
            <w:shd w:val="clear" w:color="auto" w:fill="E5FFFF"/>
          </w:tcPr>
          <w:p>
            <w:pPr>
              <w:spacing w:after="0"/>
              <w:rPr>
                <w:sz w:val="20"/>
                <w:szCs w:val="20"/>
                <w:color w:val="auto"/>
              </w:rPr>
            </w:pPr>
            <w:r>
              <w:rPr>
                <w:rFonts w:ascii="Times New Roman" w:cs="Times New Roman" w:eastAsia="Times New Roman" w:hAnsi="Times New Roman"/>
                <w:sz w:val="16"/>
                <w:szCs w:val="16"/>
                <w:color w:val="auto"/>
              </w:rPr>
              <w:t>Non-controlling interests</w:t>
            </w:r>
          </w:p>
        </w:tc>
        <w:tc>
          <w:tcPr>
            <w:tcW w:w="2260" w:type="dxa"/>
            <w:vAlign w:val="bottom"/>
            <w:gridSpan w:val="3"/>
            <w:shd w:val="clear" w:color="auto" w:fill="E5FFFF"/>
          </w:tcPr>
          <w:p>
            <w:pPr>
              <w:jc w:val="right"/>
              <w:ind w:right="120"/>
              <w:spacing w:after="0"/>
              <w:rPr>
                <w:sz w:val="20"/>
                <w:szCs w:val="20"/>
                <w:color w:val="auto"/>
              </w:rPr>
            </w:pPr>
            <w:r>
              <w:rPr>
                <w:rFonts w:ascii="Times New Roman" w:cs="Times New Roman" w:eastAsia="Times New Roman" w:hAnsi="Times New Roman"/>
                <w:sz w:val="16"/>
                <w:szCs w:val="16"/>
                <w:color w:val="auto"/>
              </w:rPr>
              <w:t>29,694</w:t>
            </w:r>
          </w:p>
        </w:tc>
        <w:tc>
          <w:tcPr>
            <w:tcW w:w="106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6,932</w:t>
            </w:r>
          </w:p>
        </w:tc>
        <w:tc>
          <w:tcPr>
            <w:tcW w:w="100" w:type="dxa"/>
            <w:vAlign w:val="bottom"/>
            <w:shd w:val="clear" w:color="auto" w:fill="E5FFFF"/>
          </w:tcPr>
          <w:p>
            <w:pPr>
              <w:spacing w:after="0"/>
              <w:rPr>
                <w:sz w:val="17"/>
                <w:szCs w:val="17"/>
                <w:color w:val="auto"/>
              </w:rPr>
            </w:pPr>
          </w:p>
        </w:tc>
        <w:tc>
          <w:tcPr>
            <w:tcW w:w="106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89,797</w:t>
            </w:r>
          </w:p>
        </w:tc>
        <w:tc>
          <w:tcPr>
            <w:tcW w:w="100" w:type="dxa"/>
            <w:vAlign w:val="bottom"/>
            <w:shd w:val="clear" w:color="auto" w:fill="E5FFFF"/>
          </w:tcPr>
          <w:p>
            <w:pPr>
              <w:spacing w:after="0"/>
              <w:rPr>
                <w:sz w:val="17"/>
                <w:szCs w:val="17"/>
                <w:color w:val="auto"/>
              </w:rPr>
            </w:pPr>
          </w:p>
        </w:tc>
        <w:tc>
          <w:tcPr>
            <w:tcW w:w="106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67,458</w:t>
            </w: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40" w:type="dxa"/>
            <w:vAlign w:val="bottom"/>
          </w:tcPr>
          <w:p>
            <w:pPr>
              <w:spacing w:after="0"/>
              <w:rPr>
                <w:sz w:val="17"/>
                <w:szCs w:val="17"/>
                <w:color w:val="auto"/>
              </w:rPr>
            </w:pPr>
          </w:p>
        </w:tc>
        <w:tc>
          <w:tcPr>
            <w:tcW w:w="49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68,703</w:t>
            </w:r>
          </w:p>
        </w:tc>
        <w:tc>
          <w:tcPr>
            <w:tcW w:w="120" w:type="dxa"/>
            <w:vAlign w:val="bottom"/>
          </w:tcPr>
          <w:p>
            <w:pPr>
              <w:spacing w:after="0"/>
              <w:rPr>
                <w:sz w:val="17"/>
                <w:szCs w:val="17"/>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31,436</w:t>
            </w:r>
          </w:p>
        </w:tc>
        <w:tc>
          <w:tcPr>
            <w:tcW w:w="100" w:type="dxa"/>
            <w:vAlign w:val="bottom"/>
          </w:tcPr>
          <w:p>
            <w:pPr>
              <w:spacing w:after="0"/>
              <w:rPr>
                <w:sz w:val="17"/>
                <w:szCs w:val="17"/>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297,247</w:t>
            </w:r>
          </w:p>
        </w:tc>
        <w:tc>
          <w:tcPr>
            <w:tcW w:w="100" w:type="dxa"/>
            <w:vAlign w:val="bottom"/>
          </w:tcPr>
          <w:p>
            <w:pPr>
              <w:spacing w:after="0"/>
              <w:rPr>
                <w:sz w:val="17"/>
                <w:szCs w:val="17"/>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196,303</w:t>
            </w: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1060" w:type="dxa"/>
            <w:vAlign w:val="bottom"/>
            <w:vMerge w:val="restart"/>
          </w:tcPr>
          <w:p>
            <w:pPr>
              <w:jc w:val="right"/>
              <w:ind w:right="560"/>
              <w:spacing w:after="0"/>
              <w:rPr>
                <w:sz w:val="20"/>
                <w:szCs w:val="20"/>
                <w:color w:val="auto"/>
              </w:rPr>
            </w:pPr>
            <w:r>
              <w:rPr>
                <w:rFonts w:ascii="Times New Roman" w:cs="Times New Roman" w:eastAsia="Times New Roman" w:hAnsi="Times New Roman"/>
                <w:sz w:val="14"/>
                <w:szCs w:val="14"/>
                <w:color w:val="auto"/>
              </w:rPr>
              <w:t>10</w:t>
            </w: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5"/>
        </w:trPr>
        <w:tc>
          <w:tcPr>
            <w:tcW w:w="340" w:type="dxa"/>
            <w:vAlign w:val="bottom"/>
            <w:tcBorders>
              <w:bottom w:val="single" w:sz="8" w:color="auto"/>
            </w:tcBorders>
          </w:tcPr>
          <w:p>
            <w:pPr>
              <w:spacing w:after="0"/>
              <w:rPr>
                <w:sz w:val="24"/>
                <w:szCs w:val="24"/>
                <w:color w:val="auto"/>
              </w:rPr>
            </w:pPr>
          </w:p>
        </w:tc>
        <w:tc>
          <w:tcPr>
            <w:tcW w:w="49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vMerge w:val="continue"/>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7" w:right="339" w:bottom="1440" w:gutter="0" w:footer="0" w:header="0"/>
        </w:sectPr>
      </w:pPr>
    </w:p>
    <w:bookmarkStart w:id="10" w:name="page11"/>
    <w:bookmarkEnd w:id="1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9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GasLog Ltd. and its Subsidiaries</w:t>
            </w:r>
          </w:p>
        </w:tc>
        <w:tc>
          <w:tcPr>
            <w:tcW w:w="1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5"/>
        </w:trPr>
        <w:tc>
          <w:tcPr>
            <w:tcW w:w="79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Unaudited condensed consolidated statements of cash flows</w:t>
            </w:r>
          </w:p>
        </w:tc>
        <w:tc>
          <w:tcPr>
            <w:tcW w:w="1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79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For the years ended December 31, 2022 and 2023</w:t>
            </w:r>
          </w:p>
        </w:tc>
        <w:tc>
          <w:tcPr>
            <w:tcW w:w="1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79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(Amounts expressed in thousands of U.S. Dollars)</w:t>
            </w:r>
          </w:p>
        </w:tc>
        <w:tc>
          <w:tcPr>
            <w:tcW w:w="1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09"/>
        </w:trPr>
        <w:tc>
          <w:tcPr>
            <w:tcW w:w="340" w:type="dxa"/>
            <w:vAlign w:val="bottom"/>
          </w:tcPr>
          <w:p>
            <w:pPr>
              <w:spacing w:after="0"/>
              <w:rPr>
                <w:sz w:val="24"/>
                <w:szCs w:val="24"/>
                <w:color w:val="auto"/>
              </w:rPr>
            </w:pPr>
          </w:p>
        </w:tc>
        <w:tc>
          <w:tcPr>
            <w:tcW w:w="7580" w:type="dxa"/>
            <w:vAlign w:val="bottom"/>
          </w:tcPr>
          <w:p>
            <w:pPr>
              <w:spacing w:after="0"/>
              <w:rPr>
                <w:sz w:val="24"/>
                <w:szCs w:val="24"/>
                <w:color w:val="auto"/>
              </w:rPr>
            </w:pPr>
          </w:p>
        </w:tc>
        <w:tc>
          <w:tcPr>
            <w:tcW w:w="3080" w:type="dxa"/>
            <w:vAlign w:val="bottom"/>
            <w:gridSpan w:val="4"/>
          </w:tcPr>
          <w:p>
            <w:pPr>
              <w:jc w:val="right"/>
              <w:ind w:right="860"/>
              <w:spacing w:after="0"/>
              <w:rPr>
                <w:sz w:val="20"/>
                <w:szCs w:val="20"/>
                <w:color w:val="auto"/>
              </w:rPr>
            </w:pPr>
            <w:r>
              <w:rPr>
                <w:rFonts w:ascii="Times New Roman" w:cs="Times New Roman" w:eastAsia="Times New Roman" w:hAnsi="Times New Roman"/>
                <w:sz w:val="16"/>
                <w:szCs w:val="16"/>
                <w:b w:val="1"/>
                <w:bCs w:val="1"/>
                <w:color w:val="auto"/>
              </w:rPr>
              <w:t>For the years ended</w:t>
            </w: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7580" w:type="dxa"/>
            <w:vAlign w:val="bottom"/>
          </w:tcPr>
          <w:p>
            <w:pPr>
              <w:spacing w:after="0"/>
              <w:rPr>
                <w:sz w:val="17"/>
                <w:szCs w:val="17"/>
                <w:color w:val="auto"/>
              </w:rPr>
            </w:pPr>
          </w:p>
        </w:tc>
        <w:tc>
          <w:tcPr>
            <w:tcW w:w="1600" w:type="dxa"/>
            <w:vAlign w:val="bottom"/>
            <w:gridSpan w:val="2"/>
          </w:tcPr>
          <w:p>
            <w:pPr>
              <w:jc w:val="right"/>
              <w:ind w:right="48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48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340" w:type="dxa"/>
            <w:vAlign w:val="bottom"/>
          </w:tcPr>
          <w:p>
            <w:pPr>
              <w:spacing w:after="0"/>
              <w:rPr>
                <w:sz w:val="18"/>
                <w:szCs w:val="18"/>
                <w:color w:val="auto"/>
              </w:rPr>
            </w:pPr>
          </w:p>
        </w:tc>
        <w:tc>
          <w:tcPr>
            <w:tcW w:w="7580" w:type="dxa"/>
            <w:vAlign w:val="bottom"/>
            <w:tcBorders>
              <w:bottom w:val="single" w:sz="8" w:color="E5FFFF"/>
            </w:tcBorders>
          </w:tcPr>
          <w:p>
            <w:pPr>
              <w:spacing w:after="0"/>
              <w:rPr>
                <w:sz w:val="18"/>
                <w:szCs w:val="18"/>
                <w:color w:val="auto"/>
              </w:rPr>
            </w:pPr>
          </w:p>
        </w:tc>
        <w:tc>
          <w:tcPr>
            <w:tcW w:w="128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2022</w:t>
            </w:r>
          </w:p>
        </w:tc>
        <w:tc>
          <w:tcPr>
            <w:tcW w:w="320" w:type="dxa"/>
            <w:vAlign w:val="bottom"/>
            <w:tcBorders>
              <w:bottom w:val="single" w:sz="8" w:color="E5FFFF"/>
            </w:tcBorders>
          </w:tcPr>
          <w:p>
            <w:pPr>
              <w:spacing w:after="0"/>
              <w:rPr>
                <w:sz w:val="18"/>
                <w:szCs w:val="18"/>
                <w:color w:val="auto"/>
              </w:rPr>
            </w:pPr>
          </w:p>
        </w:tc>
        <w:tc>
          <w:tcPr>
            <w:tcW w:w="138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E5FFFF"/>
            </w:tcBorders>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340" w:type="dxa"/>
            <w:vAlign w:val="bottom"/>
          </w:tcPr>
          <w:p>
            <w:pPr>
              <w:spacing w:after="0"/>
              <w:rPr>
                <w:sz w:val="17"/>
                <w:szCs w:val="17"/>
                <w:color w:val="auto"/>
              </w:rPr>
            </w:pPr>
          </w:p>
        </w:tc>
        <w:tc>
          <w:tcPr>
            <w:tcW w:w="7580" w:type="dxa"/>
            <w:vAlign w:val="bottom"/>
            <w:shd w:val="clear" w:color="auto" w:fill="E5FFFF"/>
          </w:tcPr>
          <w:p>
            <w:pPr>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1280" w:type="dxa"/>
            <w:vAlign w:val="bottom"/>
            <w:shd w:val="clear" w:color="auto" w:fill="E5FFFF"/>
          </w:tcPr>
          <w:p>
            <w:pPr>
              <w:spacing w:after="0"/>
              <w:rPr>
                <w:sz w:val="17"/>
                <w:szCs w:val="17"/>
                <w:color w:val="auto"/>
              </w:rPr>
            </w:pPr>
          </w:p>
        </w:tc>
        <w:tc>
          <w:tcPr>
            <w:tcW w:w="320" w:type="dxa"/>
            <w:vAlign w:val="bottom"/>
            <w:shd w:val="clear" w:color="auto" w:fill="E5FFFF"/>
          </w:tcPr>
          <w:p>
            <w:pPr>
              <w:spacing w:after="0"/>
              <w:rPr>
                <w:sz w:val="17"/>
                <w:szCs w:val="17"/>
                <w:color w:val="auto"/>
              </w:rPr>
            </w:pPr>
          </w:p>
        </w:tc>
        <w:tc>
          <w:tcPr>
            <w:tcW w:w="138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7580" w:type="dxa"/>
            <w:vAlign w:val="bottom"/>
          </w:tcPr>
          <w:p>
            <w:pPr>
              <w:spacing w:after="0"/>
              <w:rPr>
                <w:sz w:val="20"/>
                <w:szCs w:val="20"/>
                <w:color w:val="auto"/>
              </w:rPr>
            </w:pPr>
            <w:r>
              <w:rPr>
                <w:rFonts w:ascii="Times New Roman" w:cs="Times New Roman" w:eastAsia="Times New Roman" w:hAnsi="Times New Roman"/>
                <w:sz w:val="16"/>
                <w:szCs w:val="16"/>
                <w:color w:val="auto"/>
              </w:rPr>
              <w:t>Profit for the year</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297,247</w:t>
            </w:r>
          </w:p>
        </w:tc>
        <w:tc>
          <w:tcPr>
            <w:tcW w:w="32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196,303</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7580" w:type="dxa"/>
            <w:vAlign w:val="bottom"/>
            <w:shd w:val="clear" w:color="auto" w:fill="E5FFFF"/>
          </w:tcPr>
          <w:p>
            <w:pPr>
              <w:spacing w:after="0"/>
              <w:rPr>
                <w:sz w:val="20"/>
                <w:szCs w:val="20"/>
                <w:color w:val="auto"/>
              </w:rPr>
            </w:pPr>
            <w:r>
              <w:rPr>
                <w:rFonts w:ascii="Times New Roman" w:cs="Times New Roman" w:eastAsia="Times New Roman" w:hAnsi="Times New Roman"/>
                <w:sz w:val="16"/>
                <w:szCs w:val="16"/>
                <w:color w:val="auto"/>
              </w:rPr>
              <w:t>Adjustments for:</w:t>
            </w:r>
          </w:p>
        </w:tc>
        <w:tc>
          <w:tcPr>
            <w:tcW w:w="1280" w:type="dxa"/>
            <w:vAlign w:val="bottom"/>
            <w:shd w:val="clear" w:color="auto" w:fill="E5FFFF"/>
          </w:tcPr>
          <w:p>
            <w:pPr>
              <w:spacing w:after="0"/>
              <w:rPr>
                <w:sz w:val="17"/>
                <w:szCs w:val="17"/>
                <w:color w:val="auto"/>
              </w:rPr>
            </w:pPr>
          </w:p>
        </w:tc>
        <w:tc>
          <w:tcPr>
            <w:tcW w:w="320" w:type="dxa"/>
            <w:vAlign w:val="bottom"/>
            <w:shd w:val="clear" w:color="auto" w:fill="E5FFFF"/>
          </w:tcPr>
          <w:p>
            <w:pPr>
              <w:spacing w:after="0"/>
              <w:rPr>
                <w:sz w:val="17"/>
                <w:szCs w:val="17"/>
                <w:color w:val="auto"/>
              </w:rPr>
            </w:pPr>
          </w:p>
        </w:tc>
        <w:tc>
          <w:tcPr>
            <w:tcW w:w="138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7580" w:type="dxa"/>
            <w:vAlign w:val="bottom"/>
          </w:tcPr>
          <w:p>
            <w:pPr>
              <w:spacing w:after="0"/>
              <w:rPr>
                <w:sz w:val="20"/>
                <w:szCs w:val="20"/>
                <w:color w:val="auto"/>
              </w:rPr>
            </w:pPr>
            <w:r>
              <w:rPr>
                <w:rFonts w:ascii="Times New Roman" w:cs="Times New Roman" w:eastAsia="Times New Roman" w:hAnsi="Times New Roman"/>
                <w:sz w:val="16"/>
                <w:szCs w:val="16"/>
                <w:color w:val="auto"/>
              </w:rPr>
              <w:t>Depreciation</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228,639</w:t>
            </w:r>
          </w:p>
        </w:tc>
        <w:tc>
          <w:tcPr>
            <w:tcW w:w="320" w:type="dxa"/>
            <w:vAlign w:val="bottom"/>
          </w:tcPr>
          <w:p>
            <w:pPr>
              <w:spacing w:after="0"/>
              <w:rPr>
                <w:sz w:val="17"/>
                <w:szCs w:val="17"/>
                <w:color w:val="auto"/>
              </w:rPr>
            </w:pP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238,711</w:t>
            </w: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7580" w:type="dxa"/>
            <w:vAlign w:val="bottom"/>
            <w:shd w:val="clear" w:color="auto" w:fill="E5FFFF"/>
          </w:tcPr>
          <w:p>
            <w:pPr>
              <w:spacing w:after="0"/>
              <w:rPr>
                <w:sz w:val="20"/>
                <w:szCs w:val="20"/>
                <w:color w:val="auto"/>
              </w:rPr>
            </w:pPr>
            <w:r>
              <w:rPr>
                <w:rFonts w:ascii="Times New Roman" w:cs="Times New Roman" w:eastAsia="Times New Roman" w:hAnsi="Times New Roman"/>
                <w:sz w:val="16"/>
                <w:szCs w:val="16"/>
                <w:color w:val="auto"/>
              </w:rPr>
              <w:t>Impairment loss</w:t>
            </w:r>
          </w:p>
        </w:tc>
        <w:tc>
          <w:tcPr>
            <w:tcW w:w="128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68,287</w:t>
            </w:r>
          </w:p>
        </w:tc>
        <w:tc>
          <w:tcPr>
            <w:tcW w:w="320" w:type="dxa"/>
            <w:vAlign w:val="bottom"/>
            <w:shd w:val="clear" w:color="auto" w:fill="E5FFFF"/>
          </w:tcPr>
          <w:p>
            <w:pPr>
              <w:spacing w:after="0"/>
              <w:rPr>
                <w:sz w:val="17"/>
                <w:szCs w:val="17"/>
                <w:color w:val="auto"/>
              </w:rPr>
            </w:pPr>
          </w:p>
        </w:tc>
        <w:tc>
          <w:tcPr>
            <w:tcW w:w="1480" w:type="dxa"/>
            <w:vAlign w:val="bottom"/>
            <w:gridSpan w:val="2"/>
            <w:shd w:val="clear" w:color="auto" w:fill="E5FFFF"/>
          </w:tcPr>
          <w:p>
            <w:pPr>
              <w:jc w:val="right"/>
              <w:ind w:right="100"/>
              <w:spacing w:after="0"/>
              <w:rPr>
                <w:sz w:val="20"/>
                <w:szCs w:val="20"/>
                <w:color w:val="auto"/>
              </w:rPr>
            </w:pPr>
            <w:r>
              <w:rPr>
                <w:rFonts w:ascii="Times New Roman" w:cs="Times New Roman" w:eastAsia="Times New Roman" w:hAnsi="Times New Roman"/>
                <w:sz w:val="16"/>
                <w:szCs w:val="16"/>
                <w:color w:val="auto"/>
              </w:rPr>
              <w:t>11,740</w:t>
            </w: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7580" w:type="dxa"/>
            <w:vAlign w:val="bottom"/>
          </w:tcPr>
          <w:p>
            <w:pPr>
              <w:spacing w:after="0"/>
              <w:rPr>
                <w:sz w:val="20"/>
                <w:szCs w:val="20"/>
                <w:color w:val="auto"/>
              </w:rPr>
            </w:pPr>
            <w:r>
              <w:rPr>
                <w:rFonts w:ascii="Times New Roman" w:cs="Times New Roman" w:eastAsia="Times New Roman" w:hAnsi="Times New Roman"/>
                <w:sz w:val="16"/>
                <w:szCs w:val="16"/>
                <w:color w:val="auto"/>
              </w:rPr>
              <w:t>Loss on disposal of non-current assets</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406</w:t>
            </w:r>
          </w:p>
        </w:tc>
        <w:tc>
          <w:tcPr>
            <w:tcW w:w="32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2,058</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7580" w:type="dxa"/>
            <w:vAlign w:val="bottom"/>
            <w:shd w:val="clear" w:color="auto" w:fill="E5FFFF"/>
          </w:tcPr>
          <w:p>
            <w:pPr>
              <w:spacing w:after="0"/>
              <w:rPr>
                <w:sz w:val="20"/>
                <w:szCs w:val="20"/>
                <w:color w:val="auto"/>
              </w:rPr>
            </w:pPr>
            <w:r>
              <w:rPr>
                <w:rFonts w:ascii="Times New Roman" w:cs="Times New Roman" w:eastAsia="Times New Roman" w:hAnsi="Times New Roman"/>
                <w:sz w:val="16"/>
                <w:szCs w:val="16"/>
                <w:color w:val="auto"/>
              </w:rPr>
              <w:t>Share of profit of associates</w:t>
            </w:r>
          </w:p>
        </w:tc>
        <w:tc>
          <w:tcPr>
            <w:tcW w:w="1600" w:type="dxa"/>
            <w:vAlign w:val="bottom"/>
            <w:gridSpan w:val="2"/>
            <w:shd w:val="clear" w:color="auto" w:fill="E5FFFF"/>
          </w:tcPr>
          <w:p>
            <w:pPr>
              <w:jc w:val="right"/>
              <w:ind w:right="260"/>
              <w:spacing w:after="0"/>
              <w:rPr>
                <w:sz w:val="20"/>
                <w:szCs w:val="20"/>
                <w:color w:val="auto"/>
              </w:rPr>
            </w:pPr>
            <w:r>
              <w:rPr>
                <w:rFonts w:ascii="Times New Roman" w:cs="Times New Roman" w:eastAsia="Times New Roman" w:hAnsi="Times New Roman"/>
                <w:sz w:val="16"/>
                <w:szCs w:val="16"/>
                <w:color w:val="auto"/>
              </w:rPr>
              <w:t>(4,562)</w:t>
            </w:r>
          </w:p>
        </w:tc>
        <w:tc>
          <w:tcPr>
            <w:tcW w:w="1480" w:type="dxa"/>
            <w:vAlign w:val="bottom"/>
            <w:gridSpan w:val="2"/>
            <w:shd w:val="clear" w:color="auto" w:fill="E5FFFF"/>
          </w:tcPr>
          <w:p>
            <w:pPr>
              <w:jc w:val="right"/>
              <w:ind w:right="40"/>
              <w:spacing w:after="0"/>
              <w:rPr>
                <w:sz w:val="20"/>
                <w:szCs w:val="20"/>
                <w:color w:val="auto"/>
              </w:rPr>
            </w:pPr>
            <w:r>
              <w:rPr>
                <w:rFonts w:ascii="Times New Roman" w:cs="Times New Roman" w:eastAsia="Times New Roman" w:hAnsi="Times New Roman"/>
                <w:sz w:val="16"/>
                <w:szCs w:val="16"/>
                <w:color w:val="auto"/>
              </w:rPr>
              <w:t>(2,190)</w:t>
            </w: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7580" w:type="dxa"/>
            <w:vAlign w:val="bottom"/>
          </w:tcPr>
          <w:p>
            <w:pPr>
              <w:spacing w:after="0"/>
              <w:rPr>
                <w:sz w:val="20"/>
                <w:szCs w:val="20"/>
                <w:color w:val="auto"/>
              </w:rPr>
            </w:pPr>
            <w:r>
              <w:rPr>
                <w:rFonts w:ascii="Times New Roman" w:cs="Times New Roman" w:eastAsia="Times New Roman" w:hAnsi="Times New Roman"/>
                <w:sz w:val="16"/>
                <w:szCs w:val="16"/>
                <w:color w:val="auto"/>
              </w:rPr>
              <w:t>Financial income</w:t>
            </w:r>
          </w:p>
        </w:tc>
        <w:tc>
          <w:tcPr>
            <w:tcW w:w="160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(4,118)</w:t>
            </w:r>
          </w:p>
        </w:tc>
        <w:tc>
          <w:tcPr>
            <w:tcW w:w="14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(14,879)</w:t>
            </w: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7580" w:type="dxa"/>
            <w:vAlign w:val="bottom"/>
            <w:shd w:val="clear" w:color="auto" w:fill="E5FFFF"/>
          </w:tcPr>
          <w:p>
            <w:pPr>
              <w:spacing w:after="0"/>
              <w:rPr>
                <w:sz w:val="20"/>
                <w:szCs w:val="20"/>
                <w:color w:val="auto"/>
              </w:rPr>
            </w:pPr>
            <w:r>
              <w:rPr>
                <w:rFonts w:ascii="Times New Roman" w:cs="Times New Roman" w:eastAsia="Times New Roman" w:hAnsi="Times New Roman"/>
                <w:sz w:val="16"/>
                <w:szCs w:val="16"/>
                <w:color w:val="auto"/>
              </w:rPr>
              <w:t>Financial costs</w:t>
            </w:r>
          </w:p>
        </w:tc>
        <w:tc>
          <w:tcPr>
            <w:tcW w:w="128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184,675</w:t>
            </w:r>
          </w:p>
        </w:tc>
        <w:tc>
          <w:tcPr>
            <w:tcW w:w="320" w:type="dxa"/>
            <w:vAlign w:val="bottom"/>
            <w:shd w:val="clear" w:color="auto" w:fill="E5FFFF"/>
          </w:tcPr>
          <w:p>
            <w:pPr>
              <w:spacing w:after="0"/>
              <w:rPr>
                <w:sz w:val="17"/>
                <w:szCs w:val="17"/>
                <w:color w:val="auto"/>
              </w:rPr>
            </w:pPr>
          </w:p>
        </w:tc>
        <w:tc>
          <w:tcPr>
            <w:tcW w:w="138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287,068</w:t>
            </w:r>
          </w:p>
        </w:tc>
        <w:tc>
          <w:tcPr>
            <w:tcW w:w="100" w:type="dxa"/>
            <w:vAlign w:val="bottom"/>
            <w:shd w:val="clear" w:color="auto" w:fill="E5FFFF"/>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340" w:type="dxa"/>
            <w:vAlign w:val="bottom"/>
          </w:tcPr>
          <w:p>
            <w:pPr>
              <w:spacing w:after="0"/>
              <w:rPr>
                <w:sz w:val="16"/>
                <w:szCs w:val="16"/>
                <w:color w:val="auto"/>
              </w:rPr>
            </w:pPr>
          </w:p>
        </w:tc>
        <w:tc>
          <w:tcPr>
            <w:tcW w:w="7580" w:type="dxa"/>
            <w:vAlign w:val="bottom"/>
          </w:tcPr>
          <w:p>
            <w:pPr>
              <w:spacing w:after="0"/>
              <w:rPr>
                <w:sz w:val="20"/>
                <w:szCs w:val="20"/>
                <w:color w:val="auto"/>
              </w:rPr>
            </w:pPr>
            <w:r>
              <w:rPr>
                <w:rFonts w:ascii="Times New Roman" w:cs="Times New Roman" w:eastAsia="Times New Roman" w:hAnsi="Times New Roman"/>
                <w:sz w:val="16"/>
                <w:szCs w:val="16"/>
                <w:color w:val="auto"/>
              </w:rPr>
              <w:t>Gain on derivatives (excluding realized loss/gain on forward foreign exchange contracts held for</w:t>
            </w:r>
          </w:p>
        </w:tc>
        <w:tc>
          <w:tcPr>
            <w:tcW w:w="12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340" w:type="dxa"/>
            <w:vAlign w:val="bottom"/>
          </w:tcPr>
          <w:p>
            <w:pPr>
              <w:spacing w:after="0"/>
              <w:rPr>
                <w:sz w:val="18"/>
                <w:szCs w:val="18"/>
                <w:color w:val="auto"/>
              </w:rPr>
            </w:pPr>
          </w:p>
        </w:tc>
        <w:tc>
          <w:tcPr>
            <w:tcW w:w="75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trading)</w:t>
            </w:r>
          </w:p>
        </w:tc>
        <w:tc>
          <w:tcPr>
            <w:tcW w:w="160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(80,742)</w:t>
            </w:r>
          </w:p>
        </w:tc>
        <w:tc>
          <w:tcPr>
            <w:tcW w:w="14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(10,520)</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340" w:type="dxa"/>
            <w:vAlign w:val="bottom"/>
          </w:tcPr>
          <w:p>
            <w:pPr>
              <w:spacing w:after="0"/>
              <w:rPr>
                <w:sz w:val="17"/>
                <w:szCs w:val="17"/>
                <w:color w:val="auto"/>
              </w:rPr>
            </w:pPr>
          </w:p>
        </w:tc>
        <w:tc>
          <w:tcPr>
            <w:tcW w:w="7580" w:type="dxa"/>
            <w:vAlign w:val="bottom"/>
            <w:shd w:val="clear" w:color="auto" w:fill="E5FFFF"/>
          </w:tcPr>
          <w:p>
            <w:pPr>
              <w:spacing w:after="0"/>
              <w:rPr>
                <w:sz w:val="20"/>
                <w:szCs w:val="20"/>
                <w:color w:val="auto"/>
              </w:rPr>
            </w:pPr>
            <w:r>
              <w:rPr>
                <w:rFonts w:ascii="Times New Roman" w:cs="Times New Roman" w:eastAsia="Times New Roman" w:hAnsi="Times New Roman"/>
                <w:sz w:val="16"/>
                <w:szCs w:val="16"/>
                <w:color w:val="auto"/>
              </w:rPr>
              <w:t>Share-based compensation</w:t>
            </w:r>
          </w:p>
        </w:tc>
        <w:tc>
          <w:tcPr>
            <w:tcW w:w="1280" w:type="dxa"/>
            <w:vAlign w:val="bottom"/>
            <w:tcBorders>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760</w:t>
            </w:r>
          </w:p>
        </w:tc>
        <w:tc>
          <w:tcPr>
            <w:tcW w:w="320" w:type="dxa"/>
            <w:vAlign w:val="bottom"/>
            <w:shd w:val="clear" w:color="auto" w:fill="E5FFFF"/>
          </w:tcPr>
          <w:p>
            <w:pPr>
              <w:spacing w:after="0"/>
              <w:rPr>
                <w:sz w:val="17"/>
                <w:szCs w:val="17"/>
                <w:color w:val="auto"/>
              </w:rPr>
            </w:pPr>
          </w:p>
        </w:tc>
        <w:tc>
          <w:tcPr>
            <w:tcW w:w="1380" w:type="dxa"/>
            <w:vAlign w:val="bottom"/>
            <w:tcBorders>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1,357</w:t>
            </w:r>
          </w:p>
        </w:tc>
        <w:tc>
          <w:tcPr>
            <w:tcW w:w="100" w:type="dxa"/>
            <w:vAlign w:val="bottom"/>
            <w:shd w:val="clear" w:color="auto" w:fill="E5FFFF"/>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40" w:type="dxa"/>
            <w:vAlign w:val="bottom"/>
          </w:tcPr>
          <w:p>
            <w:pPr>
              <w:spacing w:after="0"/>
              <w:rPr>
                <w:sz w:val="17"/>
                <w:szCs w:val="17"/>
                <w:color w:val="auto"/>
              </w:rPr>
            </w:pPr>
          </w:p>
        </w:tc>
        <w:tc>
          <w:tcPr>
            <w:tcW w:w="7580" w:type="dxa"/>
            <w:vAlign w:val="bottom"/>
            <w:tcBorders>
              <w:bottom w:val="single" w:sz="8" w:color="E5FFFF"/>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690,592</w:t>
            </w:r>
          </w:p>
        </w:tc>
        <w:tc>
          <w:tcPr>
            <w:tcW w:w="320" w:type="dxa"/>
            <w:vAlign w:val="bottom"/>
            <w:tcBorders>
              <w:bottom w:val="single" w:sz="8" w:color="E5FFFF"/>
            </w:tcBorders>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709,648</w:t>
            </w:r>
          </w:p>
        </w:tc>
        <w:tc>
          <w:tcPr>
            <w:tcW w:w="100" w:type="dxa"/>
            <w:vAlign w:val="bottom"/>
            <w:tcBorders>
              <w:bottom w:val="single" w:sz="8" w:color="E5FFFF"/>
            </w:tcBorders>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40" w:type="dxa"/>
            <w:vAlign w:val="bottom"/>
          </w:tcPr>
          <w:p>
            <w:pPr>
              <w:spacing w:after="0"/>
              <w:rPr>
                <w:sz w:val="17"/>
                <w:szCs w:val="17"/>
                <w:color w:val="auto"/>
              </w:rPr>
            </w:pPr>
          </w:p>
        </w:tc>
        <w:tc>
          <w:tcPr>
            <w:tcW w:w="7580" w:type="dxa"/>
            <w:vAlign w:val="bottom"/>
            <w:shd w:val="clear" w:color="auto" w:fill="E5FFFF"/>
          </w:tcPr>
          <w:p>
            <w:pPr>
              <w:spacing w:after="0"/>
              <w:rPr>
                <w:sz w:val="20"/>
                <w:szCs w:val="20"/>
                <w:color w:val="auto"/>
              </w:rPr>
            </w:pPr>
            <w:r>
              <w:rPr>
                <w:rFonts w:ascii="Times New Roman" w:cs="Times New Roman" w:eastAsia="Times New Roman" w:hAnsi="Times New Roman"/>
                <w:sz w:val="16"/>
                <w:szCs w:val="16"/>
                <w:color w:val="auto"/>
              </w:rPr>
              <w:t>Movements in working capital</w:t>
            </w:r>
          </w:p>
        </w:tc>
        <w:tc>
          <w:tcPr>
            <w:tcW w:w="1280" w:type="dxa"/>
            <w:vAlign w:val="bottom"/>
            <w:tcBorders>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8,320</w:t>
            </w:r>
          </w:p>
        </w:tc>
        <w:tc>
          <w:tcPr>
            <w:tcW w:w="320" w:type="dxa"/>
            <w:vAlign w:val="bottom"/>
            <w:shd w:val="clear" w:color="auto" w:fill="E5FFFF"/>
          </w:tcPr>
          <w:p>
            <w:pPr>
              <w:spacing w:after="0"/>
              <w:rPr>
                <w:sz w:val="17"/>
                <w:szCs w:val="17"/>
                <w:color w:val="auto"/>
              </w:rPr>
            </w:pPr>
          </w:p>
        </w:tc>
        <w:tc>
          <w:tcPr>
            <w:tcW w:w="1380" w:type="dxa"/>
            <w:vAlign w:val="bottom"/>
            <w:tcBorders>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(21,078)</w:t>
            </w:r>
          </w:p>
        </w:tc>
        <w:tc>
          <w:tcPr>
            <w:tcW w:w="100" w:type="dxa"/>
            <w:vAlign w:val="bottom"/>
            <w:shd w:val="clear" w:color="auto" w:fill="E5FFFF"/>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40" w:type="dxa"/>
            <w:vAlign w:val="bottom"/>
          </w:tcPr>
          <w:p>
            <w:pPr>
              <w:spacing w:after="0"/>
              <w:rPr>
                <w:sz w:val="17"/>
                <w:szCs w:val="17"/>
                <w:color w:val="auto"/>
              </w:rPr>
            </w:pPr>
          </w:p>
        </w:tc>
        <w:tc>
          <w:tcPr>
            <w:tcW w:w="7580" w:type="dxa"/>
            <w:vAlign w:val="bottom"/>
            <w:tcBorders>
              <w:bottom w:val="single" w:sz="8" w:color="E5FFFF"/>
            </w:tcBorders>
          </w:tcPr>
          <w:p>
            <w:pPr>
              <w:spacing w:after="0"/>
              <w:rPr>
                <w:sz w:val="20"/>
                <w:szCs w:val="20"/>
                <w:color w:val="auto"/>
              </w:rPr>
            </w:pPr>
            <w:r>
              <w:rPr>
                <w:rFonts w:ascii="Times New Roman" w:cs="Times New Roman" w:eastAsia="Times New Roman" w:hAnsi="Times New Roman"/>
                <w:sz w:val="16"/>
                <w:szCs w:val="16"/>
                <w:b w:val="1"/>
                <w:bCs w:val="1"/>
                <w:color w:val="auto"/>
              </w:rPr>
              <w:t>Net cash provided by operating activities</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698,912</w:t>
            </w:r>
          </w:p>
        </w:tc>
        <w:tc>
          <w:tcPr>
            <w:tcW w:w="320" w:type="dxa"/>
            <w:vAlign w:val="bottom"/>
            <w:tcBorders>
              <w:bottom w:val="single" w:sz="8" w:color="E5FFFF"/>
            </w:tcBorders>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688,570</w:t>
            </w:r>
          </w:p>
        </w:tc>
        <w:tc>
          <w:tcPr>
            <w:tcW w:w="100" w:type="dxa"/>
            <w:vAlign w:val="bottom"/>
            <w:tcBorders>
              <w:bottom w:val="single" w:sz="8" w:color="E5FFFF"/>
            </w:tcBorders>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40" w:type="dxa"/>
            <w:vAlign w:val="bottom"/>
          </w:tcPr>
          <w:p>
            <w:pPr>
              <w:spacing w:after="0"/>
              <w:rPr>
                <w:sz w:val="17"/>
                <w:szCs w:val="17"/>
                <w:color w:val="auto"/>
              </w:rPr>
            </w:pPr>
          </w:p>
        </w:tc>
        <w:tc>
          <w:tcPr>
            <w:tcW w:w="7580" w:type="dxa"/>
            <w:vAlign w:val="bottom"/>
            <w:shd w:val="clear" w:color="auto" w:fill="E5FFFF"/>
          </w:tcPr>
          <w:p>
            <w:pPr>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1280" w:type="dxa"/>
            <w:vAlign w:val="bottom"/>
            <w:shd w:val="clear" w:color="auto" w:fill="E5FFFF"/>
          </w:tcPr>
          <w:p>
            <w:pPr>
              <w:spacing w:after="0"/>
              <w:rPr>
                <w:sz w:val="17"/>
                <w:szCs w:val="17"/>
                <w:color w:val="auto"/>
              </w:rPr>
            </w:pPr>
          </w:p>
        </w:tc>
        <w:tc>
          <w:tcPr>
            <w:tcW w:w="320" w:type="dxa"/>
            <w:vAlign w:val="bottom"/>
            <w:shd w:val="clear" w:color="auto" w:fill="E5FFFF"/>
          </w:tcPr>
          <w:p>
            <w:pPr>
              <w:spacing w:after="0"/>
              <w:rPr>
                <w:sz w:val="17"/>
                <w:szCs w:val="17"/>
                <w:color w:val="auto"/>
              </w:rPr>
            </w:pPr>
          </w:p>
        </w:tc>
        <w:tc>
          <w:tcPr>
            <w:tcW w:w="138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7580" w:type="dxa"/>
            <w:vAlign w:val="bottom"/>
          </w:tcPr>
          <w:p>
            <w:pPr>
              <w:spacing w:after="0"/>
              <w:rPr>
                <w:sz w:val="20"/>
                <w:szCs w:val="20"/>
                <w:color w:val="auto"/>
              </w:rPr>
            </w:pPr>
            <w:r>
              <w:rPr>
                <w:rFonts w:ascii="Times New Roman" w:cs="Times New Roman" w:eastAsia="Times New Roman" w:hAnsi="Times New Roman"/>
                <w:sz w:val="16"/>
                <w:szCs w:val="16"/>
                <w:color w:val="auto"/>
              </w:rPr>
              <w:t>Payments for tangible fixed assets and vessels under construction</w:t>
            </w:r>
          </w:p>
        </w:tc>
        <w:tc>
          <w:tcPr>
            <w:tcW w:w="160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(193,464)</w:t>
            </w:r>
          </w:p>
        </w:tc>
        <w:tc>
          <w:tcPr>
            <w:tcW w:w="14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(227,736)</w:t>
            </w: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7580" w:type="dxa"/>
            <w:vAlign w:val="bottom"/>
            <w:shd w:val="clear" w:color="auto" w:fill="E5FFFF"/>
          </w:tcPr>
          <w:p>
            <w:pPr>
              <w:spacing w:after="0"/>
              <w:rPr>
                <w:sz w:val="20"/>
                <w:szCs w:val="20"/>
                <w:color w:val="auto"/>
              </w:rPr>
            </w:pPr>
            <w:r>
              <w:rPr>
                <w:rFonts w:ascii="Times New Roman" w:cs="Times New Roman" w:eastAsia="Times New Roman" w:hAnsi="Times New Roman"/>
                <w:sz w:val="16"/>
                <w:szCs w:val="16"/>
                <w:color w:val="auto"/>
              </w:rPr>
              <w:t>Proceeds from sale and sale and leasebacks of tangible fixed assets, net</w:t>
            </w:r>
          </w:p>
        </w:tc>
        <w:tc>
          <w:tcPr>
            <w:tcW w:w="128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225,429</w:t>
            </w:r>
          </w:p>
        </w:tc>
        <w:tc>
          <w:tcPr>
            <w:tcW w:w="320" w:type="dxa"/>
            <w:vAlign w:val="bottom"/>
            <w:shd w:val="clear" w:color="auto" w:fill="E5FFFF"/>
          </w:tcPr>
          <w:p>
            <w:pPr>
              <w:spacing w:after="0"/>
              <w:rPr>
                <w:sz w:val="17"/>
                <w:szCs w:val="17"/>
                <w:color w:val="auto"/>
              </w:rPr>
            </w:pPr>
          </w:p>
        </w:tc>
        <w:tc>
          <w:tcPr>
            <w:tcW w:w="138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331,998</w:t>
            </w:r>
          </w:p>
        </w:tc>
        <w:tc>
          <w:tcPr>
            <w:tcW w:w="100" w:type="dxa"/>
            <w:vAlign w:val="bottom"/>
            <w:shd w:val="clear" w:color="auto" w:fill="E5FFFF"/>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40" w:type="dxa"/>
            <w:vAlign w:val="bottom"/>
          </w:tcPr>
          <w:p>
            <w:pPr>
              <w:spacing w:after="0"/>
              <w:rPr>
                <w:sz w:val="17"/>
                <w:szCs w:val="17"/>
                <w:color w:val="auto"/>
              </w:rPr>
            </w:pPr>
          </w:p>
        </w:tc>
        <w:tc>
          <w:tcPr>
            <w:tcW w:w="7580" w:type="dxa"/>
            <w:vAlign w:val="bottom"/>
          </w:tcPr>
          <w:p>
            <w:pPr>
              <w:spacing w:after="0"/>
              <w:rPr>
                <w:sz w:val="20"/>
                <w:szCs w:val="20"/>
                <w:color w:val="auto"/>
              </w:rPr>
            </w:pPr>
            <w:r>
              <w:rPr>
                <w:rFonts w:ascii="Times New Roman" w:cs="Times New Roman" w:eastAsia="Times New Roman" w:hAnsi="Times New Roman"/>
                <w:sz w:val="16"/>
                <w:szCs w:val="16"/>
                <w:color w:val="auto"/>
              </w:rPr>
              <w:t>Proceeds from FSRU forthcoming sale</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108,632</w:t>
            </w:r>
          </w:p>
        </w:tc>
        <w:tc>
          <w:tcPr>
            <w:tcW w:w="32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136,949</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7580" w:type="dxa"/>
            <w:vAlign w:val="bottom"/>
            <w:shd w:val="clear" w:color="auto" w:fill="E5FFFF"/>
          </w:tcPr>
          <w:p>
            <w:pPr>
              <w:spacing w:after="0"/>
              <w:rPr>
                <w:sz w:val="20"/>
                <w:szCs w:val="20"/>
                <w:color w:val="auto"/>
              </w:rPr>
            </w:pPr>
            <w:r>
              <w:rPr>
                <w:rFonts w:ascii="Times New Roman" w:cs="Times New Roman" w:eastAsia="Times New Roman" w:hAnsi="Times New Roman"/>
                <w:sz w:val="16"/>
                <w:szCs w:val="16"/>
                <w:color w:val="auto"/>
              </w:rPr>
              <w:t>Other investments</w:t>
            </w:r>
          </w:p>
        </w:tc>
        <w:tc>
          <w:tcPr>
            <w:tcW w:w="1600" w:type="dxa"/>
            <w:vAlign w:val="bottom"/>
            <w:gridSpan w:val="2"/>
            <w:shd w:val="clear" w:color="auto" w:fill="E5FFFF"/>
          </w:tcPr>
          <w:p>
            <w:pPr>
              <w:jc w:val="right"/>
              <w:ind w:right="260"/>
              <w:spacing w:after="0"/>
              <w:rPr>
                <w:sz w:val="20"/>
                <w:szCs w:val="20"/>
                <w:color w:val="auto"/>
              </w:rPr>
            </w:pPr>
            <w:r>
              <w:rPr>
                <w:rFonts w:ascii="Times New Roman" w:cs="Times New Roman" w:eastAsia="Times New Roman" w:hAnsi="Times New Roman"/>
                <w:sz w:val="16"/>
                <w:szCs w:val="16"/>
                <w:color w:val="auto"/>
              </w:rPr>
              <w:t>(753)</w:t>
            </w:r>
          </w:p>
        </w:tc>
        <w:tc>
          <w:tcPr>
            <w:tcW w:w="1480" w:type="dxa"/>
            <w:vAlign w:val="bottom"/>
            <w:gridSpan w:val="2"/>
            <w:shd w:val="clear" w:color="auto" w:fill="E5FFFF"/>
          </w:tcPr>
          <w:p>
            <w:pPr>
              <w:jc w:val="right"/>
              <w:ind w:right="40"/>
              <w:spacing w:after="0"/>
              <w:rPr>
                <w:sz w:val="20"/>
                <w:szCs w:val="20"/>
                <w:color w:val="auto"/>
              </w:rPr>
            </w:pPr>
            <w:r>
              <w:rPr>
                <w:rFonts w:ascii="Times New Roman" w:cs="Times New Roman" w:eastAsia="Times New Roman" w:hAnsi="Times New Roman"/>
                <w:sz w:val="16"/>
                <w:szCs w:val="16"/>
                <w:color w:val="auto"/>
              </w:rPr>
              <w:t>(13,493)</w:t>
            </w: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7580" w:type="dxa"/>
            <w:vAlign w:val="bottom"/>
          </w:tcPr>
          <w:p>
            <w:pPr>
              <w:spacing w:after="0"/>
              <w:rPr>
                <w:sz w:val="20"/>
                <w:szCs w:val="20"/>
                <w:color w:val="auto"/>
              </w:rPr>
            </w:pPr>
            <w:r>
              <w:rPr>
                <w:rFonts w:ascii="Times New Roman" w:cs="Times New Roman" w:eastAsia="Times New Roman" w:hAnsi="Times New Roman"/>
                <w:sz w:val="16"/>
                <w:szCs w:val="16"/>
                <w:color w:val="auto"/>
              </w:rPr>
              <w:t>Payments for right-of-use assets</w:t>
            </w:r>
          </w:p>
        </w:tc>
        <w:tc>
          <w:tcPr>
            <w:tcW w:w="160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(25)</w:t>
            </w:r>
          </w:p>
        </w:tc>
        <w:tc>
          <w:tcPr>
            <w:tcW w:w="14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(10,136)</w:t>
            </w: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7580" w:type="dxa"/>
            <w:vAlign w:val="bottom"/>
            <w:shd w:val="clear" w:color="auto" w:fill="E5FFFF"/>
          </w:tcPr>
          <w:p>
            <w:pPr>
              <w:spacing w:after="0"/>
              <w:rPr>
                <w:sz w:val="20"/>
                <w:szCs w:val="20"/>
                <w:color w:val="auto"/>
              </w:rPr>
            </w:pPr>
            <w:r>
              <w:rPr>
                <w:rFonts w:ascii="Times New Roman" w:cs="Times New Roman" w:eastAsia="Times New Roman" w:hAnsi="Times New Roman"/>
                <w:sz w:val="16"/>
                <w:szCs w:val="16"/>
                <w:color w:val="auto"/>
              </w:rPr>
              <w:t>Dividends received from associate</w:t>
            </w:r>
          </w:p>
        </w:tc>
        <w:tc>
          <w:tcPr>
            <w:tcW w:w="1600" w:type="dxa"/>
            <w:vAlign w:val="bottom"/>
            <w:gridSpan w:val="2"/>
            <w:shd w:val="clear" w:color="auto" w:fill="E5FFFF"/>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1,175</w:t>
            </w:r>
          </w:p>
        </w:tc>
        <w:tc>
          <w:tcPr>
            <w:tcW w:w="100" w:type="dxa"/>
            <w:vAlign w:val="bottom"/>
            <w:shd w:val="clear" w:color="auto" w:fill="E5FFFF"/>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7580" w:type="dxa"/>
            <w:vAlign w:val="bottom"/>
          </w:tcPr>
          <w:p>
            <w:pPr>
              <w:spacing w:after="0"/>
              <w:rPr>
                <w:sz w:val="20"/>
                <w:szCs w:val="20"/>
                <w:color w:val="auto"/>
              </w:rPr>
            </w:pPr>
            <w:r>
              <w:rPr>
                <w:rFonts w:ascii="Times New Roman" w:cs="Times New Roman" w:eastAsia="Times New Roman" w:hAnsi="Times New Roman"/>
                <w:sz w:val="16"/>
                <w:szCs w:val="16"/>
                <w:color w:val="auto"/>
              </w:rPr>
              <w:t>Purchase of short-term cash deposits</w:t>
            </w:r>
          </w:p>
        </w:tc>
        <w:tc>
          <w:tcPr>
            <w:tcW w:w="160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(61,000)</w:t>
            </w:r>
          </w:p>
        </w:tc>
        <w:tc>
          <w:tcPr>
            <w:tcW w:w="14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(117,144)</w:t>
            </w: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7580" w:type="dxa"/>
            <w:vAlign w:val="bottom"/>
            <w:shd w:val="clear" w:color="auto" w:fill="E5FFFF"/>
          </w:tcPr>
          <w:p>
            <w:pPr>
              <w:spacing w:after="0"/>
              <w:rPr>
                <w:sz w:val="20"/>
                <w:szCs w:val="20"/>
                <w:color w:val="auto"/>
              </w:rPr>
            </w:pPr>
            <w:r>
              <w:rPr>
                <w:rFonts w:ascii="Times New Roman" w:cs="Times New Roman" w:eastAsia="Times New Roman" w:hAnsi="Times New Roman"/>
                <w:sz w:val="16"/>
                <w:szCs w:val="16"/>
                <w:color w:val="auto"/>
              </w:rPr>
              <w:t>Maturity of short-term cash deposits</w:t>
            </w:r>
          </w:p>
        </w:tc>
        <w:tc>
          <w:tcPr>
            <w:tcW w:w="128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25,000</w:t>
            </w:r>
          </w:p>
        </w:tc>
        <w:tc>
          <w:tcPr>
            <w:tcW w:w="320" w:type="dxa"/>
            <w:vAlign w:val="bottom"/>
            <w:shd w:val="clear" w:color="auto" w:fill="E5FFFF"/>
          </w:tcPr>
          <w:p>
            <w:pPr>
              <w:spacing w:after="0"/>
              <w:rPr>
                <w:sz w:val="17"/>
                <w:szCs w:val="17"/>
                <w:color w:val="auto"/>
              </w:rPr>
            </w:pPr>
          </w:p>
        </w:tc>
        <w:tc>
          <w:tcPr>
            <w:tcW w:w="138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143,144</w:t>
            </w:r>
          </w:p>
        </w:tc>
        <w:tc>
          <w:tcPr>
            <w:tcW w:w="100" w:type="dxa"/>
            <w:vAlign w:val="bottom"/>
            <w:shd w:val="clear" w:color="auto" w:fill="E5FFFF"/>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7580" w:type="dxa"/>
            <w:vAlign w:val="bottom"/>
            <w:tcBorders>
              <w:bottom w:val="single" w:sz="8" w:color="E5FFFF"/>
            </w:tcBorders>
          </w:tcPr>
          <w:p>
            <w:pPr>
              <w:spacing w:after="0"/>
              <w:rPr>
                <w:sz w:val="20"/>
                <w:szCs w:val="20"/>
                <w:color w:val="auto"/>
              </w:rPr>
            </w:pPr>
            <w:r>
              <w:rPr>
                <w:rFonts w:ascii="Times New Roman" w:cs="Times New Roman" w:eastAsia="Times New Roman" w:hAnsi="Times New Roman"/>
                <w:sz w:val="16"/>
                <w:szCs w:val="16"/>
                <w:color w:val="auto"/>
              </w:rPr>
              <w:t>Financial income received</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3,554</w:t>
            </w:r>
          </w:p>
        </w:tc>
        <w:tc>
          <w:tcPr>
            <w:tcW w:w="320" w:type="dxa"/>
            <w:vAlign w:val="bottom"/>
            <w:tcBorders>
              <w:bottom w:val="single" w:sz="8" w:color="E5FFFF"/>
            </w:tcBorders>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14,813</w:t>
            </w:r>
          </w:p>
        </w:tc>
        <w:tc>
          <w:tcPr>
            <w:tcW w:w="100" w:type="dxa"/>
            <w:vAlign w:val="bottom"/>
            <w:tcBorders>
              <w:bottom w:val="single" w:sz="8" w:color="E5FFFF"/>
            </w:tcBorders>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40" w:type="dxa"/>
            <w:vAlign w:val="bottom"/>
          </w:tcPr>
          <w:p>
            <w:pPr>
              <w:spacing w:after="0"/>
              <w:rPr>
                <w:sz w:val="17"/>
                <w:szCs w:val="17"/>
                <w:color w:val="auto"/>
              </w:rPr>
            </w:pPr>
          </w:p>
        </w:tc>
        <w:tc>
          <w:tcPr>
            <w:tcW w:w="7580" w:type="dxa"/>
            <w:vAlign w:val="bottom"/>
            <w:shd w:val="clear" w:color="auto" w:fill="E5FFFF"/>
          </w:tcPr>
          <w:p>
            <w:pPr>
              <w:spacing w:after="0"/>
              <w:rPr>
                <w:sz w:val="20"/>
                <w:szCs w:val="20"/>
                <w:color w:val="auto"/>
              </w:rPr>
            </w:pPr>
            <w:r>
              <w:rPr>
                <w:rFonts w:ascii="Times New Roman" w:cs="Times New Roman" w:eastAsia="Times New Roman" w:hAnsi="Times New Roman"/>
                <w:sz w:val="16"/>
                <w:szCs w:val="16"/>
                <w:b w:val="1"/>
                <w:bCs w:val="1"/>
                <w:color w:val="auto"/>
              </w:rPr>
              <w:t>Net cash provided by investing activities</w:t>
            </w:r>
          </w:p>
        </w:tc>
        <w:tc>
          <w:tcPr>
            <w:tcW w:w="1280" w:type="dxa"/>
            <w:vAlign w:val="bottom"/>
            <w:tcBorders>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6"/>
                <w:szCs w:val="16"/>
                <w:b w:val="1"/>
                <w:bCs w:val="1"/>
                <w:color w:val="auto"/>
              </w:rPr>
              <w:t>107,373</w:t>
            </w:r>
          </w:p>
        </w:tc>
        <w:tc>
          <w:tcPr>
            <w:tcW w:w="320" w:type="dxa"/>
            <w:vAlign w:val="bottom"/>
            <w:shd w:val="clear" w:color="auto" w:fill="E5FFFF"/>
          </w:tcPr>
          <w:p>
            <w:pPr>
              <w:spacing w:after="0"/>
              <w:rPr>
                <w:sz w:val="17"/>
                <w:szCs w:val="17"/>
                <w:color w:val="auto"/>
              </w:rPr>
            </w:pPr>
          </w:p>
        </w:tc>
        <w:tc>
          <w:tcPr>
            <w:tcW w:w="1380" w:type="dxa"/>
            <w:vAlign w:val="bottom"/>
            <w:tcBorders>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6"/>
                <w:szCs w:val="16"/>
                <w:b w:val="1"/>
                <w:bCs w:val="1"/>
                <w:color w:val="auto"/>
              </w:rPr>
              <w:t>259,570</w:t>
            </w:r>
          </w:p>
        </w:tc>
        <w:tc>
          <w:tcPr>
            <w:tcW w:w="100" w:type="dxa"/>
            <w:vAlign w:val="bottom"/>
            <w:shd w:val="clear" w:color="auto" w:fill="E5FFFF"/>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340" w:type="dxa"/>
            <w:vAlign w:val="bottom"/>
          </w:tcPr>
          <w:p>
            <w:pPr>
              <w:spacing w:after="0"/>
              <w:rPr>
                <w:sz w:val="16"/>
                <w:szCs w:val="16"/>
                <w:color w:val="auto"/>
              </w:rPr>
            </w:pPr>
          </w:p>
        </w:tc>
        <w:tc>
          <w:tcPr>
            <w:tcW w:w="75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12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340" w:type="dxa"/>
            <w:vAlign w:val="bottom"/>
          </w:tcPr>
          <w:p>
            <w:pPr>
              <w:spacing w:after="0"/>
              <w:rPr>
                <w:sz w:val="17"/>
                <w:szCs w:val="17"/>
                <w:color w:val="auto"/>
              </w:rPr>
            </w:pPr>
          </w:p>
        </w:tc>
        <w:tc>
          <w:tcPr>
            <w:tcW w:w="7580" w:type="dxa"/>
            <w:vAlign w:val="bottom"/>
            <w:shd w:val="clear" w:color="auto" w:fill="E5FFFF"/>
          </w:tcPr>
          <w:p>
            <w:pPr>
              <w:spacing w:after="0"/>
              <w:rPr>
                <w:sz w:val="20"/>
                <w:szCs w:val="20"/>
                <w:color w:val="auto"/>
              </w:rPr>
            </w:pPr>
            <w:r>
              <w:rPr>
                <w:rFonts w:ascii="Times New Roman" w:cs="Times New Roman" w:eastAsia="Times New Roman" w:hAnsi="Times New Roman"/>
                <w:sz w:val="16"/>
                <w:szCs w:val="16"/>
                <w:color w:val="auto"/>
              </w:rPr>
              <w:t>Proceeds from loans and bonds, net of discount</w:t>
            </w:r>
          </w:p>
        </w:tc>
        <w:tc>
          <w:tcPr>
            <w:tcW w:w="128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374,659</w:t>
            </w:r>
          </w:p>
        </w:tc>
        <w:tc>
          <w:tcPr>
            <w:tcW w:w="320" w:type="dxa"/>
            <w:vAlign w:val="bottom"/>
            <w:shd w:val="clear" w:color="auto" w:fill="E5FFFF"/>
          </w:tcPr>
          <w:p>
            <w:pPr>
              <w:spacing w:after="0"/>
              <w:rPr>
                <w:sz w:val="17"/>
                <w:szCs w:val="17"/>
                <w:color w:val="auto"/>
              </w:rPr>
            </w:pPr>
          </w:p>
        </w:tc>
        <w:tc>
          <w:tcPr>
            <w:tcW w:w="138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2,431,355</w:t>
            </w:r>
          </w:p>
        </w:tc>
        <w:tc>
          <w:tcPr>
            <w:tcW w:w="100" w:type="dxa"/>
            <w:vAlign w:val="bottom"/>
            <w:shd w:val="clear" w:color="auto" w:fill="E5FFFF"/>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7580" w:type="dxa"/>
            <w:vAlign w:val="bottom"/>
          </w:tcPr>
          <w:p>
            <w:pPr>
              <w:spacing w:after="0"/>
              <w:rPr>
                <w:sz w:val="20"/>
                <w:szCs w:val="20"/>
                <w:color w:val="auto"/>
              </w:rPr>
            </w:pPr>
            <w:r>
              <w:rPr>
                <w:rFonts w:ascii="Times New Roman" w:cs="Times New Roman" w:eastAsia="Times New Roman" w:hAnsi="Times New Roman"/>
                <w:sz w:val="16"/>
                <w:szCs w:val="16"/>
                <w:color w:val="auto"/>
              </w:rPr>
              <w:t>Loan and bond repayments</w:t>
            </w:r>
          </w:p>
        </w:tc>
        <w:tc>
          <w:tcPr>
            <w:tcW w:w="160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(729,849)</w:t>
            </w:r>
          </w:p>
        </w:tc>
        <w:tc>
          <w:tcPr>
            <w:tcW w:w="14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(2,676,420)</w:t>
            </w: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40" w:type="dxa"/>
            <w:vAlign w:val="bottom"/>
          </w:tcPr>
          <w:p>
            <w:pPr>
              <w:spacing w:after="0"/>
              <w:rPr>
                <w:sz w:val="17"/>
                <w:szCs w:val="17"/>
                <w:color w:val="auto"/>
              </w:rPr>
            </w:pPr>
          </w:p>
        </w:tc>
        <w:tc>
          <w:tcPr>
            <w:tcW w:w="7580" w:type="dxa"/>
            <w:vAlign w:val="bottom"/>
            <w:shd w:val="clear" w:color="auto" w:fill="E5FFFF"/>
          </w:tcPr>
          <w:p>
            <w:pPr>
              <w:spacing w:after="0"/>
              <w:rPr>
                <w:sz w:val="20"/>
                <w:szCs w:val="20"/>
                <w:color w:val="auto"/>
              </w:rPr>
            </w:pPr>
            <w:r>
              <w:rPr>
                <w:rFonts w:ascii="Times New Roman" w:cs="Times New Roman" w:eastAsia="Times New Roman" w:hAnsi="Times New Roman"/>
                <w:sz w:val="16"/>
                <w:szCs w:val="16"/>
                <w:color w:val="auto"/>
              </w:rPr>
              <w:t>Principal elements of lease payments</w:t>
            </w:r>
          </w:p>
        </w:tc>
        <w:tc>
          <w:tcPr>
            <w:tcW w:w="1600" w:type="dxa"/>
            <w:vAlign w:val="bottom"/>
            <w:gridSpan w:val="2"/>
            <w:shd w:val="clear" w:color="auto" w:fill="E5FFFF"/>
          </w:tcPr>
          <w:p>
            <w:pPr>
              <w:jc w:val="right"/>
              <w:ind w:right="260"/>
              <w:spacing w:after="0"/>
              <w:rPr>
                <w:sz w:val="20"/>
                <w:szCs w:val="20"/>
                <w:color w:val="auto"/>
              </w:rPr>
            </w:pPr>
            <w:r>
              <w:rPr>
                <w:rFonts w:ascii="Times New Roman" w:cs="Times New Roman" w:eastAsia="Times New Roman" w:hAnsi="Times New Roman"/>
                <w:sz w:val="16"/>
                <w:szCs w:val="16"/>
                <w:color w:val="auto"/>
              </w:rPr>
              <w:t>(42,262)</w:t>
            </w:r>
          </w:p>
        </w:tc>
        <w:tc>
          <w:tcPr>
            <w:tcW w:w="1480" w:type="dxa"/>
            <w:vAlign w:val="bottom"/>
            <w:gridSpan w:val="2"/>
            <w:shd w:val="clear" w:color="auto" w:fill="E5FFFF"/>
          </w:tcPr>
          <w:p>
            <w:pPr>
              <w:jc w:val="right"/>
              <w:ind w:right="40"/>
              <w:spacing w:after="0"/>
              <w:rPr>
                <w:sz w:val="20"/>
                <w:szCs w:val="20"/>
                <w:color w:val="auto"/>
              </w:rPr>
            </w:pPr>
            <w:r>
              <w:rPr>
                <w:rFonts w:ascii="Times New Roman" w:cs="Times New Roman" w:eastAsia="Times New Roman" w:hAnsi="Times New Roman"/>
                <w:sz w:val="16"/>
                <w:szCs w:val="16"/>
                <w:color w:val="auto"/>
              </w:rPr>
              <w:t>(62,858)</w:t>
            </w: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7580" w:type="dxa"/>
            <w:vAlign w:val="bottom"/>
          </w:tcPr>
          <w:p>
            <w:pPr>
              <w:spacing w:after="0"/>
              <w:rPr>
                <w:sz w:val="20"/>
                <w:szCs w:val="20"/>
                <w:color w:val="auto"/>
              </w:rPr>
            </w:pPr>
            <w:r>
              <w:rPr>
                <w:rFonts w:ascii="Times New Roman" w:cs="Times New Roman" w:eastAsia="Times New Roman" w:hAnsi="Times New Roman"/>
                <w:sz w:val="16"/>
                <w:szCs w:val="16"/>
                <w:color w:val="auto"/>
              </w:rPr>
              <w:t>Interest paid</w:t>
            </w:r>
          </w:p>
        </w:tc>
        <w:tc>
          <w:tcPr>
            <w:tcW w:w="160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(164,499)</w:t>
            </w:r>
          </w:p>
        </w:tc>
        <w:tc>
          <w:tcPr>
            <w:tcW w:w="14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(252,917)</w:t>
            </w: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7580" w:type="dxa"/>
            <w:vAlign w:val="bottom"/>
            <w:shd w:val="clear" w:color="auto" w:fill="E5FFFF"/>
          </w:tcPr>
          <w:p>
            <w:pPr>
              <w:spacing w:after="0"/>
              <w:rPr>
                <w:sz w:val="20"/>
                <w:szCs w:val="20"/>
                <w:color w:val="auto"/>
              </w:rPr>
            </w:pPr>
            <w:r>
              <w:rPr>
                <w:rFonts w:ascii="Times New Roman" w:cs="Times New Roman" w:eastAsia="Times New Roman" w:hAnsi="Times New Roman"/>
                <w:sz w:val="16"/>
                <w:szCs w:val="16"/>
                <w:color w:val="auto"/>
              </w:rPr>
              <w:t>Release of cash collaterals for swaps</w:t>
            </w:r>
          </w:p>
        </w:tc>
        <w:tc>
          <w:tcPr>
            <w:tcW w:w="128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990</w:t>
            </w:r>
          </w:p>
        </w:tc>
        <w:tc>
          <w:tcPr>
            <w:tcW w:w="320" w:type="dxa"/>
            <w:vAlign w:val="bottom"/>
            <w:shd w:val="clear" w:color="auto" w:fill="E5FFFF"/>
          </w:tcPr>
          <w:p>
            <w:pPr>
              <w:spacing w:after="0"/>
              <w:rPr>
                <w:sz w:val="17"/>
                <w:szCs w:val="17"/>
                <w:color w:val="auto"/>
              </w:rPr>
            </w:pPr>
          </w:p>
        </w:tc>
        <w:tc>
          <w:tcPr>
            <w:tcW w:w="1480" w:type="dxa"/>
            <w:vAlign w:val="bottom"/>
            <w:gridSpan w:val="2"/>
            <w:shd w:val="clear" w:color="auto" w:fill="E5FF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7580" w:type="dxa"/>
            <w:vAlign w:val="bottom"/>
          </w:tcPr>
          <w:p>
            <w:pPr>
              <w:spacing w:after="0"/>
              <w:rPr>
                <w:sz w:val="20"/>
                <w:szCs w:val="20"/>
                <w:color w:val="auto"/>
              </w:rPr>
            </w:pPr>
            <w:r>
              <w:rPr>
                <w:rFonts w:ascii="Times New Roman" w:cs="Times New Roman" w:eastAsia="Times New Roman" w:hAnsi="Times New Roman"/>
                <w:sz w:val="16"/>
                <w:szCs w:val="16"/>
                <w:color w:val="auto"/>
              </w:rPr>
              <w:t>Payment of loan and bond issuance costs, net</w:t>
            </w:r>
          </w:p>
        </w:tc>
        <w:tc>
          <w:tcPr>
            <w:tcW w:w="160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(5,188)</w:t>
            </w:r>
          </w:p>
        </w:tc>
        <w:tc>
          <w:tcPr>
            <w:tcW w:w="14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(40,756)</w:t>
            </w: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7580" w:type="dxa"/>
            <w:vAlign w:val="bottom"/>
            <w:shd w:val="clear" w:color="auto" w:fill="E5FFFF"/>
          </w:tcPr>
          <w:p>
            <w:pPr>
              <w:spacing w:after="0"/>
              <w:rPr>
                <w:sz w:val="20"/>
                <w:szCs w:val="20"/>
                <w:color w:val="auto"/>
              </w:rPr>
            </w:pPr>
            <w:r>
              <w:rPr>
                <w:rFonts w:ascii="Times New Roman" w:cs="Times New Roman" w:eastAsia="Times New Roman" w:hAnsi="Times New Roman"/>
                <w:sz w:val="16"/>
                <w:szCs w:val="16"/>
                <w:color w:val="auto"/>
              </w:rPr>
              <w:t>Proceeds from interest rate swaps termination</w:t>
            </w:r>
          </w:p>
        </w:tc>
        <w:tc>
          <w:tcPr>
            <w:tcW w:w="1600" w:type="dxa"/>
            <w:vAlign w:val="bottom"/>
            <w:gridSpan w:val="2"/>
            <w:shd w:val="clear" w:color="auto" w:fill="E5FFFF"/>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35,789</w:t>
            </w:r>
          </w:p>
        </w:tc>
        <w:tc>
          <w:tcPr>
            <w:tcW w:w="100" w:type="dxa"/>
            <w:vAlign w:val="bottom"/>
            <w:shd w:val="clear" w:color="auto" w:fill="E5FFFF"/>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7580" w:type="dxa"/>
            <w:vAlign w:val="bottom"/>
          </w:tcPr>
          <w:p>
            <w:pPr>
              <w:spacing w:after="0"/>
              <w:rPr>
                <w:sz w:val="20"/>
                <w:szCs w:val="20"/>
                <w:color w:val="auto"/>
              </w:rPr>
            </w:pPr>
            <w:r>
              <w:rPr>
                <w:rFonts w:ascii="Times New Roman" w:cs="Times New Roman" w:eastAsia="Times New Roman" w:hAnsi="Times New Roman"/>
                <w:sz w:val="16"/>
                <w:szCs w:val="16"/>
                <w:color w:val="auto"/>
              </w:rPr>
              <w:t>Payment of equity raising costs</w:t>
            </w:r>
          </w:p>
        </w:tc>
        <w:tc>
          <w:tcPr>
            <w:tcW w:w="160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(20)</w:t>
            </w: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7580" w:type="dxa"/>
            <w:vAlign w:val="bottom"/>
            <w:shd w:val="clear" w:color="auto" w:fill="E5FFFF"/>
          </w:tcPr>
          <w:p>
            <w:pPr>
              <w:spacing w:after="0"/>
              <w:rPr>
                <w:sz w:val="20"/>
                <w:szCs w:val="20"/>
                <w:color w:val="auto"/>
              </w:rPr>
            </w:pPr>
            <w:r>
              <w:rPr>
                <w:rFonts w:ascii="Times New Roman" w:cs="Times New Roman" w:eastAsia="Times New Roman" w:hAnsi="Times New Roman"/>
                <w:sz w:val="16"/>
                <w:szCs w:val="16"/>
                <w:color w:val="auto"/>
              </w:rPr>
              <w:t>Merger consideration – Transaction (including special distribution)</w:t>
            </w:r>
          </w:p>
        </w:tc>
        <w:tc>
          <w:tcPr>
            <w:tcW w:w="1600" w:type="dxa"/>
            <w:vAlign w:val="bottom"/>
            <w:gridSpan w:val="2"/>
            <w:shd w:val="clear" w:color="auto" w:fill="E5FFFF"/>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gridSpan w:val="2"/>
            <w:shd w:val="clear" w:color="auto" w:fill="E5FFFF"/>
          </w:tcPr>
          <w:p>
            <w:pPr>
              <w:jc w:val="right"/>
              <w:ind w:right="40"/>
              <w:spacing w:after="0"/>
              <w:rPr>
                <w:sz w:val="20"/>
                <w:szCs w:val="20"/>
                <w:color w:val="auto"/>
              </w:rPr>
            </w:pPr>
            <w:r>
              <w:rPr>
                <w:rFonts w:ascii="Times New Roman" w:cs="Times New Roman" w:eastAsia="Times New Roman" w:hAnsi="Times New Roman"/>
                <w:sz w:val="16"/>
                <w:szCs w:val="16"/>
                <w:color w:val="auto"/>
              </w:rPr>
              <w:t>(316,234)</w:t>
            </w: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7580" w:type="dxa"/>
            <w:vAlign w:val="bottom"/>
          </w:tcPr>
          <w:p>
            <w:pPr>
              <w:spacing w:after="0"/>
              <w:rPr>
                <w:sz w:val="20"/>
                <w:szCs w:val="20"/>
                <w:color w:val="auto"/>
              </w:rPr>
            </w:pPr>
            <w:r>
              <w:rPr>
                <w:rFonts w:ascii="Times New Roman" w:cs="Times New Roman" w:eastAsia="Times New Roman" w:hAnsi="Times New Roman"/>
                <w:sz w:val="16"/>
                <w:szCs w:val="16"/>
                <w:color w:val="auto"/>
              </w:rPr>
              <w:t>Dividends paid (common and preference)</w:t>
            </w:r>
          </w:p>
        </w:tc>
        <w:tc>
          <w:tcPr>
            <w:tcW w:w="160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(105,277)</w:t>
            </w:r>
          </w:p>
        </w:tc>
        <w:tc>
          <w:tcPr>
            <w:tcW w:w="14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(104,059)</w:t>
            </w: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7580" w:type="dxa"/>
            <w:vAlign w:val="bottom"/>
            <w:shd w:val="clear" w:color="auto" w:fill="E5FFFF"/>
          </w:tcPr>
          <w:p>
            <w:pPr>
              <w:spacing w:after="0"/>
              <w:rPr>
                <w:sz w:val="20"/>
                <w:szCs w:val="20"/>
                <w:color w:val="auto"/>
              </w:rPr>
            </w:pPr>
            <w:r>
              <w:rPr>
                <w:rFonts w:ascii="Times New Roman" w:cs="Times New Roman" w:eastAsia="Times New Roman" w:hAnsi="Times New Roman"/>
                <w:sz w:val="16"/>
                <w:szCs w:val="16"/>
                <w:color w:val="auto"/>
              </w:rPr>
              <w:t>Repurchase of GasLog’s Series A Preference Shares and GasLog Partners’ preference units</w:t>
            </w:r>
          </w:p>
        </w:tc>
        <w:tc>
          <w:tcPr>
            <w:tcW w:w="1600" w:type="dxa"/>
            <w:vAlign w:val="bottom"/>
            <w:gridSpan w:val="2"/>
            <w:shd w:val="clear" w:color="auto" w:fill="E5FFFF"/>
          </w:tcPr>
          <w:p>
            <w:pPr>
              <w:jc w:val="right"/>
              <w:ind w:right="260"/>
              <w:spacing w:after="0"/>
              <w:rPr>
                <w:sz w:val="20"/>
                <w:szCs w:val="20"/>
                <w:color w:val="auto"/>
              </w:rPr>
            </w:pPr>
            <w:r>
              <w:rPr>
                <w:rFonts w:ascii="Times New Roman" w:cs="Times New Roman" w:eastAsia="Times New Roman" w:hAnsi="Times New Roman"/>
                <w:sz w:val="16"/>
                <w:szCs w:val="16"/>
                <w:color w:val="auto"/>
              </w:rPr>
              <w:t>(49,244)</w:t>
            </w:r>
          </w:p>
        </w:tc>
        <w:tc>
          <w:tcPr>
            <w:tcW w:w="1480" w:type="dxa"/>
            <w:vAlign w:val="bottom"/>
            <w:gridSpan w:val="2"/>
            <w:shd w:val="clear" w:color="auto" w:fill="E5FFFF"/>
          </w:tcPr>
          <w:p>
            <w:pPr>
              <w:jc w:val="right"/>
              <w:ind w:right="40"/>
              <w:spacing w:after="0"/>
              <w:rPr>
                <w:sz w:val="20"/>
                <w:szCs w:val="20"/>
                <w:color w:val="auto"/>
              </w:rPr>
            </w:pPr>
            <w:r>
              <w:rPr>
                <w:rFonts w:ascii="Times New Roman" w:cs="Times New Roman" w:eastAsia="Times New Roman" w:hAnsi="Times New Roman"/>
                <w:sz w:val="16"/>
                <w:szCs w:val="16"/>
                <w:color w:val="auto"/>
              </w:rPr>
              <w:t>(1,440)</w:t>
            </w: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7580" w:type="dxa"/>
            <w:vAlign w:val="bottom"/>
          </w:tcPr>
          <w:p>
            <w:pPr>
              <w:spacing w:after="0"/>
              <w:rPr>
                <w:sz w:val="20"/>
                <w:szCs w:val="20"/>
                <w:color w:val="auto"/>
              </w:rPr>
            </w:pPr>
            <w:r>
              <w:rPr>
                <w:rFonts w:ascii="Times New Roman" w:cs="Times New Roman" w:eastAsia="Times New Roman" w:hAnsi="Times New Roman"/>
                <w:sz w:val="16"/>
                <w:szCs w:val="16"/>
                <w:color w:val="auto"/>
              </w:rPr>
              <w:t>Partial redemption of Series A Preference Shares</w:t>
            </w:r>
          </w:p>
        </w:tc>
        <w:tc>
          <w:tcPr>
            <w:tcW w:w="160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(108,612)</w:t>
            </w: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40" w:type="dxa"/>
            <w:vAlign w:val="bottom"/>
          </w:tcPr>
          <w:p>
            <w:pPr>
              <w:spacing w:after="0"/>
              <w:rPr>
                <w:sz w:val="17"/>
                <w:szCs w:val="17"/>
                <w:color w:val="auto"/>
              </w:rPr>
            </w:pPr>
          </w:p>
        </w:tc>
        <w:tc>
          <w:tcPr>
            <w:tcW w:w="7580" w:type="dxa"/>
            <w:vAlign w:val="bottom"/>
            <w:tcBorders>
              <w:top w:val="single" w:sz="8" w:color="E5FFFF"/>
            </w:tcBorders>
            <w:shd w:val="clear" w:color="auto" w:fill="E5FFFF"/>
          </w:tcPr>
          <w:p>
            <w:pPr>
              <w:spacing w:after="0"/>
              <w:rPr>
                <w:sz w:val="20"/>
                <w:szCs w:val="20"/>
                <w:color w:val="auto"/>
              </w:rPr>
            </w:pPr>
            <w:r>
              <w:rPr>
                <w:rFonts w:ascii="Times New Roman" w:cs="Times New Roman" w:eastAsia="Times New Roman" w:hAnsi="Times New Roman"/>
                <w:sz w:val="16"/>
                <w:szCs w:val="16"/>
                <w:b w:val="1"/>
                <w:bCs w:val="1"/>
                <w:color w:val="auto"/>
              </w:rPr>
              <w:t>Net cash used in financing activities</w:t>
            </w:r>
          </w:p>
        </w:tc>
        <w:tc>
          <w:tcPr>
            <w:tcW w:w="1280" w:type="dxa"/>
            <w:vAlign w:val="bottom"/>
            <w:tcBorders>
              <w:top w:val="single" w:sz="8" w:color="auto"/>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6"/>
                <w:szCs w:val="16"/>
                <w:b w:val="1"/>
                <w:bCs w:val="1"/>
                <w:color w:val="auto"/>
              </w:rPr>
              <w:t>(720,690)</w:t>
            </w:r>
          </w:p>
        </w:tc>
        <w:tc>
          <w:tcPr>
            <w:tcW w:w="320" w:type="dxa"/>
            <w:vAlign w:val="bottom"/>
            <w:tcBorders>
              <w:top w:val="single" w:sz="8" w:color="E5FFFF"/>
            </w:tcBorders>
            <w:shd w:val="clear" w:color="auto" w:fill="E5FFFF"/>
          </w:tcPr>
          <w:p>
            <w:pPr>
              <w:spacing w:after="0"/>
              <w:rPr>
                <w:sz w:val="17"/>
                <w:szCs w:val="17"/>
                <w:color w:val="auto"/>
              </w:rPr>
            </w:pPr>
          </w:p>
        </w:tc>
        <w:tc>
          <w:tcPr>
            <w:tcW w:w="1380" w:type="dxa"/>
            <w:vAlign w:val="bottom"/>
            <w:tcBorders>
              <w:top w:val="single" w:sz="8" w:color="auto"/>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6"/>
                <w:szCs w:val="16"/>
                <w:b w:val="1"/>
                <w:bCs w:val="1"/>
                <w:color w:val="auto"/>
              </w:rPr>
              <w:t>(1,096,152)</w:t>
            </w:r>
          </w:p>
        </w:tc>
        <w:tc>
          <w:tcPr>
            <w:tcW w:w="100" w:type="dxa"/>
            <w:vAlign w:val="bottom"/>
            <w:tcBorders>
              <w:top w:val="single" w:sz="8" w:color="E5FFFF"/>
            </w:tcBorders>
            <w:shd w:val="clear" w:color="auto" w:fill="E5FFFF"/>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40" w:type="dxa"/>
            <w:vAlign w:val="bottom"/>
          </w:tcPr>
          <w:p>
            <w:pPr>
              <w:spacing w:after="0"/>
              <w:rPr>
                <w:sz w:val="17"/>
                <w:szCs w:val="17"/>
                <w:color w:val="auto"/>
              </w:rPr>
            </w:pPr>
          </w:p>
        </w:tc>
        <w:tc>
          <w:tcPr>
            <w:tcW w:w="7580" w:type="dxa"/>
            <w:vAlign w:val="bottom"/>
            <w:tcBorders>
              <w:bottom w:val="single" w:sz="8" w:color="E5FFFF"/>
            </w:tcBorders>
          </w:tcPr>
          <w:p>
            <w:pPr>
              <w:spacing w:after="0"/>
              <w:rPr>
                <w:sz w:val="20"/>
                <w:szCs w:val="20"/>
                <w:color w:val="auto"/>
              </w:rPr>
            </w:pPr>
            <w:r>
              <w:rPr>
                <w:rFonts w:ascii="Times New Roman" w:cs="Times New Roman" w:eastAsia="Times New Roman" w:hAnsi="Times New Roman"/>
                <w:sz w:val="16"/>
                <w:szCs w:val="16"/>
                <w:color w:val="auto"/>
              </w:rPr>
              <w:t>Effects of exchange rate changes on cash and cash equivalents</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445</w:t>
            </w:r>
          </w:p>
        </w:tc>
        <w:tc>
          <w:tcPr>
            <w:tcW w:w="320" w:type="dxa"/>
            <w:vAlign w:val="bottom"/>
            <w:tcBorders>
              <w:bottom w:val="single" w:sz="8" w:color="E5FFFF"/>
            </w:tcBorders>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1,097</w:t>
            </w:r>
          </w:p>
        </w:tc>
        <w:tc>
          <w:tcPr>
            <w:tcW w:w="100" w:type="dxa"/>
            <w:vAlign w:val="bottom"/>
            <w:tcBorders>
              <w:bottom w:val="single" w:sz="8" w:color="E5FFFF"/>
            </w:tcBorders>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40" w:type="dxa"/>
            <w:vAlign w:val="bottom"/>
          </w:tcPr>
          <w:p>
            <w:pPr>
              <w:spacing w:after="0"/>
              <w:rPr>
                <w:sz w:val="17"/>
                <w:szCs w:val="17"/>
                <w:color w:val="auto"/>
              </w:rPr>
            </w:pPr>
          </w:p>
        </w:tc>
        <w:tc>
          <w:tcPr>
            <w:tcW w:w="7580" w:type="dxa"/>
            <w:vAlign w:val="bottom"/>
            <w:shd w:val="clear" w:color="auto" w:fill="E5FFFF"/>
          </w:tcPr>
          <w:p>
            <w:pPr>
              <w:spacing w:after="0"/>
              <w:rPr>
                <w:sz w:val="20"/>
                <w:szCs w:val="20"/>
                <w:color w:val="auto"/>
              </w:rPr>
            </w:pPr>
            <w:r>
              <w:rPr>
                <w:rFonts w:ascii="Times New Roman" w:cs="Times New Roman" w:eastAsia="Times New Roman" w:hAnsi="Times New Roman"/>
                <w:sz w:val="16"/>
                <w:szCs w:val="16"/>
                <w:b w:val="1"/>
                <w:bCs w:val="1"/>
                <w:color w:val="auto"/>
              </w:rPr>
              <w:t>Increase/(decrease) in cash and cash equivalents</w:t>
            </w:r>
          </w:p>
        </w:tc>
        <w:tc>
          <w:tcPr>
            <w:tcW w:w="1280" w:type="dxa"/>
            <w:vAlign w:val="bottom"/>
            <w:tcBorders>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6"/>
                <w:szCs w:val="16"/>
                <w:b w:val="1"/>
                <w:bCs w:val="1"/>
                <w:color w:val="auto"/>
              </w:rPr>
              <w:t>86,040</w:t>
            </w:r>
          </w:p>
        </w:tc>
        <w:tc>
          <w:tcPr>
            <w:tcW w:w="320" w:type="dxa"/>
            <w:vAlign w:val="bottom"/>
            <w:shd w:val="clear" w:color="auto" w:fill="E5FFFF"/>
          </w:tcPr>
          <w:p>
            <w:pPr>
              <w:spacing w:after="0"/>
              <w:rPr>
                <w:sz w:val="17"/>
                <w:szCs w:val="17"/>
                <w:color w:val="auto"/>
              </w:rPr>
            </w:pPr>
          </w:p>
        </w:tc>
        <w:tc>
          <w:tcPr>
            <w:tcW w:w="1380" w:type="dxa"/>
            <w:vAlign w:val="bottom"/>
            <w:tcBorders>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6"/>
                <w:szCs w:val="16"/>
                <w:b w:val="1"/>
                <w:bCs w:val="1"/>
                <w:color w:val="auto"/>
              </w:rPr>
              <w:t>(146,915)</w:t>
            </w:r>
          </w:p>
        </w:tc>
        <w:tc>
          <w:tcPr>
            <w:tcW w:w="100" w:type="dxa"/>
            <w:vAlign w:val="bottom"/>
            <w:shd w:val="clear" w:color="auto" w:fill="E5FFFF"/>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40" w:type="dxa"/>
            <w:vAlign w:val="bottom"/>
          </w:tcPr>
          <w:p>
            <w:pPr>
              <w:spacing w:after="0"/>
              <w:rPr>
                <w:sz w:val="17"/>
                <w:szCs w:val="17"/>
                <w:color w:val="auto"/>
              </w:rPr>
            </w:pPr>
          </w:p>
        </w:tc>
        <w:tc>
          <w:tcPr>
            <w:tcW w:w="7580" w:type="dxa"/>
            <w:vAlign w:val="bottom"/>
            <w:tcBorders>
              <w:bottom w:val="single" w:sz="8" w:color="E5FFFF"/>
            </w:tcBorders>
          </w:tcPr>
          <w:p>
            <w:pPr>
              <w:spacing w:after="0"/>
              <w:rPr>
                <w:sz w:val="20"/>
                <w:szCs w:val="20"/>
                <w:color w:val="auto"/>
              </w:rPr>
            </w:pPr>
            <w:r>
              <w:rPr>
                <w:rFonts w:ascii="Times New Roman" w:cs="Times New Roman" w:eastAsia="Times New Roman" w:hAnsi="Times New Roman"/>
                <w:sz w:val="16"/>
                <w:szCs w:val="16"/>
                <w:color w:val="auto"/>
              </w:rPr>
              <w:t>Cash and cash equivalents, beginning of the year</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282,246</w:t>
            </w:r>
          </w:p>
        </w:tc>
        <w:tc>
          <w:tcPr>
            <w:tcW w:w="320" w:type="dxa"/>
            <w:vAlign w:val="bottom"/>
            <w:tcBorders>
              <w:bottom w:val="single" w:sz="8" w:color="E5FFFF"/>
            </w:tcBorders>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368,286</w:t>
            </w:r>
          </w:p>
        </w:tc>
        <w:tc>
          <w:tcPr>
            <w:tcW w:w="100" w:type="dxa"/>
            <w:vAlign w:val="bottom"/>
            <w:tcBorders>
              <w:bottom w:val="single" w:sz="8" w:color="E5FFFF"/>
            </w:tcBorders>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340" w:type="dxa"/>
            <w:vAlign w:val="bottom"/>
          </w:tcPr>
          <w:p>
            <w:pPr>
              <w:spacing w:after="0"/>
              <w:rPr>
                <w:sz w:val="20"/>
                <w:szCs w:val="20"/>
                <w:color w:val="auto"/>
              </w:rPr>
            </w:pPr>
          </w:p>
        </w:tc>
        <w:tc>
          <w:tcPr>
            <w:tcW w:w="7580" w:type="dxa"/>
            <w:vAlign w:val="bottom"/>
            <w:tcBorders>
              <w:bottom w:val="single" w:sz="8" w:color="E5FFFF"/>
            </w:tcBorders>
            <w:shd w:val="clear" w:color="auto" w:fill="E5FFFF"/>
          </w:tcPr>
          <w:p>
            <w:pPr>
              <w:spacing w:after="0"/>
              <w:rPr>
                <w:sz w:val="20"/>
                <w:szCs w:val="20"/>
                <w:color w:val="auto"/>
              </w:rPr>
            </w:pPr>
            <w:r>
              <w:rPr>
                <w:rFonts w:ascii="Times New Roman" w:cs="Times New Roman" w:eastAsia="Times New Roman" w:hAnsi="Times New Roman"/>
                <w:sz w:val="16"/>
                <w:szCs w:val="16"/>
                <w:b w:val="1"/>
                <w:bCs w:val="1"/>
                <w:color w:val="auto"/>
              </w:rPr>
              <w:t>Cash and cash equivalents, end of the year</w:t>
            </w:r>
          </w:p>
        </w:tc>
        <w:tc>
          <w:tcPr>
            <w:tcW w:w="1280" w:type="dxa"/>
            <w:vAlign w:val="bottom"/>
            <w:tcBorders>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6"/>
                <w:szCs w:val="16"/>
                <w:b w:val="1"/>
                <w:bCs w:val="1"/>
                <w:color w:val="auto"/>
              </w:rPr>
              <w:t>368,286</w:t>
            </w:r>
          </w:p>
        </w:tc>
        <w:tc>
          <w:tcPr>
            <w:tcW w:w="320" w:type="dxa"/>
            <w:vAlign w:val="bottom"/>
            <w:tcBorders>
              <w:bottom w:val="single" w:sz="8" w:color="E5FFFF"/>
            </w:tcBorders>
            <w:shd w:val="clear" w:color="auto" w:fill="E5FFFF"/>
          </w:tcPr>
          <w:p>
            <w:pPr>
              <w:spacing w:after="0"/>
              <w:rPr>
                <w:sz w:val="20"/>
                <w:szCs w:val="20"/>
                <w:color w:val="auto"/>
              </w:rPr>
            </w:pPr>
          </w:p>
        </w:tc>
        <w:tc>
          <w:tcPr>
            <w:tcW w:w="1380" w:type="dxa"/>
            <w:vAlign w:val="bottom"/>
            <w:tcBorders>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6"/>
                <w:szCs w:val="16"/>
                <w:b w:val="1"/>
                <w:bCs w:val="1"/>
                <w:color w:val="auto"/>
              </w:rPr>
              <w:t>221,371</w:t>
            </w:r>
          </w:p>
        </w:tc>
        <w:tc>
          <w:tcPr>
            <w:tcW w:w="100" w:type="dxa"/>
            <w:vAlign w:val="bottom"/>
            <w:tcBorders>
              <w:bottom w:val="single" w:sz="8" w:color="E5FFFF"/>
            </w:tcBorders>
            <w:shd w:val="clear" w:color="auto" w:fill="E5FFFF"/>
          </w:tcPr>
          <w:p>
            <w:pPr>
              <w:spacing w:after="0"/>
              <w:rPr>
                <w:sz w:val="20"/>
                <w:szCs w:val="20"/>
                <w:color w:val="auto"/>
              </w:rPr>
            </w:pP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920" w:type="dxa"/>
            <w:vAlign w:val="bottom"/>
            <w:gridSpan w:val="2"/>
            <w:vMerge w:val="restart"/>
          </w:tcPr>
          <w:p>
            <w:pPr>
              <w:ind w:left="5540"/>
              <w:spacing w:after="0"/>
              <w:rPr>
                <w:sz w:val="20"/>
                <w:szCs w:val="20"/>
                <w:color w:val="auto"/>
              </w:rPr>
            </w:pPr>
            <w:r>
              <w:rPr>
                <w:rFonts w:ascii="Times New Roman" w:cs="Times New Roman" w:eastAsia="Times New Roman" w:hAnsi="Times New Roman"/>
                <w:sz w:val="14"/>
                <w:szCs w:val="14"/>
                <w:color w:val="auto"/>
              </w:rPr>
              <w:t>11</w:t>
            </w:r>
          </w:p>
        </w:tc>
        <w:tc>
          <w:tcPr>
            <w:tcW w:w="12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4"/>
        </w:trPr>
        <w:tc>
          <w:tcPr>
            <w:tcW w:w="7920" w:type="dxa"/>
            <w:vAlign w:val="bottom"/>
            <w:tcBorders>
              <w:bottom w:val="single" w:sz="8" w:color="auto"/>
            </w:tcBorders>
            <w:gridSpan w:val="2"/>
            <w:vMerge w:val="continue"/>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6922770</wp:posOffset>
            </wp:positionH>
            <wp:positionV relativeFrom="paragraph">
              <wp:posOffset>-6445885</wp:posOffset>
            </wp:positionV>
            <wp:extent cx="59690" cy="3943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9690" cy="394335"/>
                    </a:xfrm>
                    <a:prstGeom prst="rect">
                      <a:avLst/>
                    </a:prstGeom>
                    <a:noFill/>
                  </pic:spPr>
                </pic:pic>
              </a:graphicData>
            </a:graphic>
          </wp:anchor>
        </w:drawing>
        <w:drawing>
          <wp:anchor simplePos="0" relativeHeight="251657728" behindDoc="1" locked="0" layoutInCell="0" allowOverlap="1">
            <wp:simplePos x="0" y="0"/>
            <wp:positionH relativeFrom="column">
              <wp:posOffset>6922770</wp:posOffset>
            </wp:positionH>
            <wp:positionV relativeFrom="paragraph">
              <wp:posOffset>-5665470</wp:posOffset>
            </wp:positionV>
            <wp:extent cx="59690"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9690" cy="128905"/>
                    </a:xfrm>
                    <a:prstGeom prst="rect">
                      <a:avLst/>
                    </a:prstGeom>
                    <a:noFill/>
                  </pic:spPr>
                </pic:pic>
              </a:graphicData>
            </a:graphic>
          </wp:anchor>
        </w:drawing>
        <w:drawing>
          <wp:anchor simplePos="0" relativeHeight="251657728" behindDoc="1" locked="0" layoutInCell="0" allowOverlap="1">
            <wp:simplePos x="0" y="0"/>
            <wp:positionH relativeFrom="column">
              <wp:posOffset>6922770</wp:posOffset>
            </wp:positionH>
            <wp:positionV relativeFrom="paragraph">
              <wp:posOffset>-5151120</wp:posOffset>
            </wp:positionV>
            <wp:extent cx="59690" cy="1289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9690" cy="128905"/>
                    </a:xfrm>
                    <a:prstGeom prst="rect">
                      <a:avLst/>
                    </a:prstGeom>
                    <a:noFill/>
                  </pic:spPr>
                </pic:pic>
              </a:graphicData>
            </a:graphic>
          </wp:anchor>
        </w:drawing>
        <w:drawing>
          <wp:anchor simplePos="0" relativeHeight="251657728" behindDoc="1" locked="0" layoutInCell="0" allowOverlap="1">
            <wp:simplePos x="0" y="0"/>
            <wp:positionH relativeFrom="column">
              <wp:posOffset>6922770</wp:posOffset>
            </wp:positionH>
            <wp:positionV relativeFrom="paragraph">
              <wp:posOffset>-4765675</wp:posOffset>
            </wp:positionV>
            <wp:extent cx="59690"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9690" cy="128905"/>
                    </a:xfrm>
                    <a:prstGeom prst="rect">
                      <a:avLst/>
                    </a:prstGeom>
                    <a:noFill/>
                  </pic:spPr>
                </pic:pic>
              </a:graphicData>
            </a:graphic>
          </wp:anchor>
        </w:drawing>
        <w:drawing>
          <wp:anchor simplePos="0" relativeHeight="251657728" behindDoc="1" locked="0" layoutInCell="0" allowOverlap="1">
            <wp:simplePos x="0" y="0"/>
            <wp:positionH relativeFrom="column">
              <wp:posOffset>6922770</wp:posOffset>
            </wp:positionH>
            <wp:positionV relativeFrom="paragraph">
              <wp:posOffset>-3959860</wp:posOffset>
            </wp:positionV>
            <wp:extent cx="59690"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9690" cy="128905"/>
                    </a:xfrm>
                    <a:prstGeom prst="rect">
                      <a:avLst/>
                    </a:prstGeom>
                    <a:noFill/>
                  </pic:spPr>
                </pic:pic>
              </a:graphicData>
            </a:graphic>
          </wp:anchor>
        </w:drawing>
        <w:drawing>
          <wp:anchor simplePos="0" relativeHeight="251657728" behindDoc="1" locked="0" layoutInCell="0" allowOverlap="1">
            <wp:simplePos x="0" y="0"/>
            <wp:positionH relativeFrom="column">
              <wp:posOffset>6922770</wp:posOffset>
            </wp:positionH>
            <wp:positionV relativeFrom="paragraph">
              <wp:posOffset>-3445510</wp:posOffset>
            </wp:positionV>
            <wp:extent cx="59690" cy="1289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9690" cy="128905"/>
                    </a:xfrm>
                    <a:prstGeom prst="rect">
                      <a:avLst/>
                    </a:prstGeom>
                    <a:noFill/>
                  </pic:spPr>
                </pic:pic>
              </a:graphicData>
            </a:graphic>
          </wp:anchor>
        </w:drawing>
        <w:drawing>
          <wp:anchor simplePos="0" relativeHeight="251657728" behindDoc="1" locked="0" layoutInCell="0" allowOverlap="1">
            <wp:simplePos x="0" y="0"/>
            <wp:positionH relativeFrom="column">
              <wp:posOffset>6922770</wp:posOffset>
            </wp:positionH>
            <wp:positionV relativeFrom="paragraph">
              <wp:posOffset>-3188335</wp:posOffset>
            </wp:positionV>
            <wp:extent cx="59690" cy="1289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9690" cy="128905"/>
                    </a:xfrm>
                    <a:prstGeom prst="rect">
                      <a:avLst/>
                    </a:prstGeom>
                    <a:noFill/>
                  </pic:spPr>
                </pic:pic>
              </a:graphicData>
            </a:graphic>
          </wp:anchor>
        </w:drawing>
        <w:drawing>
          <wp:anchor simplePos="0" relativeHeight="251657728" behindDoc="1" locked="0" layoutInCell="0" allowOverlap="1">
            <wp:simplePos x="0" y="0"/>
            <wp:positionH relativeFrom="column">
              <wp:posOffset>6922770</wp:posOffset>
            </wp:positionH>
            <wp:positionV relativeFrom="paragraph">
              <wp:posOffset>-2931160</wp:posOffset>
            </wp:positionV>
            <wp:extent cx="59690" cy="1371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9690" cy="137160"/>
                    </a:xfrm>
                    <a:prstGeom prst="rect">
                      <a:avLst/>
                    </a:prstGeom>
                    <a:noFill/>
                  </pic:spPr>
                </pic:pic>
              </a:graphicData>
            </a:graphic>
          </wp:anchor>
        </w:drawing>
        <w:drawing>
          <wp:anchor simplePos="0" relativeHeight="251657728" behindDoc="1" locked="0" layoutInCell="0" allowOverlap="1">
            <wp:simplePos x="0" y="0"/>
            <wp:positionH relativeFrom="column">
              <wp:posOffset>6922770</wp:posOffset>
            </wp:positionH>
            <wp:positionV relativeFrom="paragraph">
              <wp:posOffset>-2656840</wp:posOffset>
            </wp:positionV>
            <wp:extent cx="59690"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9690" cy="128905"/>
                    </a:xfrm>
                    <a:prstGeom prst="rect">
                      <a:avLst/>
                    </a:prstGeom>
                    <a:noFill/>
                  </pic:spPr>
                </pic:pic>
              </a:graphicData>
            </a:graphic>
          </wp:anchor>
        </w:drawing>
        <w:drawing>
          <wp:anchor simplePos="0" relativeHeight="251657728" behindDoc="1" locked="0" layoutInCell="0" allowOverlap="1">
            <wp:simplePos x="0" y="0"/>
            <wp:positionH relativeFrom="column">
              <wp:posOffset>6922770</wp:posOffset>
            </wp:positionH>
            <wp:positionV relativeFrom="paragraph">
              <wp:posOffset>-2142490</wp:posOffset>
            </wp:positionV>
            <wp:extent cx="59690" cy="1289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9690" cy="128905"/>
                    </a:xfrm>
                    <a:prstGeom prst="rect">
                      <a:avLst/>
                    </a:prstGeom>
                    <a:noFill/>
                  </pic:spPr>
                </pic:pic>
              </a:graphicData>
            </a:graphic>
          </wp:anchor>
        </w:drawing>
        <w:drawing>
          <wp:anchor simplePos="0" relativeHeight="251657728" behindDoc="1" locked="0" layoutInCell="0" allowOverlap="1">
            <wp:simplePos x="0" y="0"/>
            <wp:positionH relativeFrom="column">
              <wp:posOffset>6922770</wp:posOffset>
            </wp:positionH>
            <wp:positionV relativeFrom="paragraph">
              <wp:posOffset>-1885315</wp:posOffset>
            </wp:positionV>
            <wp:extent cx="59690"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9690" cy="128905"/>
                    </a:xfrm>
                    <a:prstGeom prst="rect">
                      <a:avLst/>
                    </a:prstGeom>
                    <a:noFill/>
                  </pic:spPr>
                </pic:pic>
              </a:graphicData>
            </a:graphic>
          </wp:anchor>
        </w:drawing>
        <w:drawing>
          <wp:anchor simplePos="0" relativeHeight="251657728" behindDoc="1" locked="0" layoutInCell="0" allowOverlap="1">
            <wp:simplePos x="0" y="0"/>
            <wp:positionH relativeFrom="column">
              <wp:posOffset>6922770</wp:posOffset>
            </wp:positionH>
            <wp:positionV relativeFrom="paragraph">
              <wp:posOffset>-565150</wp:posOffset>
            </wp:positionV>
            <wp:extent cx="59690"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9690" cy="171450"/>
                    </a:xfrm>
                    <a:prstGeom prst="rect">
                      <a:avLst/>
                    </a:prstGeom>
                    <a:noFill/>
                  </pic:spPr>
                </pic:pic>
              </a:graphicData>
            </a:graphic>
          </wp:anchor>
        </w:drawing>
      </w:r>
    </w:p>
    <w:p>
      <w:pPr>
        <w:sectPr>
          <w:pgSz w:w="11900" w:h="16838" w:orient="portrait"/>
          <w:cols w:equalWidth="0" w:num="1">
            <w:col w:w="11240"/>
          </w:cols>
          <w:pgMar w:left="320" w:top="907"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6"/>
          <w:szCs w:val="16"/>
          <w:b w:val="1"/>
          <w:bCs w:val="1"/>
          <w:color w:val="auto"/>
        </w:rPr>
        <w:t>EXHIBIT II</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GasLog Ltd. and its Subsidiaries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Non-GAAP Financial Measures: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EBITDA, Adjusted EBITDA and Adjusted Profit</w:t>
      </w:r>
    </w:p>
    <w:p>
      <w:pPr>
        <w:spacing w:after="0" w:line="223"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6"/>
          <w:szCs w:val="16"/>
          <w:color w:val="auto"/>
        </w:rPr>
        <w:t>EBITDA is defined as earnings before depreciation, amortization, financial income and costs, gain/loss on derivatives and taxes. Adjusted EBITDA is defined as EBITDA before foreign exchange gains/losses, impairment loss, gain/loss on disposal of non-current assets, restructuring costs and the costs relating to the 2021 take-private transaction with BlackRock’s Global Energy &amp; Power Infrastructure team and the Transaction (collectively such costs, the “Transaction Costs”). Adjusted Profit represents earnings before write-off and accelerated amortization of unamortized loan fees/bond fees and premium/discount, foreign exchange gains/losses, unrealized foreign exchange losses on cash and bond, impairment loss, swap optimization costs (with respect to cash collateral amendments), gain/loss on disposal of non-current assets, restructuring costs, Transaction Costs and non-cash gain/loss on derivatives that includes (if any) (a) unrealized gain/loss on derivative financial instruments held for trading,</w:t>
      </w:r>
    </w:p>
    <w:p>
      <w:pPr>
        <w:spacing w:after="0" w:line="4" w:lineRule="exact"/>
        <w:rPr>
          <w:sz w:val="20"/>
          <w:szCs w:val="20"/>
          <w:color w:val="auto"/>
        </w:rPr>
      </w:pPr>
    </w:p>
    <w:p>
      <w:pPr>
        <w:ind w:right="20" w:firstLine="8"/>
        <w:spacing w:after="0" w:line="266" w:lineRule="auto"/>
        <w:tabs>
          <w:tab w:leader="none" w:pos="229"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recycled loss of cash flow hedges reclassified to profit or loss and (c) ineffective portion of cash flow hedges. EBITDA, Adjusted EBITDA and Adjusted Profit are non-GAAP financial measures that are used as supplemental financial measures by management and external users of financial statements, such as investors, to assess our financial and operating performance. We believe that these non-GAAP financial measures assist our management and investors by increasing the comparability of our performance from period to period. We believe that including EBITDA, Adjusted EBITDA and Adjusted Profit assists our management and investors in (i) understanding and analyzing the results of our operating and business performance, (ii) selecting between investing in us and other investment alternatives and (iii) monitoring our ongoing financial and operational strength in assessing whether to purchase and/or to continue to hold our common shares. This is achieved by excluding the potentially disparate effects between periods of, in the case of EBITDA and Adjusted EBITDA, financial costs, gain/loss on derivatives, taxes, depreciation and amortization; in the case of Adjusted EBITDA, foreign exchange gains/losses, impairment loss, gain/loss on disposal of non-current assets, restructuring costs and Transaction Costs; and in the case of Adjusted Profit, write-off and accelerated amortization of unamortized loan/bond fees and premium/discount, foreign exchange gains/losses, unrealized foreign exchange losses on cash and bond, impairment loss, swap optimization costs (with respect to cash collateral amendments), gain/loss on disposal of non-current assets, restructuring costs, Transaction Costs and non-cash gain/loss on derivatives, which items are affected by various and possibly changing financing methods, financial market conditions, capital structure and historical cost basis, and which items may significantly affect results of operations between periods.</w:t>
      </w:r>
    </w:p>
    <w:p>
      <w:pPr>
        <w:spacing w:after="0" w:line="178"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16"/>
          <w:szCs w:val="16"/>
          <w:color w:val="auto"/>
        </w:rPr>
        <w:t>EBITDA, Adjusted EBITDA and Adjusted Profit have limitations as analytical tools and should not be considered as alternatives to, or as substitutes for, or superior to, profit, profit from operations, or any other measure of operating performance presented in accordance with IFRS. Some of these limitations include the fact that they do not reflect (i) our cash expenditures or future requirements for capital expenditures or contractual commitments, (ii) changes in, or cash requirements for, our working capital needs and (iii) the cash requirements necessary to service interest or principal payments on our debt. Although depreciation and amortization are non-cash charges, the assets being depreciated and amortized will have to be replaced in the future, and EBITDA and Adjusted EBITDA do not reflect any cash requirements for such replacements. EBITDA, Adjusted EBITDA and Adjusted Profit are not adjusted for all non-cash income or expense items that are reflected in our statements of cash flows and other companies in our industry may calculate these measures differently than we do, limiting their usefulness as a comparative measure.</w:t>
      </w:r>
    </w:p>
    <w:p>
      <w:pPr>
        <w:spacing w:after="0" w:line="176" w:lineRule="exact"/>
        <w:rPr>
          <w:sz w:val="20"/>
          <w:szCs w:val="20"/>
          <w:color w:val="auto"/>
        </w:rPr>
      </w:pPr>
    </w:p>
    <w:p>
      <w:pPr>
        <w:ind w:right="40"/>
        <w:spacing w:after="0" w:line="275" w:lineRule="auto"/>
        <w:rPr>
          <w:sz w:val="20"/>
          <w:szCs w:val="20"/>
          <w:color w:val="auto"/>
        </w:rPr>
      </w:pPr>
      <w:r>
        <w:rPr>
          <w:rFonts w:ascii="Times New Roman" w:cs="Times New Roman" w:eastAsia="Times New Roman" w:hAnsi="Times New Roman"/>
          <w:sz w:val="16"/>
          <w:szCs w:val="16"/>
          <w:color w:val="auto"/>
        </w:rPr>
        <w:t>In evaluating Adjusted EBITDA and Adjusted Profit, you should be aware that in the future we may incur expenses that are the same as, or similar to, some of the adjustments in this presentation. Our presentation of Adjusted EBITDA and Adjusted Profit should not be construed as an inference that our future results will be unaffected by the excluded items. Therefore, the non-GAAP financial measures as presented below may not be comparable to similarly titled measures of other companies in the shipping or other industries.</w:t>
      </w:r>
    </w:p>
    <w:p>
      <w:pPr>
        <w:spacing w:after="0" w:line="39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93" w:right="3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12"/>
        </w:trPr>
        <w:tc>
          <w:tcPr>
            <w:tcW w:w="48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GasLog Ltd. and its Subsidiaries</w:t>
            </w: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5"/>
        </w:trPr>
        <w:tc>
          <w:tcPr>
            <w:tcW w:w="48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Reconciliation of Profit to EBITDA and Adjusted EBITDA:</w:t>
            </w: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48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(Amounts expressed in thousands of U.S. Dollars)</w:t>
            </w: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5"/>
        </w:trPr>
        <w:tc>
          <w:tcPr>
            <w:tcW w:w="48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780" w:type="dxa"/>
            <w:vAlign w:val="bottom"/>
            <w:gridSpan w:val="7"/>
          </w:tcPr>
          <w:p>
            <w:pPr>
              <w:jc w:val="right"/>
              <w:ind w:right="540"/>
              <w:spacing w:after="0"/>
              <w:rPr>
                <w:sz w:val="20"/>
                <w:szCs w:val="20"/>
                <w:color w:val="auto"/>
              </w:rPr>
            </w:pPr>
            <w:r>
              <w:rPr>
                <w:rFonts w:ascii="Times New Roman" w:cs="Times New Roman" w:eastAsia="Times New Roman" w:hAnsi="Times New Roman"/>
                <w:sz w:val="16"/>
                <w:szCs w:val="16"/>
                <w:b w:val="1"/>
                <w:bCs w:val="1"/>
                <w:color w:val="auto"/>
              </w:rPr>
              <w:t>For the three months ended</w:t>
            </w:r>
          </w:p>
        </w:tc>
        <w:tc>
          <w:tcPr>
            <w:tcW w:w="100" w:type="dxa"/>
            <w:vAlign w:val="bottom"/>
          </w:tcPr>
          <w:p>
            <w:pPr>
              <w:spacing w:after="0"/>
              <w:rPr>
                <w:sz w:val="24"/>
                <w:szCs w:val="24"/>
                <w:color w:val="auto"/>
              </w:rPr>
            </w:pPr>
          </w:p>
        </w:tc>
        <w:tc>
          <w:tcPr>
            <w:tcW w:w="2680" w:type="dxa"/>
            <w:vAlign w:val="bottom"/>
            <w:gridSpan w:val="6"/>
          </w:tcPr>
          <w:p>
            <w:pPr>
              <w:ind w:left="540"/>
              <w:spacing w:after="0"/>
              <w:rPr>
                <w:sz w:val="20"/>
                <w:szCs w:val="20"/>
                <w:color w:val="auto"/>
              </w:rPr>
            </w:pPr>
            <w:r>
              <w:rPr>
                <w:rFonts w:ascii="Times New Roman" w:cs="Times New Roman" w:eastAsia="Times New Roman" w:hAnsi="Times New Roman"/>
                <w:sz w:val="16"/>
                <w:szCs w:val="16"/>
                <w:b w:val="1"/>
                <w:bCs w:val="1"/>
                <w:color w:val="auto"/>
              </w:rPr>
              <w:t>For the years ended</w:t>
            </w:r>
          </w:p>
        </w:tc>
        <w:tc>
          <w:tcPr>
            <w:tcW w:w="0" w:type="dxa"/>
            <w:vAlign w:val="bottom"/>
          </w:tcPr>
          <w:p>
            <w:pPr>
              <w:spacing w:after="0"/>
              <w:rPr>
                <w:sz w:val="1"/>
                <w:szCs w:val="1"/>
                <w:color w:val="auto"/>
              </w:rPr>
            </w:pPr>
          </w:p>
        </w:tc>
      </w:tr>
      <w:tr>
        <w:trPr>
          <w:trHeight w:val="203"/>
        </w:trPr>
        <w:tc>
          <w:tcPr>
            <w:tcW w:w="48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gridSpan w:val="3"/>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00" w:type="dxa"/>
            <w:vAlign w:val="bottom"/>
          </w:tcPr>
          <w:p>
            <w:pPr>
              <w:spacing w:after="0"/>
              <w:rPr>
                <w:sz w:val="17"/>
                <w:szCs w:val="17"/>
                <w:color w:val="auto"/>
              </w:rPr>
            </w:pPr>
          </w:p>
        </w:tc>
        <w:tc>
          <w:tcPr>
            <w:tcW w:w="1340" w:type="dxa"/>
            <w:vAlign w:val="bottom"/>
            <w:gridSpan w:val="3"/>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00" w:type="dxa"/>
            <w:vAlign w:val="bottom"/>
          </w:tcPr>
          <w:p>
            <w:pPr>
              <w:spacing w:after="0"/>
              <w:rPr>
                <w:sz w:val="17"/>
                <w:szCs w:val="17"/>
                <w:color w:val="auto"/>
              </w:rPr>
            </w:pPr>
          </w:p>
        </w:tc>
        <w:tc>
          <w:tcPr>
            <w:tcW w:w="1340" w:type="dxa"/>
            <w:vAlign w:val="bottom"/>
            <w:gridSpan w:val="3"/>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20" w:type="dxa"/>
            <w:vAlign w:val="bottom"/>
          </w:tcPr>
          <w:p>
            <w:pPr>
              <w:spacing w:after="0"/>
              <w:rPr>
                <w:sz w:val="17"/>
                <w:szCs w:val="17"/>
                <w:color w:val="auto"/>
              </w:rPr>
            </w:pPr>
          </w:p>
        </w:tc>
        <w:tc>
          <w:tcPr>
            <w:tcW w:w="122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212"/>
        </w:trPr>
        <w:tc>
          <w:tcPr>
            <w:tcW w:w="4840" w:type="dxa"/>
            <w:vAlign w:val="bottom"/>
          </w:tcPr>
          <w:p>
            <w:pPr>
              <w:spacing w:after="0"/>
              <w:rPr>
                <w:sz w:val="18"/>
                <w:szCs w:val="18"/>
                <w:color w:val="auto"/>
              </w:rPr>
            </w:pPr>
          </w:p>
        </w:tc>
        <w:tc>
          <w:tcPr>
            <w:tcW w:w="1960" w:type="dxa"/>
            <w:vAlign w:val="bottom"/>
            <w:gridSpan w:val="3"/>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840" w:type="dxa"/>
            <w:vAlign w:val="bottom"/>
            <w:tcBorders>
              <w:top w:val="single" w:sz="8" w:color="E5FFFF"/>
            </w:tcBorders>
            <w:shd w:val="clear" w:color="auto" w:fill="E5FFFF"/>
          </w:tcPr>
          <w:p>
            <w:pPr>
              <w:spacing w:after="0"/>
              <w:rPr>
                <w:sz w:val="20"/>
                <w:szCs w:val="20"/>
                <w:color w:val="auto"/>
              </w:rPr>
            </w:pPr>
            <w:r>
              <w:rPr>
                <w:rFonts w:ascii="Times New Roman" w:cs="Times New Roman" w:eastAsia="Times New Roman" w:hAnsi="Times New Roman"/>
                <w:sz w:val="16"/>
                <w:szCs w:val="16"/>
                <w:color w:val="auto"/>
              </w:rPr>
              <w:t>Profit for the period</w:t>
            </w:r>
          </w:p>
        </w:tc>
        <w:tc>
          <w:tcPr>
            <w:tcW w:w="720" w:type="dxa"/>
            <w:vAlign w:val="bottom"/>
            <w:tcBorders>
              <w:top w:val="single" w:sz="8" w:color="E5FFFF"/>
            </w:tcBorders>
            <w:shd w:val="clear" w:color="auto" w:fill="E5FFFF"/>
          </w:tcPr>
          <w:p>
            <w:pPr>
              <w:spacing w:after="0"/>
              <w:rPr>
                <w:sz w:val="17"/>
                <w:szCs w:val="17"/>
                <w:color w:val="auto"/>
              </w:rPr>
            </w:pPr>
          </w:p>
        </w:tc>
        <w:tc>
          <w:tcPr>
            <w:tcW w:w="120" w:type="dxa"/>
            <w:vAlign w:val="bottom"/>
            <w:tcBorders>
              <w:top w:val="single" w:sz="8" w:color="E5FFFF"/>
            </w:tcBorders>
            <w:shd w:val="clear" w:color="auto" w:fill="E5FFFF"/>
          </w:tcPr>
          <w:p>
            <w:pPr>
              <w:spacing w:after="0"/>
              <w:rPr>
                <w:sz w:val="17"/>
                <w:szCs w:val="17"/>
                <w:color w:val="auto"/>
              </w:rPr>
            </w:pPr>
          </w:p>
        </w:tc>
        <w:tc>
          <w:tcPr>
            <w:tcW w:w="1220" w:type="dxa"/>
            <w:vAlign w:val="bottom"/>
            <w:tcBorders>
              <w:top w:val="single" w:sz="8" w:color="auto"/>
            </w:tcBorders>
            <w:gridSpan w:val="2"/>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68,703</w:t>
            </w:r>
          </w:p>
        </w:tc>
        <w:tc>
          <w:tcPr>
            <w:tcW w:w="120" w:type="dxa"/>
            <w:vAlign w:val="bottom"/>
            <w:tcBorders>
              <w:top w:val="single" w:sz="8" w:color="E5FFFF"/>
            </w:tcBorders>
            <w:shd w:val="clear" w:color="auto" w:fill="E5FFFF"/>
          </w:tcPr>
          <w:p>
            <w:pPr>
              <w:spacing w:after="0"/>
              <w:rPr>
                <w:sz w:val="17"/>
                <w:szCs w:val="17"/>
                <w:color w:val="auto"/>
              </w:rPr>
            </w:pPr>
          </w:p>
        </w:tc>
        <w:tc>
          <w:tcPr>
            <w:tcW w:w="100" w:type="dxa"/>
            <w:vAlign w:val="bottom"/>
            <w:tcBorders>
              <w:top w:val="single" w:sz="8" w:color="E5FFFF"/>
            </w:tcBorders>
            <w:shd w:val="clear" w:color="auto" w:fill="E5FFFF"/>
          </w:tcPr>
          <w:p>
            <w:pPr>
              <w:spacing w:after="0"/>
              <w:rPr>
                <w:sz w:val="17"/>
                <w:szCs w:val="17"/>
                <w:color w:val="auto"/>
              </w:rPr>
            </w:pPr>
          </w:p>
        </w:tc>
        <w:tc>
          <w:tcPr>
            <w:tcW w:w="1240" w:type="dxa"/>
            <w:vAlign w:val="bottom"/>
            <w:tcBorders>
              <w:top w:val="single" w:sz="8" w:color="auto"/>
            </w:tcBorders>
            <w:gridSpan w:val="2"/>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31,436</w:t>
            </w:r>
          </w:p>
        </w:tc>
        <w:tc>
          <w:tcPr>
            <w:tcW w:w="100" w:type="dxa"/>
            <w:vAlign w:val="bottom"/>
            <w:tcBorders>
              <w:top w:val="single" w:sz="8" w:color="E5FFFF"/>
            </w:tcBorders>
            <w:shd w:val="clear" w:color="auto" w:fill="E5FFFF"/>
          </w:tcPr>
          <w:p>
            <w:pPr>
              <w:spacing w:after="0"/>
              <w:rPr>
                <w:sz w:val="17"/>
                <w:szCs w:val="17"/>
                <w:color w:val="auto"/>
              </w:rPr>
            </w:pPr>
          </w:p>
        </w:tc>
        <w:tc>
          <w:tcPr>
            <w:tcW w:w="100" w:type="dxa"/>
            <w:vAlign w:val="bottom"/>
            <w:tcBorders>
              <w:top w:val="single" w:sz="8" w:color="E5FFFF"/>
            </w:tcBorders>
            <w:shd w:val="clear" w:color="auto" w:fill="E5FFFF"/>
          </w:tcPr>
          <w:p>
            <w:pPr>
              <w:spacing w:after="0"/>
              <w:rPr>
                <w:sz w:val="17"/>
                <w:szCs w:val="17"/>
                <w:color w:val="auto"/>
              </w:rPr>
            </w:pPr>
          </w:p>
        </w:tc>
        <w:tc>
          <w:tcPr>
            <w:tcW w:w="1240" w:type="dxa"/>
            <w:vAlign w:val="bottom"/>
            <w:tcBorders>
              <w:top w:val="single" w:sz="8" w:color="auto"/>
            </w:tcBorders>
            <w:gridSpan w:val="2"/>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297,247</w:t>
            </w:r>
          </w:p>
        </w:tc>
        <w:tc>
          <w:tcPr>
            <w:tcW w:w="100" w:type="dxa"/>
            <w:vAlign w:val="bottom"/>
            <w:tcBorders>
              <w:top w:val="single" w:sz="8" w:color="E5FFFF"/>
            </w:tcBorders>
            <w:shd w:val="clear" w:color="auto" w:fill="E5FFFF"/>
          </w:tcPr>
          <w:p>
            <w:pPr>
              <w:spacing w:after="0"/>
              <w:rPr>
                <w:sz w:val="17"/>
                <w:szCs w:val="17"/>
                <w:color w:val="auto"/>
              </w:rPr>
            </w:pPr>
          </w:p>
        </w:tc>
        <w:tc>
          <w:tcPr>
            <w:tcW w:w="120" w:type="dxa"/>
            <w:vAlign w:val="bottom"/>
            <w:tcBorders>
              <w:top w:val="single" w:sz="8" w:color="E5FFFF"/>
            </w:tcBorders>
            <w:shd w:val="clear" w:color="auto" w:fill="E5FFFF"/>
          </w:tcPr>
          <w:p>
            <w:pPr>
              <w:spacing w:after="0"/>
              <w:rPr>
                <w:sz w:val="17"/>
                <w:szCs w:val="17"/>
                <w:color w:val="auto"/>
              </w:rPr>
            </w:pPr>
          </w:p>
        </w:tc>
        <w:tc>
          <w:tcPr>
            <w:tcW w:w="1120" w:type="dxa"/>
            <w:vAlign w:val="bottom"/>
            <w:tcBorders>
              <w:top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196,303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40" w:type="dxa"/>
            <w:vAlign w:val="bottom"/>
          </w:tcPr>
          <w:p>
            <w:pPr>
              <w:spacing w:after="0"/>
              <w:rPr>
                <w:sz w:val="20"/>
                <w:szCs w:val="20"/>
                <w:color w:val="auto"/>
              </w:rPr>
            </w:pPr>
            <w:r>
              <w:rPr>
                <w:rFonts w:ascii="Times New Roman" w:cs="Times New Roman" w:eastAsia="Times New Roman" w:hAnsi="Times New Roman"/>
                <w:sz w:val="16"/>
                <w:szCs w:val="16"/>
                <w:color w:val="auto"/>
              </w:rPr>
              <w:t>Depreciation</w:t>
            </w:r>
          </w:p>
        </w:tc>
        <w:tc>
          <w:tcPr>
            <w:tcW w:w="206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58,565</w:t>
            </w:r>
          </w:p>
        </w:tc>
        <w:tc>
          <w:tcPr>
            <w:tcW w:w="120" w:type="dxa"/>
            <w:vAlign w:val="bottom"/>
          </w:tcPr>
          <w:p>
            <w:pPr>
              <w:spacing w:after="0"/>
              <w:rPr>
                <w:sz w:val="17"/>
                <w:szCs w:val="17"/>
                <w:color w:val="auto"/>
              </w:rPr>
            </w:pPr>
          </w:p>
        </w:tc>
        <w:tc>
          <w:tcPr>
            <w:tcW w:w="1440" w:type="dxa"/>
            <w:vAlign w:val="bottom"/>
            <w:gridSpan w:val="4"/>
          </w:tcPr>
          <w:p>
            <w:pPr>
              <w:jc w:val="right"/>
              <w:ind w:right="100"/>
              <w:spacing w:after="0"/>
              <w:rPr>
                <w:sz w:val="20"/>
                <w:szCs w:val="20"/>
                <w:color w:val="auto"/>
              </w:rPr>
            </w:pPr>
            <w:r>
              <w:rPr>
                <w:rFonts w:ascii="Times New Roman" w:cs="Times New Roman" w:eastAsia="Times New Roman" w:hAnsi="Times New Roman"/>
                <w:sz w:val="16"/>
                <w:szCs w:val="16"/>
                <w:color w:val="auto"/>
              </w:rPr>
              <w:t>61,222</w:t>
            </w:r>
          </w:p>
        </w:tc>
        <w:tc>
          <w:tcPr>
            <w:tcW w:w="13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228,639</w:t>
            </w:r>
          </w:p>
        </w:tc>
        <w:tc>
          <w:tcPr>
            <w:tcW w:w="100" w:type="dxa"/>
            <w:vAlign w:val="bottom"/>
          </w:tcPr>
          <w:p>
            <w:pPr>
              <w:spacing w:after="0"/>
              <w:rPr>
                <w:sz w:val="17"/>
                <w:szCs w:val="17"/>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238,711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40" w:type="dxa"/>
            <w:vAlign w:val="bottom"/>
            <w:shd w:val="clear" w:color="auto" w:fill="E5FFFF"/>
          </w:tcPr>
          <w:p>
            <w:pPr>
              <w:spacing w:after="0"/>
              <w:rPr>
                <w:sz w:val="20"/>
                <w:szCs w:val="20"/>
                <w:color w:val="auto"/>
              </w:rPr>
            </w:pPr>
            <w:r>
              <w:rPr>
                <w:rFonts w:ascii="Times New Roman" w:cs="Times New Roman" w:eastAsia="Times New Roman" w:hAnsi="Times New Roman"/>
                <w:sz w:val="16"/>
                <w:szCs w:val="16"/>
                <w:color w:val="auto"/>
              </w:rPr>
              <w:t>Financial costs</w:t>
            </w:r>
          </w:p>
        </w:tc>
        <w:tc>
          <w:tcPr>
            <w:tcW w:w="2060" w:type="dxa"/>
            <w:vAlign w:val="bottom"/>
            <w:gridSpan w:val="4"/>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58,502</w:t>
            </w:r>
          </w:p>
        </w:tc>
        <w:tc>
          <w:tcPr>
            <w:tcW w:w="120" w:type="dxa"/>
            <w:vAlign w:val="bottom"/>
            <w:shd w:val="clear" w:color="auto" w:fill="E5FFFF"/>
          </w:tcPr>
          <w:p>
            <w:pPr>
              <w:spacing w:after="0"/>
              <w:rPr>
                <w:sz w:val="17"/>
                <w:szCs w:val="17"/>
                <w:color w:val="auto"/>
              </w:rPr>
            </w:pPr>
          </w:p>
        </w:tc>
        <w:tc>
          <w:tcPr>
            <w:tcW w:w="1440" w:type="dxa"/>
            <w:vAlign w:val="bottom"/>
            <w:gridSpan w:val="4"/>
            <w:shd w:val="clear" w:color="auto" w:fill="E5FFFF"/>
          </w:tcPr>
          <w:p>
            <w:pPr>
              <w:jc w:val="right"/>
              <w:ind w:right="100"/>
              <w:spacing w:after="0"/>
              <w:rPr>
                <w:sz w:val="20"/>
                <w:szCs w:val="20"/>
                <w:color w:val="auto"/>
              </w:rPr>
            </w:pPr>
            <w:r>
              <w:rPr>
                <w:rFonts w:ascii="Times New Roman" w:cs="Times New Roman" w:eastAsia="Times New Roman" w:hAnsi="Times New Roman"/>
                <w:sz w:val="16"/>
                <w:szCs w:val="16"/>
                <w:color w:val="auto"/>
              </w:rPr>
              <w:t>92,514</w:t>
            </w:r>
          </w:p>
        </w:tc>
        <w:tc>
          <w:tcPr>
            <w:tcW w:w="1340" w:type="dxa"/>
            <w:vAlign w:val="bottom"/>
            <w:gridSpan w:val="3"/>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184,675</w:t>
            </w:r>
          </w:p>
        </w:tc>
        <w:tc>
          <w:tcPr>
            <w:tcW w:w="100" w:type="dxa"/>
            <w:vAlign w:val="bottom"/>
            <w:shd w:val="clear" w:color="auto" w:fill="E5FFFF"/>
          </w:tcPr>
          <w:p>
            <w:pPr>
              <w:spacing w:after="0"/>
              <w:rPr>
                <w:sz w:val="17"/>
                <w:szCs w:val="17"/>
                <w:color w:val="auto"/>
              </w:rPr>
            </w:pPr>
          </w:p>
        </w:tc>
        <w:tc>
          <w:tcPr>
            <w:tcW w:w="1240" w:type="dxa"/>
            <w:vAlign w:val="bottom"/>
            <w:gridSpan w:val="2"/>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287,068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40" w:type="dxa"/>
            <w:vAlign w:val="bottom"/>
          </w:tcPr>
          <w:p>
            <w:pPr>
              <w:spacing w:after="0"/>
              <w:rPr>
                <w:sz w:val="20"/>
                <w:szCs w:val="20"/>
                <w:color w:val="auto"/>
              </w:rPr>
            </w:pPr>
            <w:r>
              <w:rPr>
                <w:rFonts w:ascii="Times New Roman" w:cs="Times New Roman" w:eastAsia="Times New Roman" w:hAnsi="Times New Roman"/>
                <w:sz w:val="16"/>
                <w:szCs w:val="16"/>
                <w:color w:val="auto"/>
              </w:rPr>
              <w:t>Financial income</w:t>
            </w:r>
          </w:p>
        </w:tc>
        <w:tc>
          <w:tcPr>
            <w:tcW w:w="2180" w:type="dxa"/>
            <w:vAlign w:val="bottom"/>
            <w:gridSpan w:val="5"/>
          </w:tcPr>
          <w:p>
            <w:pPr>
              <w:jc w:val="right"/>
              <w:ind w:right="60"/>
              <w:spacing w:after="0"/>
              <w:rPr>
                <w:sz w:val="20"/>
                <w:szCs w:val="20"/>
                <w:color w:val="auto"/>
              </w:rPr>
            </w:pPr>
            <w:r>
              <w:rPr>
                <w:rFonts w:ascii="Times New Roman" w:cs="Times New Roman" w:eastAsia="Times New Roman" w:hAnsi="Times New Roman"/>
                <w:sz w:val="16"/>
                <w:szCs w:val="16"/>
                <w:color w:val="auto"/>
              </w:rPr>
              <w:t>(2,625)</w:t>
            </w:r>
          </w:p>
        </w:tc>
        <w:tc>
          <w:tcPr>
            <w:tcW w:w="1440" w:type="dxa"/>
            <w:vAlign w:val="bottom"/>
            <w:gridSpan w:val="4"/>
          </w:tcPr>
          <w:p>
            <w:pPr>
              <w:jc w:val="right"/>
              <w:ind w:right="60"/>
              <w:spacing w:after="0"/>
              <w:rPr>
                <w:sz w:val="20"/>
                <w:szCs w:val="20"/>
                <w:color w:val="auto"/>
              </w:rPr>
            </w:pPr>
            <w:r>
              <w:rPr>
                <w:rFonts w:ascii="Times New Roman" w:cs="Times New Roman" w:eastAsia="Times New Roman" w:hAnsi="Times New Roman"/>
                <w:sz w:val="16"/>
                <w:szCs w:val="16"/>
                <w:color w:val="auto"/>
              </w:rPr>
              <w:t>(2,139)</w:t>
            </w:r>
          </w:p>
        </w:tc>
        <w:tc>
          <w:tcPr>
            <w:tcW w:w="1440" w:type="dxa"/>
            <w:vAlign w:val="bottom"/>
            <w:gridSpan w:val="4"/>
          </w:tcPr>
          <w:p>
            <w:pPr>
              <w:jc w:val="right"/>
              <w:ind w:right="60"/>
              <w:spacing w:after="0"/>
              <w:rPr>
                <w:sz w:val="20"/>
                <w:szCs w:val="20"/>
                <w:color w:val="auto"/>
              </w:rPr>
            </w:pPr>
            <w:r>
              <w:rPr>
                <w:rFonts w:ascii="Times New Roman" w:cs="Times New Roman" w:eastAsia="Times New Roman" w:hAnsi="Times New Roman"/>
                <w:sz w:val="16"/>
                <w:szCs w:val="16"/>
                <w:color w:val="auto"/>
              </w:rPr>
              <w:t>(4,118)</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(14,879)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40" w:type="dxa"/>
            <w:vAlign w:val="bottom"/>
            <w:shd w:val="clear" w:color="auto" w:fill="E5FFFF"/>
          </w:tcPr>
          <w:p>
            <w:pPr>
              <w:spacing w:after="0"/>
              <w:rPr>
                <w:sz w:val="20"/>
                <w:szCs w:val="20"/>
                <w:color w:val="auto"/>
              </w:rPr>
            </w:pPr>
            <w:r>
              <w:rPr>
                <w:rFonts w:ascii="Times New Roman" w:cs="Times New Roman" w:eastAsia="Times New Roman" w:hAnsi="Times New Roman"/>
                <w:sz w:val="16"/>
                <w:szCs w:val="16"/>
                <w:color w:val="auto"/>
              </w:rPr>
              <w:t>Gain on derivatives</w:t>
            </w:r>
          </w:p>
        </w:tc>
        <w:tc>
          <w:tcPr>
            <w:tcW w:w="2180" w:type="dxa"/>
            <w:vAlign w:val="bottom"/>
            <w:gridSpan w:val="5"/>
            <w:shd w:val="clear" w:color="auto" w:fill="E5FFFF"/>
          </w:tcPr>
          <w:p>
            <w:pPr>
              <w:jc w:val="right"/>
              <w:ind w:right="60"/>
              <w:spacing w:after="0"/>
              <w:rPr>
                <w:sz w:val="20"/>
                <w:szCs w:val="20"/>
                <w:color w:val="auto"/>
              </w:rPr>
            </w:pPr>
            <w:r>
              <w:rPr>
                <w:rFonts w:ascii="Times New Roman" w:cs="Times New Roman" w:eastAsia="Times New Roman" w:hAnsi="Times New Roman"/>
                <w:sz w:val="16"/>
                <w:szCs w:val="16"/>
                <w:color w:val="auto"/>
              </w:rPr>
              <w:t>(7,465)</w:t>
            </w:r>
          </w:p>
        </w:tc>
        <w:tc>
          <w:tcPr>
            <w:tcW w:w="1440" w:type="dxa"/>
            <w:vAlign w:val="bottom"/>
            <w:gridSpan w:val="4"/>
            <w:shd w:val="clear" w:color="auto" w:fill="E5FFFF"/>
          </w:tcPr>
          <w:p>
            <w:pPr>
              <w:jc w:val="right"/>
              <w:ind w:right="60"/>
              <w:spacing w:after="0"/>
              <w:rPr>
                <w:sz w:val="20"/>
                <w:szCs w:val="20"/>
                <w:color w:val="auto"/>
              </w:rPr>
            </w:pPr>
            <w:r>
              <w:rPr>
                <w:rFonts w:ascii="Times New Roman" w:cs="Times New Roman" w:eastAsia="Times New Roman" w:hAnsi="Times New Roman"/>
                <w:sz w:val="16"/>
                <w:szCs w:val="16"/>
                <w:color w:val="auto"/>
              </w:rPr>
              <w:t>(4,628)</w:t>
            </w:r>
          </w:p>
        </w:tc>
        <w:tc>
          <w:tcPr>
            <w:tcW w:w="1440" w:type="dxa"/>
            <w:vAlign w:val="bottom"/>
            <w:gridSpan w:val="4"/>
            <w:shd w:val="clear" w:color="auto" w:fill="E5FFFF"/>
          </w:tcPr>
          <w:p>
            <w:pPr>
              <w:jc w:val="right"/>
              <w:ind w:right="60"/>
              <w:spacing w:after="0"/>
              <w:rPr>
                <w:sz w:val="20"/>
                <w:szCs w:val="20"/>
                <w:color w:val="auto"/>
              </w:rPr>
            </w:pPr>
            <w:r>
              <w:rPr>
                <w:rFonts w:ascii="Times New Roman" w:cs="Times New Roman" w:eastAsia="Times New Roman" w:hAnsi="Times New Roman"/>
                <w:sz w:val="16"/>
                <w:szCs w:val="16"/>
                <w:color w:val="auto"/>
              </w:rPr>
              <w:t>(74,807)</w:t>
            </w:r>
          </w:p>
        </w:tc>
        <w:tc>
          <w:tcPr>
            <w:tcW w:w="1240" w:type="dxa"/>
            <w:vAlign w:val="bottom"/>
            <w:gridSpan w:val="2"/>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(13,011)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840" w:type="dxa"/>
            <w:vAlign w:val="bottom"/>
            <w:tcBorders>
              <w:bottom w:val="single" w:sz="8" w:color="E5FFFF"/>
            </w:tcBorders>
          </w:tcPr>
          <w:p>
            <w:pPr>
              <w:spacing w:after="0"/>
              <w:rPr>
                <w:sz w:val="20"/>
                <w:szCs w:val="20"/>
                <w:color w:val="auto"/>
              </w:rPr>
            </w:pPr>
            <w:r>
              <w:rPr>
                <w:rFonts w:ascii="Times New Roman" w:cs="Times New Roman" w:eastAsia="Times New Roman" w:hAnsi="Times New Roman"/>
                <w:sz w:val="16"/>
                <w:szCs w:val="16"/>
                <w:b w:val="1"/>
                <w:bCs w:val="1"/>
                <w:color w:val="auto"/>
              </w:rPr>
              <w:t>EBITDA</w:t>
            </w:r>
          </w:p>
        </w:tc>
        <w:tc>
          <w:tcPr>
            <w:tcW w:w="720" w:type="dxa"/>
            <w:vAlign w:val="bottom"/>
            <w:tcBorders>
              <w:bottom w:val="single" w:sz="8" w:color="E5FFFF"/>
            </w:tcBorders>
          </w:tcPr>
          <w:p>
            <w:pPr>
              <w:spacing w:after="0"/>
              <w:rPr>
                <w:sz w:val="17"/>
                <w:szCs w:val="17"/>
                <w:color w:val="auto"/>
              </w:rPr>
            </w:pPr>
          </w:p>
        </w:tc>
        <w:tc>
          <w:tcPr>
            <w:tcW w:w="120" w:type="dxa"/>
            <w:vAlign w:val="bottom"/>
            <w:tcBorders>
              <w:bottom w:val="single" w:sz="8" w:color="E5FFFF"/>
            </w:tcBorders>
          </w:tcPr>
          <w:p>
            <w:pPr>
              <w:spacing w:after="0"/>
              <w:rPr>
                <w:sz w:val="17"/>
                <w:szCs w:val="17"/>
                <w:color w:val="auto"/>
              </w:rPr>
            </w:pPr>
          </w:p>
        </w:tc>
        <w:tc>
          <w:tcPr>
            <w:tcW w:w="12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175,680</w:t>
            </w:r>
          </w:p>
        </w:tc>
        <w:tc>
          <w:tcPr>
            <w:tcW w:w="120" w:type="dxa"/>
            <w:vAlign w:val="bottom"/>
            <w:tcBorders>
              <w:bottom w:val="single" w:sz="8" w:color="E5FFFF"/>
            </w:tcBorders>
          </w:tcPr>
          <w:p>
            <w:pPr>
              <w:spacing w:after="0"/>
              <w:rPr>
                <w:sz w:val="17"/>
                <w:szCs w:val="17"/>
                <w:color w:val="auto"/>
              </w:rPr>
            </w:pPr>
          </w:p>
        </w:tc>
        <w:tc>
          <w:tcPr>
            <w:tcW w:w="100" w:type="dxa"/>
            <w:vAlign w:val="bottom"/>
            <w:tcBorders>
              <w:bottom w:val="single" w:sz="8" w:color="E5FFFF"/>
            </w:tcBorders>
          </w:tcPr>
          <w:p>
            <w:pPr>
              <w:spacing w:after="0"/>
              <w:rPr>
                <w:sz w:val="17"/>
                <w:szCs w:val="17"/>
                <w:color w:val="auto"/>
              </w:rPr>
            </w:pPr>
          </w:p>
        </w:tc>
        <w:tc>
          <w:tcPr>
            <w:tcW w:w="12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178,405</w:t>
            </w:r>
          </w:p>
        </w:tc>
        <w:tc>
          <w:tcPr>
            <w:tcW w:w="100" w:type="dxa"/>
            <w:vAlign w:val="bottom"/>
            <w:tcBorders>
              <w:bottom w:val="single" w:sz="8" w:color="E5FFFF"/>
            </w:tcBorders>
          </w:tcPr>
          <w:p>
            <w:pPr>
              <w:spacing w:after="0"/>
              <w:rPr>
                <w:sz w:val="17"/>
                <w:szCs w:val="17"/>
                <w:color w:val="auto"/>
              </w:rPr>
            </w:pPr>
          </w:p>
        </w:tc>
        <w:tc>
          <w:tcPr>
            <w:tcW w:w="100" w:type="dxa"/>
            <w:vAlign w:val="bottom"/>
            <w:tcBorders>
              <w:bottom w:val="single" w:sz="8" w:color="E5FFFF"/>
            </w:tcBorders>
          </w:tcPr>
          <w:p>
            <w:pPr>
              <w:spacing w:after="0"/>
              <w:rPr>
                <w:sz w:val="17"/>
                <w:szCs w:val="17"/>
                <w:color w:val="auto"/>
              </w:rPr>
            </w:pPr>
          </w:p>
        </w:tc>
        <w:tc>
          <w:tcPr>
            <w:tcW w:w="12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631,636</w:t>
            </w:r>
          </w:p>
        </w:tc>
        <w:tc>
          <w:tcPr>
            <w:tcW w:w="100" w:type="dxa"/>
            <w:vAlign w:val="bottom"/>
            <w:tcBorders>
              <w:bottom w:val="single" w:sz="8" w:color="E5FFFF"/>
            </w:tcBorders>
          </w:tcPr>
          <w:p>
            <w:pPr>
              <w:spacing w:after="0"/>
              <w:rPr>
                <w:sz w:val="17"/>
                <w:szCs w:val="17"/>
                <w:color w:val="auto"/>
              </w:rPr>
            </w:pPr>
          </w:p>
        </w:tc>
        <w:tc>
          <w:tcPr>
            <w:tcW w:w="120" w:type="dxa"/>
            <w:vAlign w:val="bottom"/>
            <w:tcBorders>
              <w:bottom w:val="single" w:sz="8" w:color="E5FFFF"/>
            </w:tcBorders>
          </w:tcPr>
          <w:p>
            <w:pPr>
              <w:spacing w:after="0"/>
              <w:rPr>
                <w:sz w:val="17"/>
                <w:szCs w:val="17"/>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694,192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840" w:type="dxa"/>
            <w:vAlign w:val="bottom"/>
            <w:shd w:val="clear" w:color="auto" w:fill="E5FFFF"/>
          </w:tcPr>
          <w:p>
            <w:pPr>
              <w:spacing w:after="0"/>
              <w:rPr>
                <w:sz w:val="20"/>
                <w:szCs w:val="20"/>
                <w:color w:val="auto"/>
              </w:rPr>
            </w:pPr>
            <w:r>
              <w:rPr>
                <w:rFonts w:ascii="Times New Roman" w:cs="Times New Roman" w:eastAsia="Times New Roman" w:hAnsi="Times New Roman"/>
                <w:sz w:val="16"/>
                <w:szCs w:val="16"/>
                <w:color w:val="auto"/>
              </w:rPr>
              <w:t>Foreign exchange losses/(gains), net</w:t>
            </w:r>
          </w:p>
        </w:tc>
        <w:tc>
          <w:tcPr>
            <w:tcW w:w="720" w:type="dxa"/>
            <w:vAlign w:val="bottom"/>
            <w:shd w:val="clear" w:color="auto" w:fill="E5FFFF"/>
          </w:tcPr>
          <w:p>
            <w:pPr>
              <w:spacing w:after="0"/>
              <w:rPr>
                <w:sz w:val="17"/>
                <w:szCs w:val="17"/>
                <w:color w:val="auto"/>
              </w:rPr>
            </w:pPr>
          </w:p>
        </w:tc>
        <w:tc>
          <w:tcPr>
            <w:tcW w:w="120" w:type="dxa"/>
            <w:vAlign w:val="bottom"/>
            <w:shd w:val="clear" w:color="auto" w:fill="E5FFFF"/>
          </w:tcPr>
          <w:p>
            <w:pPr>
              <w:spacing w:after="0"/>
              <w:rPr>
                <w:sz w:val="17"/>
                <w:szCs w:val="17"/>
                <w:color w:val="auto"/>
              </w:rPr>
            </w:pPr>
          </w:p>
        </w:tc>
        <w:tc>
          <w:tcPr>
            <w:tcW w:w="1220" w:type="dxa"/>
            <w:vAlign w:val="bottom"/>
            <w:gridSpan w:val="2"/>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695</w:t>
            </w:r>
          </w:p>
        </w:tc>
        <w:tc>
          <w:tcPr>
            <w:tcW w:w="12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1240" w:type="dxa"/>
            <w:vAlign w:val="bottom"/>
            <w:gridSpan w:val="2"/>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(667)</w:t>
            </w:r>
          </w:p>
        </w:tc>
        <w:tc>
          <w:tcPr>
            <w:tcW w:w="10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1240" w:type="dxa"/>
            <w:vAlign w:val="bottom"/>
            <w:gridSpan w:val="2"/>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463</w:t>
            </w:r>
          </w:p>
        </w:tc>
        <w:tc>
          <w:tcPr>
            <w:tcW w:w="100" w:type="dxa"/>
            <w:vAlign w:val="bottom"/>
            <w:shd w:val="clear" w:color="auto" w:fill="E5FFFF"/>
          </w:tcPr>
          <w:p>
            <w:pPr>
              <w:spacing w:after="0"/>
              <w:rPr>
                <w:sz w:val="17"/>
                <w:szCs w:val="17"/>
                <w:color w:val="auto"/>
              </w:rPr>
            </w:pPr>
          </w:p>
        </w:tc>
        <w:tc>
          <w:tcPr>
            <w:tcW w:w="120" w:type="dxa"/>
            <w:vAlign w:val="bottom"/>
            <w:shd w:val="clear" w:color="auto" w:fill="E5FFFF"/>
          </w:tcPr>
          <w:p>
            <w:pPr>
              <w:spacing w:after="0"/>
              <w:rPr>
                <w:sz w:val="17"/>
                <w:szCs w:val="17"/>
                <w:color w:val="auto"/>
              </w:rPr>
            </w:pPr>
          </w:p>
        </w:tc>
        <w:tc>
          <w:tcPr>
            <w:tcW w:w="112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946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40" w:type="dxa"/>
            <w:vAlign w:val="bottom"/>
          </w:tcPr>
          <w:p>
            <w:pPr>
              <w:spacing w:after="0"/>
              <w:rPr>
                <w:sz w:val="20"/>
                <w:szCs w:val="20"/>
                <w:color w:val="auto"/>
              </w:rPr>
            </w:pPr>
            <w:r>
              <w:rPr>
                <w:rFonts w:ascii="Times New Roman" w:cs="Times New Roman" w:eastAsia="Times New Roman" w:hAnsi="Times New Roman"/>
                <w:sz w:val="16"/>
                <w:szCs w:val="16"/>
                <w:color w:val="auto"/>
              </w:rPr>
              <w:t>Restructuring costs</w:t>
            </w:r>
          </w:p>
        </w:tc>
        <w:tc>
          <w:tcPr>
            <w:tcW w:w="206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3,332</w:t>
            </w:r>
          </w:p>
        </w:tc>
        <w:tc>
          <w:tcPr>
            <w:tcW w:w="120" w:type="dxa"/>
            <w:vAlign w:val="bottom"/>
          </w:tcPr>
          <w:p>
            <w:pPr>
              <w:spacing w:after="0"/>
              <w:rPr>
                <w:sz w:val="17"/>
                <w:szCs w:val="17"/>
                <w:color w:val="auto"/>
              </w:rPr>
            </w:pPr>
          </w:p>
        </w:tc>
        <w:tc>
          <w:tcPr>
            <w:tcW w:w="1440" w:type="dxa"/>
            <w:vAlign w:val="bottom"/>
            <w:gridSpan w:val="4"/>
          </w:tcPr>
          <w:p>
            <w:pPr>
              <w:jc w:val="right"/>
              <w:ind w:right="100"/>
              <w:spacing w:after="0"/>
              <w:rPr>
                <w:sz w:val="20"/>
                <w:szCs w:val="20"/>
                <w:color w:val="auto"/>
              </w:rPr>
            </w:pPr>
            <w:r>
              <w:rPr>
                <w:rFonts w:ascii="Times New Roman" w:cs="Times New Roman" w:eastAsia="Times New Roman" w:hAnsi="Times New Roman"/>
                <w:sz w:val="16"/>
                <w:szCs w:val="16"/>
                <w:color w:val="auto"/>
              </w:rPr>
              <w:t>109</w:t>
            </w:r>
          </w:p>
        </w:tc>
        <w:tc>
          <w:tcPr>
            <w:tcW w:w="13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5,017</w:t>
            </w:r>
          </w:p>
        </w:tc>
        <w:tc>
          <w:tcPr>
            <w:tcW w:w="100" w:type="dxa"/>
            <w:vAlign w:val="bottom"/>
          </w:tcPr>
          <w:p>
            <w:pPr>
              <w:spacing w:after="0"/>
              <w:rPr>
                <w:sz w:val="17"/>
                <w:szCs w:val="17"/>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235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40" w:type="dxa"/>
            <w:vAlign w:val="bottom"/>
            <w:shd w:val="clear" w:color="auto" w:fill="E5FFFF"/>
          </w:tcPr>
          <w:p>
            <w:pPr>
              <w:spacing w:after="0"/>
              <w:rPr>
                <w:sz w:val="20"/>
                <w:szCs w:val="20"/>
                <w:color w:val="auto"/>
              </w:rPr>
            </w:pPr>
            <w:r>
              <w:rPr>
                <w:rFonts w:ascii="Times New Roman" w:cs="Times New Roman" w:eastAsia="Times New Roman" w:hAnsi="Times New Roman"/>
                <w:sz w:val="16"/>
                <w:szCs w:val="16"/>
                <w:color w:val="auto"/>
              </w:rPr>
              <w:t>Transaction Costs</w:t>
            </w:r>
          </w:p>
        </w:tc>
        <w:tc>
          <w:tcPr>
            <w:tcW w:w="2060" w:type="dxa"/>
            <w:vAlign w:val="bottom"/>
            <w:gridSpan w:val="4"/>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20" w:type="dxa"/>
            <w:vAlign w:val="bottom"/>
            <w:shd w:val="clear" w:color="auto" w:fill="E5FFFF"/>
          </w:tcPr>
          <w:p>
            <w:pPr>
              <w:spacing w:after="0"/>
              <w:rPr>
                <w:sz w:val="17"/>
                <w:szCs w:val="17"/>
                <w:color w:val="auto"/>
              </w:rPr>
            </w:pPr>
          </w:p>
        </w:tc>
        <w:tc>
          <w:tcPr>
            <w:tcW w:w="1440" w:type="dxa"/>
            <w:vAlign w:val="bottom"/>
            <w:gridSpan w:val="4"/>
            <w:shd w:val="clear" w:color="auto" w:fill="E5FFFF"/>
          </w:tcPr>
          <w:p>
            <w:pPr>
              <w:jc w:val="right"/>
              <w:ind w:right="100"/>
              <w:spacing w:after="0"/>
              <w:rPr>
                <w:sz w:val="20"/>
                <w:szCs w:val="20"/>
                <w:color w:val="auto"/>
              </w:rPr>
            </w:pPr>
            <w:r>
              <w:rPr>
                <w:rFonts w:ascii="Times New Roman" w:cs="Times New Roman" w:eastAsia="Times New Roman" w:hAnsi="Times New Roman"/>
                <w:sz w:val="16"/>
                <w:szCs w:val="16"/>
                <w:color w:val="auto"/>
              </w:rPr>
              <w:t>801</w:t>
            </w:r>
          </w:p>
        </w:tc>
        <w:tc>
          <w:tcPr>
            <w:tcW w:w="1340" w:type="dxa"/>
            <w:vAlign w:val="bottom"/>
            <w:gridSpan w:val="3"/>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845</w:t>
            </w:r>
          </w:p>
        </w:tc>
        <w:tc>
          <w:tcPr>
            <w:tcW w:w="100" w:type="dxa"/>
            <w:vAlign w:val="bottom"/>
            <w:shd w:val="clear" w:color="auto" w:fill="E5FFFF"/>
          </w:tcPr>
          <w:p>
            <w:pPr>
              <w:spacing w:after="0"/>
              <w:rPr>
                <w:sz w:val="17"/>
                <w:szCs w:val="17"/>
                <w:color w:val="auto"/>
              </w:rPr>
            </w:pPr>
          </w:p>
        </w:tc>
        <w:tc>
          <w:tcPr>
            <w:tcW w:w="1240" w:type="dxa"/>
            <w:vAlign w:val="bottom"/>
            <w:gridSpan w:val="2"/>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5,408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40" w:type="dxa"/>
            <w:vAlign w:val="bottom"/>
          </w:tcPr>
          <w:p>
            <w:pPr>
              <w:spacing w:after="0"/>
              <w:rPr>
                <w:sz w:val="20"/>
                <w:szCs w:val="20"/>
                <w:color w:val="auto"/>
              </w:rPr>
            </w:pPr>
            <w:r>
              <w:rPr>
                <w:rFonts w:ascii="Times New Roman" w:cs="Times New Roman" w:eastAsia="Times New Roman" w:hAnsi="Times New Roman"/>
                <w:sz w:val="16"/>
                <w:szCs w:val="16"/>
                <w:color w:val="auto"/>
              </w:rPr>
              <w:t>Impairment loss</w:t>
            </w:r>
          </w:p>
        </w:tc>
        <w:tc>
          <w:tcPr>
            <w:tcW w:w="2180" w:type="dxa"/>
            <w:vAlign w:val="bottom"/>
            <w:gridSpan w:val="5"/>
          </w:tcPr>
          <w:p>
            <w:pPr>
              <w:jc w:val="right"/>
              <w:ind w:right="120"/>
              <w:spacing w:after="0"/>
              <w:rPr>
                <w:sz w:val="20"/>
                <w:szCs w:val="20"/>
                <w:color w:val="auto"/>
              </w:rPr>
            </w:pPr>
            <w:r>
              <w:rPr>
                <w:rFonts w:ascii="Times New Roman" w:cs="Times New Roman" w:eastAsia="Times New Roman" w:hAnsi="Times New Roman"/>
                <w:sz w:val="16"/>
                <w:szCs w:val="16"/>
                <w:color w:val="auto"/>
              </w:rPr>
              <w:t>11,376</w:t>
            </w:r>
          </w:p>
        </w:tc>
        <w:tc>
          <w:tcPr>
            <w:tcW w:w="100" w:type="dxa"/>
            <w:vAlign w:val="bottom"/>
          </w:tcPr>
          <w:p>
            <w:pPr>
              <w:spacing w:after="0"/>
              <w:rPr>
                <w:sz w:val="17"/>
                <w:szCs w:val="17"/>
                <w:color w:val="auto"/>
              </w:rPr>
            </w:pPr>
          </w:p>
        </w:tc>
        <w:tc>
          <w:tcPr>
            <w:tcW w:w="134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68,287</w:t>
            </w:r>
          </w:p>
        </w:tc>
        <w:tc>
          <w:tcPr>
            <w:tcW w:w="100" w:type="dxa"/>
            <w:vAlign w:val="bottom"/>
          </w:tcPr>
          <w:p>
            <w:pPr>
              <w:spacing w:after="0"/>
              <w:rPr>
                <w:sz w:val="17"/>
                <w:szCs w:val="17"/>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11,740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40" w:type="dxa"/>
            <w:vAlign w:val="bottom"/>
            <w:shd w:val="clear" w:color="auto" w:fill="E5FFFF"/>
          </w:tcPr>
          <w:p>
            <w:pPr>
              <w:spacing w:after="0"/>
              <w:rPr>
                <w:sz w:val="20"/>
                <w:szCs w:val="20"/>
                <w:color w:val="auto"/>
              </w:rPr>
            </w:pPr>
            <w:r>
              <w:rPr>
                <w:rFonts w:ascii="Times New Roman" w:cs="Times New Roman" w:eastAsia="Times New Roman" w:hAnsi="Times New Roman"/>
                <w:sz w:val="16"/>
                <w:szCs w:val="16"/>
                <w:color w:val="auto"/>
              </w:rPr>
              <w:t>(Gain)/loss on disposal of non-current assets</w:t>
            </w:r>
          </w:p>
        </w:tc>
        <w:tc>
          <w:tcPr>
            <w:tcW w:w="2180" w:type="dxa"/>
            <w:vAlign w:val="bottom"/>
            <w:gridSpan w:val="5"/>
            <w:shd w:val="clear" w:color="auto" w:fill="E5FFFF"/>
          </w:tcPr>
          <w:p>
            <w:pPr>
              <w:jc w:val="right"/>
              <w:ind w:right="60"/>
              <w:spacing w:after="0"/>
              <w:rPr>
                <w:sz w:val="20"/>
                <w:szCs w:val="20"/>
                <w:color w:val="auto"/>
              </w:rPr>
            </w:pPr>
            <w:r>
              <w:rPr>
                <w:rFonts w:ascii="Times New Roman" w:cs="Times New Roman" w:eastAsia="Times New Roman" w:hAnsi="Times New Roman"/>
                <w:sz w:val="16"/>
                <w:szCs w:val="16"/>
                <w:color w:val="auto"/>
              </w:rPr>
              <w:t>(338)</w:t>
            </w:r>
          </w:p>
        </w:tc>
        <w:tc>
          <w:tcPr>
            <w:tcW w:w="100" w:type="dxa"/>
            <w:vAlign w:val="bottom"/>
            <w:shd w:val="clear" w:color="auto" w:fill="E5FFFF"/>
          </w:tcPr>
          <w:p>
            <w:pPr>
              <w:spacing w:after="0"/>
              <w:rPr>
                <w:sz w:val="17"/>
                <w:szCs w:val="17"/>
                <w:color w:val="auto"/>
              </w:rPr>
            </w:pPr>
          </w:p>
        </w:tc>
        <w:tc>
          <w:tcPr>
            <w:tcW w:w="1340" w:type="dxa"/>
            <w:vAlign w:val="bottom"/>
            <w:gridSpan w:val="3"/>
            <w:shd w:val="clear" w:color="auto" w:fill="E5FF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gridSpan w:val="3"/>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406</w:t>
            </w:r>
          </w:p>
        </w:tc>
        <w:tc>
          <w:tcPr>
            <w:tcW w:w="100" w:type="dxa"/>
            <w:vAlign w:val="bottom"/>
            <w:shd w:val="clear" w:color="auto" w:fill="E5FFFF"/>
          </w:tcPr>
          <w:p>
            <w:pPr>
              <w:spacing w:after="0"/>
              <w:rPr>
                <w:sz w:val="17"/>
                <w:szCs w:val="17"/>
                <w:color w:val="auto"/>
              </w:rPr>
            </w:pPr>
          </w:p>
        </w:tc>
        <w:tc>
          <w:tcPr>
            <w:tcW w:w="1240" w:type="dxa"/>
            <w:vAlign w:val="bottom"/>
            <w:gridSpan w:val="2"/>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2,058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8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Adjusted EBITDA</w:t>
            </w: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190,750</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178,648</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706,654</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714,579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84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GasLog Ltd. and its Subsidiaries</w:t>
            </w: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3"/>
        </w:trPr>
        <w:tc>
          <w:tcPr>
            <w:tcW w:w="4840" w:type="dxa"/>
            <w:vAlign w:val="bottom"/>
            <w:vMerge w:val="continue"/>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5"/>
        </w:trPr>
        <w:tc>
          <w:tcPr>
            <w:tcW w:w="48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Reconciliation of Profit to Adjusted Profit:</w:t>
            </w: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48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(Amounts expressed in thousands of U.S. Dollars)</w:t>
            </w: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5"/>
        </w:trPr>
        <w:tc>
          <w:tcPr>
            <w:tcW w:w="48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780" w:type="dxa"/>
            <w:vAlign w:val="bottom"/>
            <w:gridSpan w:val="7"/>
          </w:tcPr>
          <w:p>
            <w:pPr>
              <w:jc w:val="right"/>
              <w:ind w:right="660"/>
              <w:spacing w:after="0"/>
              <w:rPr>
                <w:sz w:val="20"/>
                <w:szCs w:val="20"/>
                <w:color w:val="auto"/>
              </w:rPr>
            </w:pPr>
            <w:r>
              <w:rPr>
                <w:rFonts w:ascii="Times New Roman" w:cs="Times New Roman" w:eastAsia="Times New Roman" w:hAnsi="Times New Roman"/>
                <w:sz w:val="16"/>
                <w:szCs w:val="16"/>
                <w:b w:val="1"/>
                <w:bCs w:val="1"/>
                <w:color w:val="auto"/>
              </w:rPr>
              <w:t>For the three months ended</w:t>
            </w:r>
          </w:p>
        </w:tc>
        <w:tc>
          <w:tcPr>
            <w:tcW w:w="100" w:type="dxa"/>
            <w:vAlign w:val="bottom"/>
          </w:tcPr>
          <w:p>
            <w:pPr>
              <w:spacing w:after="0"/>
              <w:rPr>
                <w:sz w:val="24"/>
                <w:szCs w:val="24"/>
                <w:color w:val="auto"/>
              </w:rPr>
            </w:pPr>
          </w:p>
        </w:tc>
        <w:tc>
          <w:tcPr>
            <w:tcW w:w="2680" w:type="dxa"/>
            <w:vAlign w:val="bottom"/>
            <w:gridSpan w:val="6"/>
          </w:tcPr>
          <w:p>
            <w:pPr>
              <w:ind w:left="500"/>
              <w:spacing w:after="0"/>
              <w:rPr>
                <w:sz w:val="20"/>
                <w:szCs w:val="20"/>
                <w:color w:val="auto"/>
              </w:rPr>
            </w:pPr>
            <w:r>
              <w:rPr>
                <w:rFonts w:ascii="Times New Roman" w:cs="Times New Roman" w:eastAsia="Times New Roman" w:hAnsi="Times New Roman"/>
                <w:sz w:val="16"/>
                <w:szCs w:val="16"/>
                <w:b w:val="1"/>
                <w:bCs w:val="1"/>
                <w:color w:val="auto"/>
              </w:rPr>
              <w:t>For the years ended</w:t>
            </w:r>
          </w:p>
        </w:tc>
        <w:tc>
          <w:tcPr>
            <w:tcW w:w="0" w:type="dxa"/>
            <w:vAlign w:val="bottom"/>
          </w:tcPr>
          <w:p>
            <w:pPr>
              <w:spacing w:after="0"/>
              <w:rPr>
                <w:sz w:val="1"/>
                <w:szCs w:val="1"/>
                <w:color w:val="auto"/>
              </w:rPr>
            </w:pPr>
          </w:p>
        </w:tc>
      </w:tr>
      <w:tr>
        <w:trPr>
          <w:trHeight w:val="203"/>
        </w:trPr>
        <w:tc>
          <w:tcPr>
            <w:tcW w:w="48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60" w:type="dxa"/>
            <w:vAlign w:val="bottom"/>
            <w:gridSpan w:val="4"/>
          </w:tcPr>
          <w:p>
            <w:pPr>
              <w:jc w:val="right"/>
              <w:ind w:right="44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440" w:type="dxa"/>
            <w:vAlign w:val="bottom"/>
            <w:gridSpan w:val="4"/>
          </w:tcPr>
          <w:p>
            <w:pPr>
              <w:jc w:val="right"/>
              <w:ind w:right="42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440" w:type="dxa"/>
            <w:vAlign w:val="bottom"/>
            <w:gridSpan w:val="4"/>
          </w:tcPr>
          <w:p>
            <w:pPr>
              <w:jc w:val="right"/>
              <w:ind w:right="40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340" w:type="dxa"/>
            <w:vAlign w:val="bottom"/>
            <w:gridSpan w:val="3"/>
          </w:tcPr>
          <w:p>
            <w:pPr>
              <w:ind w:left="10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212"/>
        </w:trPr>
        <w:tc>
          <w:tcPr>
            <w:tcW w:w="4840" w:type="dxa"/>
            <w:vAlign w:val="bottom"/>
          </w:tcPr>
          <w:p>
            <w:pPr>
              <w:spacing w:after="0"/>
              <w:rPr>
                <w:sz w:val="18"/>
                <w:szCs w:val="18"/>
                <w:color w:val="auto"/>
              </w:rPr>
            </w:pPr>
          </w:p>
        </w:tc>
        <w:tc>
          <w:tcPr>
            <w:tcW w:w="1960" w:type="dxa"/>
            <w:vAlign w:val="bottom"/>
            <w:gridSpan w:val="3"/>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840" w:type="dxa"/>
            <w:vAlign w:val="bottom"/>
            <w:tcBorders>
              <w:top w:val="single" w:sz="8" w:color="E5FFFF"/>
            </w:tcBorders>
            <w:shd w:val="clear" w:color="auto" w:fill="E5FFFF"/>
          </w:tcPr>
          <w:p>
            <w:pPr>
              <w:spacing w:after="0"/>
              <w:rPr>
                <w:sz w:val="20"/>
                <w:szCs w:val="20"/>
                <w:color w:val="auto"/>
              </w:rPr>
            </w:pPr>
            <w:r>
              <w:rPr>
                <w:rFonts w:ascii="Times New Roman" w:cs="Times New Roman" w:eastAsia="Times New Roman" w:hAnsi="Times New Roman"/>
                <w:sz w:val="16"/>
                <w:szCs w:val="16"/>
                <w:color w:val="auto"/>
              </w:rPr>
              <w:t>Profit for the period</w:t>
            </w:r>
          </w:p>
        </w:tc>
        <w:tc>
          <w:tcPr>
            <w:tcW w:w="720" w:type="dxa"/>
            <w:vAlign w:val="bottom"/>
            <w:tcBorders>
              <w:top w:val="single" w:sz="8" w:color="E5FFFF"/>
            </w:tcBorders>
            <w:shd w:val="clear" w:color="auto" w:fill="E5FFFF"/>
          </w:tcPr>
          <w:p>
            <w:pPr>
              <w:spacing w:after="0"/>
              <w:rPr>
                <w:sz w:val="17"/>
                <w:szCs w:val="17"/>
                <w:color w:val="auto"/>
              </w:rPr>
            </w:pPr>
          </w:p>
        </w:tc>
        <w:tc>
          <w:tcPr>
            <w:tcW w:w="1240" w:type="dxa"/>
            <w:vAlign w:val="bottom"/>
            <w:tcBorders>
              <w:top w:val="single" w:sz="8" w:color="auto"/>
            </w:tcBorders>
            <w:gridSpan w:val="2"/>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68,703</w:t>
            </w:r>
          </w:p>
        </w:tc>
        <w:tc>
          <w:tcPr>
            <w:tcW w:w="100" w:type="dxa"/>
            <w:vAlign w:val="bottom"/>
            <w:tcBorders>
              <w:top w:val="single" w:sz="8" w:color="E5FFFF"/>
            </w:tcBorders>
            <w:shd w:val="clear" w:color="auto" w:fill="E5FFFF"/>
          </w:tcPr>
          <w:p>
            <w:pPr>
              <w:spacing w:after="0"/>
              <w:rPr>
                <w:sz w:val="17"/>
                <w:szCs w:val="17"/>
                <w:color w:val="auto"/>
              </w:rPr>
            </w:pPr>
          </w:p>
        </w:tc>
        <w:tc>
          <w:tcPr>
            <w:tcW w:w="120" w:type="dxa"/>
            <w:vAlign w:val="bottom"/>
            <w:tcBorders>
              <w:top w:val="single" w:sz="8" w:color="E5FFFF"/>
            </w:tcBorders>
            <w:shd w:val="clear" w:color="auto" w:fill="E5FFFF"/>
          </w:tcPr>
          <w:p>
            <w:pPr>
              <w:spacing w:after="0"/>
              <w:rPr>
                <w:sz w:val="17"/>
                <w:szCs w:val="17"/>
                <w:color w:val="auto"/>
              </w:rPr>
            </w:pPr>
          </w:p>
        </w:tc>
        <w:tc>
          <w:tcPr>
            <w:tcW w:w="1220" w:type="dxa"/>
            <w:vAlign w:val="bottom"/>
            <w:tcBorders>
              <w:top w:val="single" w:sz="8" w:color="auto"/>
            </w:tcBorders>
            <w:gridSpan w:val="2"/>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31,436</w:t>
            </w:r>
          </w:p>
        </w:tc>
        <w:tc>
          <w:tcPr>
            <w:tcW w:w="120" w:type="dxa"/>
            <w:vAlign w:val="bottom"/>
            <w:tcBorders>
              <w:top w:val="single" w:sz="8" w:color="E5FFFF"/>
            </w:tcBorders>
            <w:shd w:val="clear" w:color="auto" w:fill="E5FFFF"/>
          </w:tcPr>
          <w:p>
            <w:pPr>
              <w:spacing w:after="0"/>
              <w:rPr>
                <w:sz w:val="17"/>
                <w:szCs w:val="17"/>
                <w:color w:val="auto"/>
              </w:rPr>
            </w:pPr>
          </w:p>
        </w:tc>
        <w:tc>
          <w:tcPr>
            <w:tcW w:w="100" w:type="dxa"/>
            <w:vAlign w:val="bottom"/>
            <w:tcBorders>
              <w:top w:val="single" w:sz="8" w:color="E5FFFF"/>
            </w:tcBorders>
            <w:shd w:val="clear" w:color="auto" w:fill="E5FFFF"/>
          </w:tcPr>
          <w:p>
            <w:pPr>
              <w:spacing w:after="0"/>
              <w:rPr>
                <w:sz w:val="17"/>
                <w:szCs w:val="17"/>
                <w:color w:val="auto"/>
              </w:rPr>
            </w:pPr>
          </w:p>
        </w:tc>
        <w:tc>
          <w:tcPr>
            <w:tcW w:w="1220" w:type="dxa"/>
            <w:vAlign w:val="bottom"/>
            <w:tcBorders>
              <w:top w:val="single" w:sz="8" w:color="auto"/>
            </w:tcBorders>
            <w:gridSpan w:val="2"/>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297,247</w:t>
            </w:r>
          </w:p>
        </w:tc>
        <w:tc>
          <w:tcPr>
            <w:tcW w:w="120" w:type="dxa"/>
            <w:vAlign w:val="bottom"/>
            <w:tcBorders>
              <w:top w:val="single" w:sz="8" w:color="E5FFFF"/>
            </w:tcBorders>
            <w:shd w:val="clear" w:color="auto" w:fill="E5FFFF"/>
          </w:tcPr>
          <w:p>
            <w:pPr>
              <w:spacing w:after="0"/>
              <w:rPr>
                <w:sz w:val="17"/>
                <w:szCs w:val="17"/>
                <w:color w:val="auto"/>
              </w:rPr>
            </w:pPr>
          </w:p>
        </w:tc>
        <w:tc>
          <w:tcPr>
            <w:tcW w:w="100" w:type="dxa"/>
            <w:vAlign w:val="bottom"/>
            <w:tcBorders>
              <w:top w:val="single" w:sz="8" w:color="E5FFFF"/>
            </w:tcBorders>
            <w:shd w:val="clear" w:color="auto" w:fill="E5FFFF"/>
          </w:tcPr>
          <w:p>
            <w:pPr>
              <w:spacing w:after="0"/>
              <w:rPr>
                <w:sz w:val="17"/>
                <w:szCs w:val="17"/>
                <w:color w:val="auto"/>
              </w:rPr>
            </w:pPr>
          </w:p>
        </w:tc>
        <w:tc>
          <w:tcPr>
            <w:tcW w:w="1240" w:type="dxa"/>
            <w:vAlign w:val="bottom"/>
            <w:tcBorders>
              <w:top w:val="single" w:sz="8" w:color="auto"/>
            </w:tcBorders>
            <w:gridSpan w:val="2"/>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196,303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40" w:type="dxa"/>
            <w:vAlign w:val="bottom"/>
          </w:tcPr>
          <w:p>
            <w:pPr>
              <w:spacing w:after="0"/>
              <w:rPr>
                <w:sz w:val="20"/>
                <w:szCs w:val="20"/>
                <w:color w:val="auto"/>
              </w:rPr>
            </w:pPr>
            <w:r>
              <w:rPr>
                <w:rFonts w:ascii="Times New Roman" w:cs="Times New Roman" w:eastAsia="Times New Roman" w:hAnsi="Times New Roman"/>
                <w:sz w:val="16"/>
                <w:szCs w:val="16"/>
                <w:color w:val="auto"/>
              </w:rPr>
              <w:t>Non-cash (gain)/loss on derivatives</w:t>
            </w:r>
          </w:p>
        </w:tc>
        <w:tc>
          <w:tcPr>
            <w:tcW w:w="2060" w:type="dxa"/>
            <w:vAlign w:val="bottom"/>
            <w:gridSpan w:val="4"/>
          </w:tcPr>
          <w:p>
            <w:pPr>
              <w:jc w:val="right"/>
              <w:ind w:right="40"/>
              <w:spacing w:after="0"/>
              <w:rPr>
                <w:sz w:val="20"/>
                <w:szCs w:val="20"/>
                <w:color w:val="auto"/>
              </w:rPr>
            </w:pPr>
            <w:r>
              <w:rPr>
                <w:rFonts w:ascii="Times New Roman" w:cs="Times New Roman" w:eastAsia="Times New Roman" w:hAnsi="Times New Roman"/>
                <w:sz w:val="16"/>
                <w:szCs w:val="16"/>
                <w:color w:val="auto"/>
              </w:rPr>
              <w:t>(7,263)</w:t>
            </w:r>
          </w:p>
        </w:tc>
        <w:tc>
          <w:tcPr>
            <w:tcW w:w="120" w:type="dxa"/>
            <w:vAlign w:val="bottom"/>
          </w:tcPr>
          <w:p>
            <w:pPr>
              <w:spacing w:after="0"/>
              <w:rPr>
                <w:sz w:val="17"/>
                <w:szCs w:val="17"/>
                <w:color w:val="auto"/>
              </w:rPr>
            </w:pPr>
          </w:p>
        </w:tc>
        <w:tc>
          <w:tcPr>
            <w:tcW w:w="134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(4,899)</w:t>
            </w:r>
          </w:p>
        </w:tc>
        <w:tc>
          <w:tcPr>
            <w:tcW w:w="100" w:type="dxa"/>
            <w:vAlign w:val="bottom"/>
          </w:tcPr>
          <w:p>
            <w:pPr>
              <w:spacing w:after="0"/>
              <w:rPr>
                <w:sz w:val="17"/>
                <w:szCs w:val="17"/>
                <w:color w:val="auto"/>
              </w:rPr>
            </w:pPr>
          </w:p>
        </w:tc>
        <w:tc>
          <w:tcPr>
            <w:tcW w:w="134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(92,807)</w:t>
            </w:r>
          </w:p>
        </w:tc>
        <w:tc>
          <w:tcPr>
            <w:tcW w:w="100" w:type="dxa"/>
            <w:vAlign w:val="bottom"/>
          </w:tcPr>
          <w:p>
            <w:pPr>
              <w:spacing w:after="0"/>
              <w:rPr>
                <w:sz w:val="17"/>
                <w:szCs w:val="17"/>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767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40" w:type="dxa"/>
            <w:vAlign w:val="bottom"/>
            <w:shd w:val="clear" w:color="auto" w:fill="E5FFFF"/>
          </w:tcPr>
          <w:p>
            <w:pPr>
              <w:spacing w:after="0"/>
              <w:rPr>
                <w:sz w:val="20"/>
                <w:szCs w:val="20"/>
                <w:color w:val="auto"/>
              </w:rPr>
            </w:pPr>
            <w:r>
              <w:rPr>
                <w:rFonts w:ascii="Times New Roman" w:cs="Times New Roman" w:eastAsia="Times New Roman" w:hAnsi="Times New Roman"/>
                <w:sz w:val="16"/>
                <w:szCs w:val="16"/>
                <w:color w:val="auto"/>
              </w:rPr>
              <w:t>Write-off of unamortized loan fees</w:t>
            </w:r>
          </w:p>
        </w:tc>
        <w:tc>
          <w:tcPr>
            <w:tcW w:w="1960" w:type="dxa"/>
            <w:vAlign w:val="bottom"/>
            <w:gridSpan w:val="3"/>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360</w:t>
            </w:r>
          </w:p>
        </w:tc>
        <w:tc>
          <w:tcPr>
            <w:tcW w:w="100" w:type="dxa"/>
            <w:vAlign w:val="bottom"/>
            <w:shd w:val="clear" w:color="auto" w:fill="E5FFFF"/>
          </w:tcPr>
          <w:p>
            <w:pPr>
              <w:spacing w:after="0"/>
              <w:rPr>
                <w:sz w:val="17"/>
                <w:szCs w:val="17"/>
                <w:color w:val="auto"/>
              </w:rPr>
            </w:pPr>
          </w:p>
        </w:tc>
        <w:tc>
          <w:tcPr>
            <w:tcW w:w="120" w:type="dxa"/>
            <w:vAlign w:val="bottom"/>
            <w:shd w:val="clear" w:color="auto" w:fill="E5FFFF"/>
          </w:tcPr>
          <w:p>
            <w:pPr>
              <w:spacing w:after="0"/>
              <w:rPr>
                <w:sz w:val="17"/>
                <w:szCs w:val="17"/>
                <w:color w:val="auto"/>
              </w:rPr>
            </w:pPr>
          </w:p>
        </w:tc>
        <w:tc>
          <w:tcPr>
            <w:tcW w:w="1340" w:type="dxa"/>
            <w:vAlign w:val="bottom"/>
            <w:gridSpan w:val="3"/>
            <w:shd w:val="clear" w:color="auto" w:fill="E5FFFF"/>
          </w:tcPr>
          <w:p>
            <w:pPr>
              <w:jc w:val="right"/>
              <w:ind w:right="120"/>
              <w:spacing w:after="0"/>
              <w:rPr>
                <w:sz w:val="20"/>
                <w:szCs w:val="20"/>
                <w:color w:val="auto"/>
              </w:rPr>
            </w:pPr>
            <w:r>
              <w:rPr>
                <w:rFonts w:ascii="Times New Roman" w:cs="Times New Roman" w:eastAsia="Times New Roman" w:hAnsi="Times New Roman"/>
                <w:sz w:val="16"/>
                <w:szCs w:val="16"/>
                <w:color w:val="auto"/>
              </w:rPr>
              <w:t>27,316</w:t>
            </w:r>
          </w:p>
        </w:tc>
        <w:tc>
          <w:tcPr>
            <w:tcW w:w="100" w:type="dxa"/>
            <w:vAlign w:val="bottom"/>
            <w:shd w:val="clear" w:color="auto" w:fill="E5FFFF"/>
          </w:tcPr>
          <w:p>
            <w:pPr>
              <w:spacing w:after="0"/>
              <w:rPr>
                <w:sz w:val="17"/>
                <w:szCs w:val="17"/>
                <w:color w:val="auto"/>
              </w:rPr>
            </w:pPr>
          </w:p>
        </w:tc>
        <w:tc>
          <w:tcPr>
            <w:tcW w:w="1220" w:type="dxa"/>
            <w:vAlign w:val="bottom"/>
            <w:gridSpan w:val="2"/>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1,804</w:t>
            </w:r>
          </w:p>
        </w:tc>
        <w:tc>
          <w:tcPr>
            <w:tcW w:w="12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1240" w:type="dxa"/>
            <w:vAlign w:val="bottom"/>
            <w:gridSpan w:val="2"/>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30,840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40" w:type="dxa"/>
            <w:vAlign w:val="bottom"/>
          </w:tcPr>
          <w:p>
            <w:pPr>
              <w:spacing w:after="0"/>
              <w:rPr>
                <w:sz w:val="20"/>
                <w:szCs w:val="20"/>
                <w:color w:val="auto"/>
              </w:rPr>
            </w:pPr>
            <w:r>
              <w:rPr>
                <w:rFonts w:ascii="Times New Roman" w:cs="Times New Roman" w:eastAsia="Times New Roman" w:hAnsi="Times New Roman"/>
                <w:sz w:val="16"/>
                <w:szCs w:val="16"/>
                <w:color w:val="auto"/>
              </w:rPr>
              <w:t>Foreign exchange losses/(gains), net</w:t>
            </w:r>
          </w:p>
        </w:tc>
        <w:tc>
          <w:tcPr>
            <w:tcW w:w="19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695</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(667)</w:t>
            </w:r>
          </w:p>
        </w:tc>
        <w:tc>
          <w:tcPr>
            <w:tcW w:w="100" w:type="dxa"/>
            <w:vAlign w:val="bottom"/>
          </w:tcPr>
          <w:p>
            <w:pPr>
              <w:spacing w:after="0"/>
              <w:rPr>
                <w:sz w:val="17"/>
                <w:szCs w:val="17"/>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463</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946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40" w:type="dxa"/>
            <w:vAlign w:val="bottom"/>
            <w:shd w:val="clear" w:color="auto" w:fill="E5FFFF"/>
          </w:tcPr>
          <w:p>
            <w:pPr>
              <w:spacing w:after="0"/>
              <w:rPr>
                <w:sz w:val="20"/>
                <w:szCs w:val="20"/>
                <w:color w:val="auto"/>
              </w:rPr>
            </w:pPr>
            <w:r>
              <w:rPr>
                <w:rFonts w:ascii="Times New Roman" w:cs="Times New Roman" w:eastAsia="Times New Roman" w:hAnsi="Times New Roman"/>
                <w:sz w:val="16"/>
                <w:szCs w:val="16"/>
                <w:color w:val="auto"/>
              </w:rPr>
              <w:t>Restructuring costs</w:t>
            </w:r>
          </w:p>
        </w:tc>
        <w:tc>
          <w:tcPr>
            <w:tcW w:w="1960" w:type="dxa"/>
            <w:vAlign w:val="bottom"/>
            <w:gridSpan w:val="3"/>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3,332</w:t>
            </w:r>
          </w:p>
        </w:tc>
        <w:tc>
          <w:tcPr>
            <w:tcW w:w="100" w:type="dxa"/>
            <w:vAlign w:val="bottom"/>
            <w:shd w:val="clear" w:color="auto" w:fill="E5FFFF"/>
          </w:tcPr>
          <w:p>
            <w:pPr>
              <w:spacing w:after="0"/>
              <w:rPr>
                <w:sz w:val="17"/>
                <w:szCs w:val="17"/>
                <w:color w:val="auto"/>
              </w:rPr>
            </w:pPr>
          </w:p>
        </w:tc>
        <w:tc>
          <w:tcPr>
            <w:tcW w:w="120" w:type="dxa"/>
            <w:vAlign w:val="bottom"/>
            <w:shd w:val="clear" w:color="auto" w:fill="E5FFFF"/>
          </w:tcPr>
          <w:p>
            <w:pPr>
              <w:spacing w:after="0"/>
              <w:rPr>
                <w:sz w:val="17"/>
                <w:szCs w:val="17"/>
                <w:color w:val="auto"/>
              </w:rPr>
            </w:pPr>
          </w:p>
        </w:tc>
        <w:tc>
          <w:tcPr>
            <w:tcW w:w="1340" w:type="dxa"/>
            <w:vAlign w:val="bottom"/>
            <w:gridSpan w:val="3"/>
            <w:shd w:val="clear" w:color="auto" w:fill="E5FFFF"/>
          </w:tcPr>
          <w:p>
            <w:pPr>
              <w:jc w:val="right"/>
              <w:ind w:right="120"/>
              <w:spacing w:after="0"/>
              <w:rPr>
                <w:sz w:val="20"/>
                <w:szCs w:val="20"/>
                <w:color w:val="auto"/>
              </w:rPr>
            </w:pPr>
            <w:r>
              <w:rPr>
                <w:rFonts w:ascii="Times New Roman" w:cs="Times New Roman" w:eastAsia="Times New Roman" w:hAnsi="Times New Roman"/>
                <w:sz w:val="16"/>
                <w:szCs w:val="16"/>
                <w:color w:val="auto"/>
              </w:rPr>
              <w:t>109</w:t>
            </w:r>
          </w:p>
        </w:tc>
        <w:tc>
          <w:tcPr>
            <w:tcW w:w="100" w:type="dxa"/>
            <w:vAlign w:val="bottom"/>
            <w:shd w:val="clear" w:color="auto" w:fill="E5FFFF"/>
          </w:tcPr>
          <w:p>
            <w:pPr>
              <w:spacing w:after="0"/>
              <w:rPr>
                <w:sz w:val="17"/>
                <w:szCs w:val="17"/>
                <w:color w:val="auto"/>
              </w:rPr>
            </w:pPr>
          </w:p>
        </w:tc>
        <w:tc>
          <w:tcPr>
            <w:tcW w:w="1220" w:type="dxa"/>
            <w:vAlign w:val="bottom"/>
            <w:gridSpan w:val="2"/>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5,017</w:t>
            </w:r>
          </w:p>
        </w:tc>
        <w:tc>
          <w:tcPr>
            <w:tcW w:w="12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1240" w:type="dxa"/>
            <w:vAlign w:val="bottom"/>
            <w:gridSpan w:val="2"/>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235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40" w:type="dxa"/>
            <w:vAlign w:val="bottom"/>
          </w:tcPr>
          <w:p>
            <w:pPr>
              <w:spacing w:after="0"/>
              <w:rPr>
                <w:sz w:val="20"/>
                <w:szCs w:val="20"/>
                <w:color w:val="auto"/>
              </w:rPr>
            </w:pPr>
            <w:r>
              <w:rPr>
                <w:rFonts w:ascii="Times New Roman" w:cs="Times New Roman" w:eastAsia="Times New Roman" w:hAnsi="Times New Roman"/>
                <w:sz w:val="16"/>
                <w:szCs w:val="16"/>
                <w:color w:val="auto"/>
              </w:rPr>
              <w:t>Transaction Costs</w:t>
            </w:r>
          </w:p>
        </w:tc>
        <w:tc>
          <w:tcPr>
            <w:tcW w:w="19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801</w:t>
            </w:r>
          </w:p>
        </w:tc>
        <w:tc>
          <w:tcPr>
            <w:tcW w:w="100" w:type="dxa"/>
            <w:vAlign w:val="bottom"/>
          </w:tcPr>
          <w:p>
            <w:pPr>
              <w:spacing w:after="0"/>
              <w:rPr>
                <w:sz w:val="17"/>
                <w:szCs w:val="17"/>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845</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5,408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40" w:type="dxa"/>
            <w:vAlign w:val="bottom"/>
            <w:shd w:val="clear" w:color="auto" w:fill="E5FFFF"/>
          </w:tcPr>
          <w:p>
            <w:pPr>
              <w:spacing w:after="0"/>
              <w:rPr>
                <w:sz w:val="20"/>
                <w:szCs w:val="20"/>
                <w:color w:val="auto"/>
              </w:rPr>
            </w:pPr>
            <w:r>
              <w:rPr>
                <w:rFonts w:ascii="Times New Roman" w:cs="Times New Roman" w:eastAsia="Times New Roman" w:hAnsi="Times New Roman"/>
                <w:sz w:val="16"/>
                <w:szCs w:val="16"/>
                <w:color w:val="auto"/>
              </w:rPr>
              <w:t>Impairment loss</w:t>
            </w:r>
          </w:p>
        </w:tc>
        <w:tc>
          <w:tcPr>
            <w:tcW w:w="2060" w:type="dxa"/>
            <w:vAlign w:val="bottom"/>
            <w:gridSpan w:val="4"/>
            <w:shd w:val="clear" w:color="auto" w:fill="E5FFFF"/>
          </w:tcPr>
          <w:p>
            <w:pPr>
              <w:jc w:val="right"/>
              <w:ind w:right="100"/>
              <w:spacing w:after="0"/>
              <w:rPr>
                <w:sz w:val="20"/>
                <w:szCs w:val="20"/>
                <w:color w:val="auto"/>
              </w:rPr>
            </w:pPr>
            <w:r>
              <w:rPr>
                <w:rFonts w:ascii="Times New Roman" w:cs="Times New Roman" w:eastAsia="Times New Roman" w:hAnsi="Times New Roman"/>
                <w:sz w:val="16"/>
                <w:szCs w:val="16"/>
                <w:color w:val="auto"/>
              </w:rPr>
              <w:t>11,376</w:t>
            </w:r>
          </w:p>
        </w:tc>
        <w:tc>
          <w:tcPr>
            <w:tcW w:w="12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1340" w:type="dxa"/>
            <w:vAlign w:val="bottom"/>
            <w:gridSpan w:val="3"/>
            <w:shd w:val="clear" w:color="auto" w:fill="E5FF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2"/>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68,287</w:t>
            </w:r>
          </w:p>
        </w:tc>
        <w:tc>
          <w:tcPr>
            <w:tcW w:w="12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1240" w:type="dxa"/>
            <w:vAlign w:val="bottom"/>
            <w:gridSpan w:val="2"/>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11,740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40" w:type="dxa"/>
            <w:vAlign w:val="bottom"/>
          </w:tcPr>
          <w:p>
            <w:pPr>
              <w:spacing w:after="0"/>
              <w:rPr>
                <w:sz w:val="20"/>
                <w:szCs w:val="20"/>
                <w:color w:val="auto"/>
              </w:rPr>
            </w:pPr>
            <w:r>
              <w:rPr>
                <w:rFonts w:ascii="Times New Roman" w:cs="Times New Roman" w:eastAsia="Times New Roman" w:hAnsi="Times New Roman"/>
                <w:sz w:val="16"/>
                <w:szCs w:val="16"/>
                <w:color w:val="auto"/>
              </w:rPr>
              <w:t>(Gain)/loss on disposal of non-current assets</w:t>
            </w:r>
          </w:p>
        </w:tc>
        <w:tc>
          <w:tcPr>
            <w:tcW w:w="2060" w:type="dxa"/>
            <w:vAlign w:val="bottom"/>
            <w:gridSpan w:val="4"/>
          </w:tcPr>
          <w:p>
            <w:pPr>
              <w:jc w:val="right"/>
              <w:ind w:right="40"/>
              <w:spacing w:after="0"/>
              <w:rPr>
                <w:sz w:val="20"/>
                <w:szCs w:val="20"/>
                <w:color w:val="auto"/>
              </w:rPr>
            </w:pPr>
            <w:r>
              <w:rPr>
                <w:rFonts w:ascii="Times New Roman" w:cs="Times New Roman" w:eastAsia="Times New Roman" w:hAnsi="Times New Roman"/>
                <w:sz w:val="16"/>
                <w:szCs w:val="16"/>
                <w:color w:val="auto"/>
              </w:rPr>
              <w:t>(338)</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406</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2,058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40" w:type="dxa"/>
            <w:vAlign w:val="bottom"/>
            <w:shd w:val="clear" w:color="auto" w:fill="E5FFFF"/>
          </w:tcPr>
          <w:p>
            <w:pPr>
              <w:spacing w:after="0"/>
              <w:rPr>
                <w:sz w:val="20"/>
                <w:szCs w:val="20"/>
                <w:color w:val="auto"/>
              </w:rPr>
            </w:pPr>
            <w:r>
              <w:rPr>
                <w:rFonts w:ascii="Times New Roman" w:cs="Times New Roman" w:eastAsia="Times New Roman" w:hAnsi="Times New Roman"/>
                <w:sz w:val="16"/>
                <w:szCs w:val="16"/>
                <w:color w:val="auto"/>
              </w:rPr>
              <w:t>Unrealized foreign exchange gains, net on cash</w:t>
            </w:r>
          </w:p>
        </w:tc>
        <w:tc>
          <w:tcPr>
            <w:tcW w:w="2060" w:type="dxa"/>
            <w:vAlign w:val="bottom"/>
            <w:gridSpan w:val="4"/>
            <w:shd w:val="clear" w:color="auto" w:fill="E5FFFF"/>
          </w:tcPr>
          <w:p>
            <w:pPr>
              <w:jc w:val="right"/>
              <w:ind w:right="40"/>
              <w:spacing w:after="0"/>
              <w:rPr>
                <w:sz w:val="20"/>
                <w:szCs w:val="20"/>
                <w:color w:val="auto"/>
              </w:rPr>
            </w:pPr>
            <w:r>
              <w:rPr>
                <w:rFonts w:ascii="Times New Roman" w:cs="Times New Roman" w:eastAsia="Times New Roman" w:hAnsi="Times New Roman"/>
                <w:sz w:val="16"/>
                <w:szCs w:val="16"/>
                <w:color w:val="auto"/>
              </w:rPr>
              <w:t>(1,301)</w:t>
            </w:r>
          </w:p>
        </w:tc>
        <w:tc>
          <w:tcPr>
            <w:tcW w:w="120" w:type="dxa"/>
            <w:vAlign w:val="bottom"/>
            <w:shd w:val="clear" w:color="auto" w:fill="E5FFFF"/>
          </w:tcPr>
          <w:p>
            <w:pPr>
              <w:spacing w:after="0"/>
              <w:rPr>
                <w:sz w:val="17"/>
                <w:szCs w:val="17"/>
                <w:color w:val="auto"/>
              </w:rPr>
            </w:pPr>
          </w:p>
        </w:tc>
        <w:tc>
          <w:tcPr>
            <w:tcW w:w="1340" w:type="dxa"/>
            <w:vAlign w:val="bottom"/>
            <w:gridSpan w:val="3"/>
            <w:shd w:val="clear" w:color="auto" w:fill="E5FFFF"/>
          </w:tcPr>
          <w:p>
            <w:pPr>
              <w:jc w:val="right"/>
              <w:ind w:right="60"/>
              <w:spacing w:after="0"/>
              <w:rPr>
                <w:sz w:val="20"/>
                <w:szCs w:val="20"/>
                <w:color w:val="auto"/>
              </w:rPr>
            </w:pPr>
            <w:r>
              <w:rPr>
                <w:rFonts w:ascii="Times New Roman" w:cs="Times New Roman" w:eastAsia="Times New Roman" w:hAnsi="Times New Roman"/>
                <w:sz w:val="16"/>
                <w:szCs w:val="16"/>
                <w:color w:val="auto"/>
              </w:rPr>
              <w:t>(826)</w:t>
            </w:r>
          </w:p>
        </w:tc>
        <w:tc>
          <w:tcPr>
            <w:tcW w:w="100" w:type="dxa"/>
            <w:vAlign w:val="bottom"/>
            <w:shd w:val="clear" w:color="auto" w:fill="E5FFFF"/>
          </w:tcPr>
          <w:p>
            <w:pPr>
              <w:spacing w:after="0"/>
              <w:rPr>
                <w:sz w:val="17"/>
                <w:szCs w:val="17"/>
                <w:color w:val="auto"/>
              </w:rPr>
            </w:pPr>
          </w:p>
        </w:tc>
        <w:tc>
          <w:tcPr>
            <w:tcW w:w="1340" w:type="dxa"/>
            <w:vAlign w:val="bottom"/>
            <w:gridSpan w:val="3"/>
            <w:shd w:val="clear" w:color="auto" w:fill="E5FFFF"/>
          </w:tcPr>
          <w:p>
            <w:pPr>
              <w:jc w:val="right"/>
              <w:ind w:right="60"/>
              <w:spacing w:after="0"/>
              <w:rPr>
                <w:sz w:val="20"/>
                <w:szCs w:val="20"/>
                <w:color w:val="auto"/>
              </w:rPr>
            </w:pPr>
            <w:r>
              <w:rPr>
                <w:rFonts w:ascii="Times New Roman" w:cs="Times New Roman" w:eastAsia="Times New Roman" w:hAnsi="Times New Roman"/>
                <w:sz w:val="16"/>
                <w:szCs w:val="16"/>
                <w:color w:val="auto"/>
              </w:rPr>
              <w:t>(445)</w:t>
            </w:r>
          </w:p>
        </w:tc>
        <w:tc>
          <w:tcPr>
            <w:tcW w:w="100" w:type="dxa"/>
            <w:vAlign w:val="bottom"/>
            <w:shd w:val="clear" w:color="auto" w:fill="E5FFFF"/>
          </w:tcPr>
          <w:p>
            <w:pPr>
              <w:spacing w:after="0"/>
              <w:rPr>
                <w:sz w:val="17"/>
                <w:szCs w:val="17"/>
                <w:color w:val="auto"/>
              </w:rPr>
            </w:pPr>
          </w:p>
        </w:tc>
        <w:tc>
          <w:tcPr>
            <w:tcW w:w="1240" w:type="dxa"/>
            <w:vAlign w:val="bottom"/>
            <w:gridSpan w:val="2"/>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(1,097)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48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Adjusted Profit</w:t>
            </w:r>
          </w:p>
        </w:tc>
        <w:tc>
          <w:tcPr>
            <w:tcW w:w="720" w:type="dxa"/>
            <w:vAlign w:val="bottom"/>
          </w:tcPr>
          <w:p>
            <w:pPr>
              <w:spacing w:after="0"/>
              <w:rPr>
                <w:sz w:val="18"/>
                <w:szCs w:val="18"/>
                <w:color w:val="auto"/>
              </w:rPr>
            </w:pPr>
          </w:p>
        </w:tc>
        <w:tc>
          <w:tcPr>
            <w:tcW w:w="12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75,569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53,270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280,817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247,200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9"/>
        </w:trPr>
        <w:tc>
          <w:tcPr>
            <w:tcW w:w="484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gridSpan w:val="3"/>
          </w:tcPr>
          <w:p>
            <w:pPr>
              <w:jc w:val="right"/>
              <w:ind w:right="1039"/>
              <w:spacing w:after="0"/>
              <w:rPr>
                <w:sz w:val="20"/>
                <w:szCs w:val="20"/>
                <w:color w:val="auto"/>
              </w:rPr>
            </w:pPr>
            <w:r>
              <w:rPr>
                <w:rFonts w:ascii="Times New Roman" w:cs="Times New Roman" w:eastAsia="Times New Roman" w:hAnsi="Times New Roman"/>
                <w:sz w:val="14"/>
                <w:szCs w:val="14"/>
                <w:color w:val="auto"/>
              </w:rPr>
              <w:t>13</w:t>
            </w: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240"/>
      </w:cols>
      <w:pgMar w:left="320" w:top="89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1)"/>
      <w:numFmt w:val="decimal"/>
      <w:start w:val="1"/>
    </w:lvl>
  </w:abstractNum>
  <w:abstractNum w:abstractNumId="3">
    <w:nsid w:val="46E87CCD"/>
    <w:multiLevelType w:val="hybridMultilevel"/>
    <w:lvl w:ilvl="0">
      <w:lvlJc w:val="left"/>
      <w:lvlText w:val="(%1)"/>
      <w:numFmt w:val="decimal"/>
      <w:start w:val="3"/>
    </w:lvl>
  </w:abstractNum>
  <w:abstractNum w:abstractNumId="4">
    <w:nsid w:val="3D1B58BA"/>
    <w:multiLevelType w:val="hybridMultilevel"/>
    <w:lvl w:ilvl="0">
      <w:lvlJc w:val="left"/>
      <w:lvlText w:val="(%1)"/>
      <w:numFmt w:val="decimal"/>
      <w:start w:val="1"/>
    </w:lvl>
  </w:abstractNum>
  <w:abstractNum w:abstractNumId="5">
    <w:nsid w:val="507ED7AB"/>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2024-02-15T05:56:11Z</dcterms:created>
  <dcterms:modified xsi:type="dcterms:W3CDTF">2024-02-15T05:56:11Z</dcterms:modified>
</cp:coreProperties>
</file>