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340" w:right="112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For the month of March 2022</w:t>
            </w:r>
          </w:p>
        </w:tc>
        <w:tc>
          <w:tcPr>
            <w:tcW w:w="1980" w:type="dxa"/>
            <w:vAlign w:val="bottom"/>
          </w:tcPr>
          <w:p>
            <w:pPr>
              <w:spacing w:after="0"/>
              <w:rPr>
                <w:sz w:val="20"/>
                <w:szCs w:val="20"/>
                <w:color w:val="auto"/>
              </w:rPr>
            </w:pPr>
          </w:p>
        </w:tc>
      </w:tr>
      <w:tr>
        <w:trPr>
          <w:trHeight w:val="432"/>
        </w:trPr>
        <w:tc>
          <w:tcPr>
            <w:tcW w:w="926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980" w:type="dxa"/>
            <w:vAlign w:val="bottom"/>
          </w:tcPr>
          <w:p>
            <w:pPr>
              <w:spacing w:after="0"/>
              <w:rPr>
                <w:sz w:val="24"/>
                <w:szCs w:val="24"/>
                <w:color w:val="auto"/>
              </w:rPr>
            </w:pPr>
          </w:p>
        </w:tc>
      </w:tr>
      <w:tr>
        <w:trPr>
          <w:trHeight w:val="418"/>
        </w:trPr>
        <w:tc>
          <w:tcPr>
            <w:tcW w:w="926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GasLog Ltd</w:t>
            </w:r>
          </w:p>
        </w:tc>
        <w:tc>
          <w:tcPr>
            <w:tcW w:w="1980" w:type="dxa"/>
            <w:vAlign w:val="bottom"/>
          </w:tcPr>
          <w:p>
            <w:pPr>
              <w:spacing w:after="0"/>
              <w:rPr>
                <w:sz w:val="24"/>
                <w:szCs w:val="24"/>
                <w:color w:val="auto"/>
              </w:rPr>
            </w:pPr>
          </w:p>
        </w:tc>
      </w:tr>
      <w:tr>
        <w:trPr>
          <w:trHeight w:val="230"/>
        </w:trPr>
        <w:tc>
          <w:tcPr>
            <w:tcW w:w="9260" w:type="dxa"/>
            <w:vAlign w:val="bottom"/>
          </w:tcPr>
          <w:p>
            <w:pPr>
              <w:jc w:val="center"/>
              <w:ind w:left="1890"/>
              <w:spacing w:after="0"/>
              <w:rPr>
                <w:sz w:val="20"/>
                <w:szCs w:val="20"/>
                <w:color w:val="auto"/>
              </w:rPr>
            </w:pPr>
            <w:r>
              <w:rPr>
                <w:rFonts w:ascii="Arial" w:cs="Arial" w:eastAsia="Arial" w:hAnsi="Arial"/>
                <w:sz w:val="18"/>
                <w:szCs w:val="18"/>
                <w:color w:val="auto"/>
                <w:w w:val="91"/>
              </w:rPr>
              <w:t>(Translation of registrant’s name into English)</w:t>
            </w:r>
          </w:p>
        </w:tc>
        <w:tc>
          <w:tcPr>
            <w:tcW w:w="1980" w:type="dxa"/>
            <w:vAlign w:val="bottom"/>
          </w:tcPr>
          <w:p>
            <w:pPr>
              <w:spacing w:after="0"/>
              <w:rPr>
                <w:sz w:val="20"/>
                <w:szCs w:val="20"/>
                <w:color w:val="auto"/>
              </w:rPr>
            </w:pPr>
          </w:p>
        </w:tc>
      </w:tr>
      <w:tr>
        <w:trPr>
          <w:trHeight w:val="418"/>
        </w:trPr>
        <w:tc>
          <w:tcPr>
            <w:tcW w:w="9260" w:type="dxa"/>
            <w:vAlign w:val="bottom"/>
          </w:tcPr>
          <w:p>
            <w:pPr>
              <w:jc w:val="center"/>
              <w:ind w:left="1890"/>
              <w:spacing w:after="0"/>
              <w:rPr>
                <w:sz w:val="20"/>
                <w:szCs w:val="20"/>
                <w:color w:val="auto"/>
              </w:rPr>
            </w:pPr>
            <w:r>
              <w:rPr>
                <w:rFonts w:ascii="Arial" w:cs="Arial" w:eastAsia="Arial" w:hAnsi="Arial"/>
                <w:sz w:val="18"/>
                <w:szCs w:val="18"/>
                <w:color w:val="auto"/>
                <w:w w:val="92"/>
              </w:rPr>
              <w:t>c/o GasLog LNG Services Ltd.</w:t>
            </w:r>
          </w:p>
        </w:tc>
        <w:tc>
          <w:tcPr>
            <w:tcW w:w="1980" w:type="dxa"/>
            <w:vAlign w:val="bottom"/>
          </w:tcPr>
          <w:p>
            <w:pPr>
              <w:spacing w:after="0"/>
              <w:rPr>
                <w:sz w:val="24"/>
                <w:szCs w:val="24"/>
                <w:color w:val="auto"/>
              </w:rPr>
            </w:pPr>
          </w:p>
        </w:tc>
      </w:tr>
      <w:tr>
        <w:trPr>
          <w:trHeight w:val="216"/>
        </w:trPr>
        <w:tc>
          <w:tcPr>
            <w:tcW w:w="9260" w:type="dxa"/>
            <w:vAlign w:val="bottom"/>
          </w:tcPr>
          <w:p>
            <w:pPr>
              <w:jc w:val="center"/>
              <w:ind w:left="1910"/>
              <w:spacing w:after="0"/>
              <w:rPr>
                <w:sz w:val="20"/>
                <w:szCs w:val="20"/>
                <w:color w:val="auto"/>
              </w:rPr>
            </w:pPr>
            <w:r>
              <w:rPr>
                <w:rFonts w:ascii="Arial" w:cs="Arial" w:eastAsia="Arial" w:hAnsi="Arial"/>
                <w:sz w:val="18"/>
                <w:szCs w:val="18"/>
                <w:color w:val="auto"/>
                <w:w w:val="96"/>
              </w:rPr>
              <w:t>69 Akti Miaouli 18537</w:t>
            </w:r>
          </w:p>
        </w:tc>
        <w:tc>
          <w:tcPr>
            <w:tcW w:w="1980" w:type="dxa"/>
            <w:vAlign w:val="bottom"/>
          </w:tcPr>
          <w:p>
            <w:pPr>
              <w:spacing w:after="0"/>
              <w:rPr>
                <w:sz w:val="18"/>
                <w:szCs w:val="18"/>
                <w:color w:val="auto"/>
              </w:rPr>
            </w:pPr>
          </w:p>
        </w:tc>
      </w:tr>
      <w:tr>
        <w:trPr>
          <w:trHeight w:val="216"/>
        </w:trPr>
        <w:tc>
          <w:tcPr>
            <w:tcW w:w="9260" w:type="dxa"/>
            <w:vAlign w:val="bottom"/>
          </w:tcPr>
          <w:p>
            <w:pPr>
              <w:jc w:val="center"/>
              <w:ind w:left="1890"/>
              <w:spacing w:after="0"/>
              <w:rPr>
                <w:sz w:val="20"/>
                <w:szCs w:val="20"/>
                <w:color w:val="auto"/>
              </w:rPr>
            </w:pPr>
            <w:r>
              <w:rPr>
                <w:rFonts w:ascii="Arial" w:cs="Arial" w:eastAsia="Arial" w:hAnsi="Arial"/>
                <w:sz w:val="18"/>
                <w:szCs w:val="18"/>
                <w:color w:val="auto"/>
                <w:w w:val="86"/>
              </w:rPr>
              <w:t>Piraeus Greece</w:t>
            </w:r>
          </w:p>
        </w:tc>
        <w:tc>
          <w:tcPr>
            <w:tcW w:w="1980" w:type="dxa"/>
            <w:vAlign w:val="bottom"/>
          </w:tcPr>
          <w:p>
            <w:pPr>
              <w:spacing w:after="0"/>
              <w:rPr>
                <w:sz w:val="18"/>
                <w:szCs w:val="18"/>
                <w:color w:val="auto"/>
              </w:rPr>
            </w:pPr>
          </w:p>
        </w:tc>
      </w:tr>
      <w:tr>
        <w:trPr>
          <w:trHeight w:val="230"/>
        </w:trPr>
        <w:tc>
          <w:tcPr>
            <w:tcW w:w="9260" w:type="dxa"/>
            <w:vAlign w:val="bottom"/>
          </w:tcPr>
          <w:p>
            <w:pPr>
              <w:jc w:val="center"/>
              <w:ind w:left="1910"/>
              <w:spacing w:after="0"/>
              <w:rPr>
                <w:sz w:val="20"/>
                <w:szCs w:val="20"/>
                <w:color w:val="auto"/>
              </w:rPr>
            </w:pPr>
            <w:r>
              <w:rPr>
                <w:rFonts w:ascii="Arial" w:cs="Arial" w:eastAsia="Arial" w:hAnsi="Arial"/>
                <w:sz w:val="18"/>
                <w:szCs w:val="18"/>
                <w:color w:val="auto"/>
                <w:w w:val="92"/>
              </w:rPr>
              <w:t>(Address of principal executive office)</w:t>
            </w:r>
          </w:p>
        </w:tc>
        <w:tc>
          <w:tcPr>
            <w:tcW w:w="1980" w:type="dxa"/>
            <w:vAlign w:val="bottom"/>
          </w:tcPr>
          <w:p>
            <w:pPr>
              <w:spacing w:after="0"/>
              <w:rPr>
                <w:sz w:val="20"/>
                <w:szCs w:val="20"/>
                <w:color w:val="auto"/>
              </w:rPr>
            </w:pPr>
          </w:p>
        </w:tc>
      </w:tr>
      <w:tr>
        <w:trPr>
          <w:trHeight w:val="432"/>
        </w:trPr>
        <w:tc>
          <w:tcPr>
            <w:tcW w:w="926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980" w:type="dxa"/>
            <w:vAlign w:val="bottom"/>
          </w:tcPr>
          <w:p>
            <w:pPr>
              <w:spacing w:after="0"/>
              <w:rPr>
                <w:sz w:val="24"/>
                <w:szCs w:val="24"/>
                <w:color w:val="auto"/>
              </w:rPr>
            </w:pPr>
          </w:p>
        </w:tc>
      </w:tr>
      <w:tr>
        <w:trPr>
          <w:trHeight w:val="432"/>
        </w:trPr>
        <w:tc>
          <w:tcPr>
            <w:tcW w:w="9260" w:type="dxa"/>
            <w:vAlign w:val="bottom"/>
          </w:tcPr>
          <w:p>
            <w:pPr>
              <w:spacing w:after="0"/>
              <w:rPr>
                <w:sz w:val="20"/>
                <w:szCs w:val="20"/>
                <w:color w:val="auto"/>
              </w:rPr>
            </w:pPr>
            <w:r>
              <w:rPr>
                <w:rFonts w:ascii="Arial" w:cs="Arial" w:eastAsia="Arial" w:hAnsi="Arial"/>
                <w:sz w:val="18"/>
                <w:szCs w:val="18"/>
                <w:color w:val="auto"/>
              </w:rPr>
              <w:t>Form 20-F þ   Form 40-F o</w:t>
            </w:r>
          </w:p>
        </w:tc>
        <w:tc>
          <w:tcPr>
            <w:tcW w:w="1980" w:type="dxa"/>
            <w:vAlign w:val="bottom"/>
          </w:tcPr>
          <w:p>
            <w:pPr>
              <w:spacing w:after="0"/>
              <w:rPr>
                <w:sz w:val="24"/>
                <w:szCs w:val="24"/>
                <w:color w:val="auto"/>
              </w:rPr>
            </w:pPr>
          </w:p>
        </w:tc>
      </w:tr>
      <w:tr>
        <w:trPr>
          <w:trHeight w:val="452"/>
        </w:trPr>
        <w:tc>
          <w:tcPr>
            <w:tcW w:w="9260" w:type="dxa"/>
            <w:vAlign w:val="bottom"/>
          </w:tcPr>
          <w:p>
            <w:pPr>
              <w:spacing w:after="0"/>
              <w:rPr>
                <w:sz w:val="20"/>
                <w:szCs w:val="20"/>
                <w:color w:val="auto"/>
              </w:rPr>
            </w:pPr>
            <w:r>
              <w:rPr>
                <w:rFonts w:ascii="Arial" w:cs="Arial" w:eastAsia="Arial" w:hAnsi="Arial"/>
                <w:sz w:val="18"/>
                <w:szCs w:val="18"/>
                <w:color w:val="auto"/>
                <w:w w:val="95"/>
              </w:rPr>
              <w:t>Indicate by check mark if the registrant is submitting the Form 6-K in paper as permitted by Regulation S-T Rule 101(b)(1):</w:t>
            </w:r>
          </w:p>
        </w:tc>
        <w:tc>
          <w:tcPr>
            <w:tcW w:w="19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260" w:type="dxa"/>
            <w:vAlign w:val="bottom"/>
          </w:tcPr>
          <w:p>
            <w:pPr>
              <w:spacing w:after="0"/>
              <w:rPr>
                <w:sz w:val="20"/>
                <w:szCs w:val="20"/>
                <w:color w:val="auto"/>
              </w:rPr>
            </w:pPr>
            <w:r>
              <w:rPr>
                <w:rFonts w:ascii="Arial" w:cs="Arial" w:eastAsia="Arial" w:hAnsi="Arial"/>
                <w:sz w:val="18"/>
                <w:szCs w:val="18"/>
                <w:color w:val="auto"/>
                <w:w w:val="95"/>
              </w:rPr>
              <w:t>Indicate by check mark if the registrant is submitting the Form 6-K in paper as permitted by Regulation S-T Rule 101(b)(7):</w:t>
            </w:r>
          </w:p>
        </w:tc>
        <w:tc>
          <w:tcPr>
            <w:tcW w:w="19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628"/>
        </w:trPr>
        <w:tc>
          <w:tcPr>
            <w:tcW w:w="9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Ltd. on March 10, 2022 announcing that GasLog Ltd. has declared a dividend on its Series A Preference Shares is attached hereto as Exhibit 99.1.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March 10,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2022</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29749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49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8"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Declares Dividend on Series A Preference Shares</w:t>
      </w:r>
    </w:p>
    <w:p>
      <w:pPr>
        <w:spacing w:after="0" w:line="225" w:lineRule="exact"/>
        <w:rPr>
          <w:sz w:val="20"/>
          <w:szCs w:val="20"/>
          <w:color w:val="auto"/>
        </w:rPr>
      </w:pPr>
    </w:p>
    <w:p>
      <w:pPr>
        <w:ind w:right="520"/>
        <w:spacing w:after="0" w:line="347" w:lineRule="auto"/>
        <w:rPr>
          <w:sz w:val="20"/>
          <w:szCs w:val="20"/>
          <w:color w:val="auto"/>
        </w:rPr>
      </w:pPr>
      <w:r>
        <w:rPr>
          <w:rFonts w:ascii="Arial" w:cs="Arial" w:eastAsia="Arial" w:hAnsi="Arial"/>
          <w:sz w:val="16"/>
          <w:szCs w:val="16"/>
          <w:b w:val="1"/>
          <w:bCs w:val="1"/>
          <w:color w:val="auto"/>
        </w:rPr>
        <w:t xml:space="preserve">Hamilton, Bermuda, March 10, 2022 — </w:t>
      </w:r>
      <w:r>
        <w:rPr>
          <w:rFonts w:ascii="Arial" w:cs="Arial" w:eastAsia="Arial" w:hAnsi="Arial"/>
          <w:sz w:val="16"/>
          <w:szCs w:val="16"/>
          <w:color w:val="auto"/>
        </w:rPr>
        <w:t>GasLog Ltd. (“GasLog” or “Company”) today announced a dividend of $0.546875 per share on its 8.75%</w:t>
      </w:r>
      <w:r>
        <w:rPr>
          <w:rFonts w:ascii="Arial" w:cs="Arial" w:eastAsia="Arial" w:hAnsi="Arial"/>
          <w:sz w:val="16"/>
          <w:szCs w:val="16"/>
          <w:b w:val="1"/>
          <w:bCs w:val="1"/>
          <w:color w:val="auto"/>
        </w:rPr>
        <w:t xml:space="preserve"> </w:t>
      </w:r>
      <w:r>
        <w:rPr>
          <w:rFonts w:ascii="Arial" w:cs="Arial" w:eastAsia="Arial" w:hAnsi="Arial"/>
          <w:sz w:val="16"/>
          <w:szCs w:val="16"/>
          <w:color w:val="auto"/>
        </w:rPr>
        <w:t>Series A Cumulative Redeemable Perpetual Preference Shares, payable on April 1, 2022 for all shareholders of record as of March 31, 2022.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39 LNG carriers (35 on the water plus 4 under construction). Of these vessels, 20 are owned by GasLog, four have been sold and leased back by GasLog under long-term bareboat charters and of the remaining 15 LNG carriers, 14 are owned by the Company’s subsidiary, GasLog Partners LP, and one has been sold and leased back by 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2022-03-10T05:51:15Z</dcterms:created>
  <dcterms:modified xsi:type="dcterms:W3CDTF">2022-03-10T05:51:15Z</dcterms:modified>
</cp:coreProperties>
</file>