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5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SCHEDULE 13D</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Under the Securities Exchange Act of 1934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(Amendment No. 9)</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GasLog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Common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G37585109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Peter G. Livanos</w:t>
      </w:r>
    </w:p>
    <w:p>
      <w:pPr>
        <w:jc w:val="center"/>
        <w:ind w:right="-59"/>
        <w:spacing w:after="0" w:line="238" w:lineRule="auto"/>
        <w:rPr>
          <w:sz w:val="20"/>
          <w:szCs w:val="20"/>
          <w:color w:val="auto"/>
        </w:rPr>
      </w:pPr>
      <w:r>
        <w:rPr>
          <w:rFonts w:ascii="Arial" w:cs="Arial" w:eastAsia="Arial" w:hAnsi="Arial"/>
          <w:sz w:val="22"/>
          <w:szCs w:val="22"/>
          <w:color w:val="auto"/>
        </w:rPr>
        <w:t>c/o Ceres Monaco SAM</w:t>
      </w:r>
    </w:p>
    <w:p>
      <w:pPr>
        <w:jc w:val="center"/>
        <w:ind w:right="-59"/>
        <w:spacing w:after="0" w:line="230" w:lineRule="auto"/>
        <w:rPr>
          <w:sz w:val="20"/>
          <w:szCs w:val="20"/>
          <w:color w:val="auto"/>
        </w:rPr>
      </w:pPr>
      <w:r>
        <w:rPr>
          <w:rFonts w:ascii="Arial" w:cs="Arial" w:eastAsia="Arial" w:hAnsi="Arial"/>
          <w:sz w:val="22"/>
          <w:szCs w:val="22"/>
          <w:color w:val="auto"/>
        </w:rPr>
        <w:t>Gildo Pastor Center</w:t>
      </w:r>
    </w:p>
    <w:p>
      <w:pPr>
        <w:jc w:val="center"/>
        <w:ind w:right="-59"/>
        <w:spacing w:after="0" w:line="231" w:lineRule="auto"/>
        <w:rPr>
          <w:sz w:val="20"/>
          <w:szCs w:val="20"/>
          <w:color w:val="auto"/>
        </w:rPr>
      </w:pPr>
      <w:r>
        <w:rPr>
          <w:rFonts w:ascii="Arial" w:cs="Arial" w:eastAsia="Arial" w:hAnsi="Arial"/>
          <w:sz w:val="22"/>
          <w:szCs w:val="22"/>
          <w:color w:val="auto"/>
        </w:rPr>
        <w:t>7 rue due Gabian</w:t>
      </w:r>
    </w:p>
    <w:p>
      <w:pPr>
        <w:jc w:val="center"/>
        <w:ind w:right="-59"/>
        <w:spacing w:after="0"/>
        <w:rPr>
          <w:sz w:val="20"/>
          <w:szCs w:val="20"/>
          <w:color w:val="auto"/>
        </w:rPr>
      </w:pPr>
      <w:r>
        <w:rPr>
          <w:rFonts w:ascii="Arial" w:cs="Arial" w:eastAsia="Arial" w:hAnsi="Arial"/>
          <w:sz w:val="22"/>
          <w:szCs w:val="22"/>
          <w:color w:val="auto"/>
        </w:rPr>
        <w:t>98000 Monaco</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Copies to:</w:t>
      </w:r>
    </w:p>
    <w:p>
      <w:pPr>
        <w:spacing w:after="0" w:line="240"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3900" w:type="dxa"/>
            <w:vAlign w:val="bottom"/>
          </w:tcPr>
          <w:p>
            <w:pPr>
              <w:jc w:val="center"/>
              <w:ind w:right="1570"/>
              <w:spacing w:after="0"/>
              <w:rPr>
                <w:sz w:val="20"/>
                <w:szCs w:val="20"/>
                <w:color w:val="auto"/>
              </w:rPr>
            </w:pPr>
            <w:r>
              <w:rPr>
                <w:rFonts w:ascii="Arial" w:cs="Arial" w:eastAsia="Arial" w:hAnsi="Arial"/>
                <w:sz w:val="18"/>
                <w:szCs w:val="18"/>
                <w:color w:val="auto"/>
                <w:w w:val="91"/>
              </w:rPr>
              <w:t>Andrew J. Pitts, Esq.</w:t>
            </w:r>
          </w:p>
        </w:tc>
        <w:tc>
          <w:tcPr>
            <w:tcW w:w="4040" w:type="dxa"/>
            <w:vAlign w:val="bottom"/>
          </w:tcPr>
          <w:p>
            <w:pPr>
              <w:jc w:val="center"/>
              <w:ind w:left="1530"/>
              <w:spacing w:after="0"/>
              <w:rPr>
                <w:sz w:val="20"/>
                <w:szCs w:val="20"/>
                <w:color w:val="auto"/>
              </w:rPr>
            </w:pPr>
            <w:r>
              <w:rPr>
                <w:rFonts w:ascii="Arial" w:cs="Arial" w:eastAsia="Arial" w:hAnsi="Arial"/>
                <w:sz w:val="18"/>
                <w:szCs w:val="18"/>
                <w:color w:val="auto"/>
                <w:w w:val="89"/>
              </w:rPr>
              <w:t>Charles Lubar, Esq.</w:t>
            </w:r>
          </w:p>
        </w:tc>
      </w:tr>
      <w:tr>
        <w:trPr>
          <w:trHeight w:val="216"/>
        </w:trPr>
        <w:tc>
          <w:tcPr>
            <w:tcW w:w="3900" w:type="dxa"/>
            <w:vAlign w:val="bottom"/>
          </w:tcPr>
          <w:p>
            <w:pPr>
              <w:jc w:val="center"/>
              <w:ind w:right="1550"/>
              <w:spacing w:after="0"/>
              <w:rPr>
                <w:sz w:val="20"/>
                <w:szCs w:val="20"/>
                <w:color w:val="auto"/>
              </w:rPr>
            </w:pPr>
            <w:r>
              <w:rPr>
                <w:rFonts w:ascii="Arial" w:cs="Arial" w:eastAsia="Arial" w:hAnsi="Arial"/>
                <w:sz w:val="18"/>
                <w:szCs w:val="18"/>
                <w:color w:val="auto"/>
                <w:w w:val="93"/>
              </w:rPr>
              <w:t>Cravath, Swaine &amp; Moore LLP</w:t>
            </w:r>
          </w:p>
        </w:tc>
        <w:tc>
          <w:tcPr>
            <w:tcW w:w="4040" w:type="dxa"/>
            <w:vAlign w:val="bottom"/>
          </w:tcPr>
          <w:p>
            <w:pPr>
              <w:jc w:val="center"/>
              <w:ind w:left="1550"/>
              <w:spacing w:after="0"/>
              <w:rPr>
                <w:sz w:val="20"/>
                <w:szCs w:val="20"/>
                <w:color w:val="auto"/>
              </w:rPr>
            </w:pPr>
            <w:r>
              <w:rPr>
                <w:rFonts w:ascii="Arial" w:cs="Arial" w:eastAsia="Arial" w:hAnsi="Arial"/>
                <w:sz w:val="18"/>
                <w:szCs w:val="18"/>
                <w:color w:val="auto"/>
                <w:w w:val="97"/>
              </w:rPr>
              <w:t>McDermott Will &amp; Emery</w:t>
            </w:r>
          </w:p>
        </w:tc>
      </w:tr>
      <w:tr>
        <w:trPr>
          <w:trHeight w:val="216"/>
        </w:trPr>
        <w:tc>
          <w:tcPr>
            <w:tcW w:w="3900" w:type="dxa"/>
            <w:vAlign w:val="bottom"/>
          </w:tcPr>
          <w:p>
            <w:pPr>
              <w:jc w:val="center"/>
              <w:ind w:right="1570"/>
              <w:spacing w:after="0"/>
              <w:rPr>
                <w:sz w:val="20"/>
                <w:szCs w:val="20"/>
                <w:color w:val="auto"/>
              </w:rPr>
            </w:pPr>
            <w:r>
              <w:rPr>
                <w:rFonts w:ascii="Arial" w:cs="Arial" w:eastAsia="Arial" w:hAnsi="Arial"/>
                <w:sz w:val="18"/>
                <w:szCs w:val="18"/>
                <w:color w:val="auto"/>
                <w:w w:val="92"/>
              </w:rPr>
              <w:t>Worldwide Plaza</w:t>
            </w:r>
          </w:p>
        </w:tc>
        <w:tc>
          <w:tcPr>
            <w:tcW w:w="4040" w:type="dxa"/>
            <w:vAlign w:val="bottom"/>
          </w:tcPr>
          <w:p>
            <w:pPr>
              <w:jc w:val="center"/>
              <w:ind w:left="1550"/>
              <w:spacing w:after="0"/>
              <w:rPr>
                <w:sz w:val="20"/>
                <w:szCs w:val="20"/>
                <w:color w:val="auto"/>
              </w:rPr>
            </w:pPr>
            <w:r>
              <w:rPr>
                <w:rFonts w:ascii="Arial" w:cs="Arial" w:eastAsia="Arial" w:hAnsi="Arial"/>
                <w:sz w:val="18"/>
                <w:szCs w:val="18"/>
                <w:color w:val="auto"/>
                <w:w w:val="89"/>
              </w:rPr>
              <w:t>110 Bishopsgate</w:t>
            </w:r>
          </w:p>
        </w:tc>
      </w:tr>
      <w:tr>
        <w:trPr>
          <w:trHeight w:val="216"/>
        </w:trPr>
        <w:tc>
          <w:tcPr>
            <w:tcW w:w="3900" w:type="dxa"/>
            <w:vAlign w:val="bottom"/>
          </w:tcPr>
          <w:p>
            <w:pPr>
              <w:jc w:val="center"/>
              <w:ind w:right="1570"/>
              <w:spacing w:after="0"/>
              <w:rPr>
                <w:sz w:val="20"/>
                <w:szCs w:val="20"/>
                <w:color w:val="auto"/>
              </w:rPr>
            </w:pPr>
            <w:r>
              <w:rPr>
                <w:rFonts w:ascii="Arial" w:cs="Arial" w:eastAsia="Arial" w:hAnsi="Arial"/>
                <w:sz w:val="18"/>
                <w:szCs w:val="18"/>
                <w:color w:val="auto"/>
                <w:w w:val="92"/>
              </w:rPr>
              <w:t>825 Eighth Avenue</w:t>
            </w:r>
          </w:p>
        </w:tc>
        <w:tc>
          <w:tcPr>
            <w:tcW w:w="4040" w:type="dxa"/>
            <w:vAlign w:val="bottom"/>
          </w:tcPr>
          <w:p>
            <w:pPr>
              <w:jc w:val="center"/>
              <w:ind w:left="1550"/>
              <w:spacing w:after="0"/>
              <w:rPr>
                <w:sz w:val="20"/>
                <w:szCs w:val="20"/>
                <w:color w:val="auto"/>
              </w:rPr>
            </w:pPr>
            <w:r>
              <w:rPr>
                <w:rFonts w:ascii="Arial" w:cs="Arial" w:eastAsia="Arial" w:hAnsi="Arial"/>
                <w:sz w:val="18"/>
                <w:szCs w:val="18"/>
                <w:color w:val="auto"/>
                <w:w w:val="96"/>
              </w:rPr>
              <w:t>London, ENGLAND EC2N 4AY</w:t>
            </w:r>
          </w:p>
        </w:tc>
      </w:tr>
      <w:tr>
        <w:trPr>
          <w:trHeight w:val="216"/>
        </w:trPr>
        <w:tc>
          <w:tcPr>
            <w:tcW w:w="3900" w:type="dxa"/>
            <w:vAlign w:val="bottom"/>
          </w:tcPr>
          <w:p>
            <w:pPr>
              <w:jc w:val="center"/>
              <w:ind w:right="1550"/>
              <w:spacing w:after="0"/>
              <w:rPr>
                <w:sz w:val="20"/>
                <w:szCs w:val="20"/>
                <w:color w:val="auto"/>
              </w:rPr>
            </w:pPr>
            <w:r>
              <w:rPr>
                <w:rFonts w:ascii="Arial" w:cs="Arial" w:eastAsia="Arial" w:hAnsi="Arial"/>
                <w:sz w:val="18"/>
                <w:szCs w:val="18"/>
                <w:color w:val="auto"/>
                <w:w w:val="93"/>
              </w:rPr>
              <w:t>New York, New York 10019</w:t>
            </w:r>
          </w:p>
        </w:tc>
        <w:tc>
          <w:tcPr>
            <w:tcW w:w="4040" w:type="dxa"/>
            <w:vAlign w:val="bottom"/>
          </w:tcPr>
          <w:p>
            <w:pPr>
              <w:jc w:val="center"/>
              <w:ind w:left="1550"/>
              <w:spacing w:after="0"/>
              <w:rPr>
                <w:sz w:val="20"/>
                <w:szCs w:val="20"/>
                <w:color w:val="auto"/>
              </w:rPr>
            </w:pPr>
            <w:r>
              <w:rPr>
                <w:rFonts w:ascii="Arial" w:cs="Arial" w:eastAsia="Arial" w:hAnsi="Arial"/>
                <w:sz w:val="18"/>
                <w:szCs w:val="18"/>
                <w:color w:val="auto"/>
                <w:w w:val="90"/>
              </w:rPr>
              <w:t>+44 20 7577 6900</w:t>
            </w:r>
          </w:p>
        </w:tc>
      </w:tr>
      <w:tr>
        <w:trPr>
          <w:trHeight w:val="216"/>
        </w:trPr>
        <w:tc>
          <w:tcPr>
            <w:tcW w:w="3900" w:type="dxa"/>
            <w:vAlign w:val="bottom"/>
          </w:tcPr>
          <w:p>
            <w:pPr>
              <w:jc w:val="center"/>
              <w:ind w:right="1570"/>
              <w:spacing w:after="0"/>
              <w:rPr>
                <w:sz w:val="20"/>
                <w:szCs w:val="20"/>
                <w:color w:val="auto"/>
              </w:rPr>
            </w:pPr>
            <w:r>
              <w:rPr>
                <w:rFonts w:ascii="Arial" w:cs="Arial" w:eastAsia="Arial" w:hAnsi="Arial"/>
                <w:sz w:val="18"/>
                <w:szCs w:val="18"/>
                <w:color w:val="auto"/>
                <w:w w:val="91"/>
              </w:rPr>
              <w:t>+1 (212) 474-1132</w:t>
            </w:r>
          </w:p>
        </w:tc>
        <w:tc>
          <w:tcPr>
            <w:tcW w:w="4040" w:type="dxa"/>
            <w:vAlign w:val="bottom"/>
          </w:tcPr>
          <w:p>
            <w:pPr>
              <w:jc w:val="center"/>
              <w:ind w:left="1550"/>
              <w:spacing w:after="0"/>
              <w:rPr>
                <w:sz w:val="20"/>
                <w:szCs w:val="20"/>
                <w:color w:val="auto"/>
              </w:rPr>
            </w:pPr>
            <w:r>
              <w:rPr>
                <w:rFonts w:ascii="Arial" w:cs="Arial" w:eastAsia="Arial" w:hAnsi="Arial"/>
                <w:sz w:val="18"/>
                <w:szCs w:val="18"/>
                <w:color w:val="auto"/>
                <w:w w:val="89"/>
              </w:rPr>
              <w:t>(telephone number)</w:t>
            </w:r>
          </w:p>
        </w:tc>
      </w:tr>
      <w:tr>
        <w:trPr>
          <w:trHeight w:val="216"/>
        </w:trPr>
        <w:tc>
          <w:tcPr>
            <w:tcW w:w="3900" w:type="dxa"/>
            <w:vAlign w:val="bottom"/>
          </w:tcPr>
          <w:p>
            <w:pPr>
              <w:jc w:val="center"/>
              <w:ind w:right="1570"/>
              <w:spacing w:after="0"/>
              <w:rPr>
                <w:sz w:val="20"/>
                <w:szCs w:val="20"/>
                <w:color w:val="auto"/>
              </w:rPr>
            </w:pPr>
            <w:r>
              <w:rPr>
                <w:rFonts w:ascii="Arial" w:cs="Arial" w:eastAsia="Arial" w:hAnsi="Arial"/>
                <w:sz w:val="18"/>
                <w:szCs w:val="18"/>
                <w:color w:val="auto"/>
                <w:w w:val="89"/>
              </w:rPr>
              <w:t>(telephone number)</w:t>
            </w:r>
          </w:p>
        </w:tc>
        <w:tc>
          <w:tcPr>
            <w:tcW w:w="4040" w:type="dxa"/>
            <w:vAlign w:val="bottom"/>
          </w:tcPr>
          <w:p>
            <w:pPr>
              <w:jc w:val="center"/>
              <w:ind w:left="1550"/>
              <w:spacing w:after="0"/>
              <w:rPr>
                <w:sz w:val="20"/>
                <w:szCs w:val="20"/>
                <w:color w:val="auto"/>
              </w:rPr>
            </w:pPr>
            <w:r>
              <w:rPr>
                <w:rFonts w:ascii="Arial" w:cs="Arial" w:eastAsia="Arial" w:hAnsi="Arial"/>
                <w:sz w:val="18"/>
                <w:szCs w:val="18"/>
                <w:color w:val="auto"/>
                <w:w w:val="90"/>
              </w:rPr>
              <w:t>+44 20 7577 6950</w:t>
            </w:r>
          </w:p>
        </w:tc>
      </w:tr>
      <w:tr>
        <w:trPr>
          <w:trHeight w:val="216"/>
        </w:trPr>
        <w:tc>
          <w:tcPr>
            <w:tcW w:w="3900" w:type="dxa"/>
            <w:vAlign w:val="bottom"/>
          </w:tcPr>
          <w:p>
            <w:pPr>
              <w:jc w:val="center"/>
              <w:ind w:right="1570"/>
              <w:spacing w:after="0"/>
              <w:rPr>
                <w:sz w:val="20"/>
                <w:szCs w:val="20"/>
                <w:color w:val="auto"/>
              </w:rPr>
            </w:pPr>
            <w:r>
              <w:rPr>
                <w:rFonts w:ascii="Arial" w:cs="Arial" w:eastAsia="Arial" w:hAnsi="Arial"/>
                <w:sz w:val="18"/>
                <w:szCs w:val="18"/>
                <w:color w:val="auto"/>
                <w:w w:val="91"/>
              </w:rPr>
              <w:t>+1 (212) 474-3700</w:t>
            </w:r>
          </w:p>
        </w:tc>
        <w:tc>
          <w:tcPr>
            <w:tcW w:w="4040" w:type="dxa"/>
            <w:vAlign w:val="bottom"/>
          </w:tcPr>
          <w:p>
            <w:pPr>
              <w:jc w:val="center"/>
              <w:ind w:left="1550"/>
              <w:spacing w:after="0"/>
              <w:rPr>
                <w:sz w:val="20"/>
                <w:szCs w:val="20"/>
                <w:color w:val="auto"/>
              </w:rPr>
            </w:pPr>
            <w:r>
              <w:rPr>
                <w:rFonts w:ascii="Arial" w:cs="Arial" w:eastAsia="Arial" w:hAnsi="Arial"/>
                <w:sz w:val="18"/>
                <w:szCs w:val="18"/>
                <w:color w:val="auto"/>
                <w:w w:val="91"/>
              </w:rPr>
              <w:t>(facsimile number)</w:t>
            </w:r>
          </w:p>
        </w:tc>
      </w:tr>
      <w:tr>
        <w:trPr>
          <w:trHeight w:val="230"/>
        </w:trPr>
        <w:tc>
          <w:tcPr>
            <w:tcW w:w="3900" w:type="dxa"/>
            <w:vAlign w:val="bottom"/>
          </w:tcPr>
          <w:p>
            <w:pPr>
              <w:jc w:val="center"/>
              <w:ind w:right="1570"/>
              <w:spacing w:after="0"/>
              <w:rPr>
                <w:sz w:val="20"/>
                <w:szCs w:val="20"/>
                <w:color w:val="auto"/>
              </w:rPr>
            </w:pPr>
            <w:r>
              <w:rPr>
                <w:rFonts w:ascii="Arial" w:cs="Arial" w:eastAsia="Arial" w:hAnsi="Arial"/>
                <w:sz w:val="18"/>
                <w:szCs w:val="18"/>
                <w:color w:val="auto"/>
                <w:w w:val="91"/>
              </w:rPr>
              <w:t>(facsimile number)</w:t>
            </w:r>
          </w:p>
        </w:tc>
        <w:tc>
          <w:tcPr>
            <w:tcW w:w="4040" w:type="dxa"/>
            <w:vAlign w:val="bottom"/>
          </w:tcPr>
          <w:p>
            <w:pPr>
              <w:spacing w:after="0"/>
              <w:rPr>
                <w:sz w:val="20"/>
                <w:szCs w:val="20"/>
                <w:color w:val="auto"/>
              </w:rPr>
            </w:pPr>
          </w:p>
        </w:tc>
      </w:tr>
    </w:tbl>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Address and Telephone Number of Person Authorized to</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Receive Notices and Communications)</w:t>
      </w:r>
    </w:p>
    <w:p>
      <w:pPr>
        <w:spacing w:after="0" w:line="200" w:lineRule="exact"/>
        <w:rPr>
          <w:sz w:val="24"/>
          <w:szCs w:val="24"/>
          <w:color w:val="auto"/>
        </w:rPr>
      </w:pP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ind w:right="120"/>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§§240.13d-1(e), 240.13d-l(f) or 240.13d-l(g), check the following box. □</w:t>
      </w:r>
    </w:p>
    <w:p>
      <w:pPr>
        <w:spacing w:after="0" w:line="132"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835025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1"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G37585109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7603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6034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NAMES OF REPORTING PERSONS</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1</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100" w:type="dxa"/>
            <w:vAlign w:val="bottom"/>
            <w:vMerge w:val="continue"/>
          </w:tcPr>
          <w:p>
            <w:pPr>
              <w:spacing w:after="0"/>
              <w:rPr>
                <w:sz w:val="21"/>
                <w:szCs w:val="21"/>
                <w:color w:val="auto"/>
              </w:rPr>
            </w:pPr>
          </w:p>
        </w:tc>
        <w:tc>
          <w:tcPr>
            <w:tcW w:w="79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Peter G. Livanos</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794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00" w:type="dxa"/>
            <w:vAlign w:val="bottom"/>
            <w:tcBorders>
              <w:bottom w:val="single" w:sz="8" w:color="auto"/>
            </w:tcBorders>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2</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2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100" w:type="dxa"/>
            <w:vAlign w:val="bottom"/>
            <w:vMerge w:val="continue"/>
          </w:tcPr>
          <w:p>
            <w:pPr>
              <w:spacing w:after="0"/>
              <w:rPr>
                <w:sz w:val="24"/>
                <w:szCs w:val="24"/>
                <w:color w:val="auto"/>
              </w:rPr>
            </w:pPr>
          </w:p>
        </w:tc>
        <w:tc>
          <w:tcPr>
            <w:tcW w:w="7940" w:type="dxa"/>
            <w:vAlign w:val="bottom"/>
          </w:tcPr>
          <w:p>
            <w:pPr>
              <w:spacing w:after="0"/>
              <w:rPr>
                <w:sz w:val="24"/>
                <w:szCs w:val="24"/>
                <w:color w:val="auto"/>
              </w:rPr>
            </w:pPr>
          </w:p>
        </w:tc>
        <w:tc>
          <w:tcPr>
            <w:tcW w:w="22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100" w:type="dxa"/>
            <w:vAlign w:val="bottom"/>
            <w:tcBorders>
              <w:bottom w:val="single" w:sz="8" w:color="auto"/>
            </w:tcBorders>
          </w:tcPr>
          <w:p>
            <w:pPr>
              <w:spacing w:after="0"/>
              <w:rPr>
                <w:sz w:val="18"/>
                <w:szCs w:val="18"/>
                <w:color w:val="auto"/>
              </w:rPr>
            </w:pPr>
          </w:p>
        </w:tc>
        <w:tc>
          <w:tcPr>
            <w:tcW w:w="7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3</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SEC USE ONLY</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100" w:type="dxa"/>
            <w:vAlign w:val="bottom"/>
            <w:vMerge w:val="continue"/>
          </w:tcPr>
          <w:p>
            <w:pPr>
              <w:spacing w:after="0"/>
              <w:rPr>
                <w:sz w:val="24"/>
                <w:szCs w:val="24"/>
                <w:color w:val="auto"/>
              </w:rPr>
            </w:pPr>
          </w:p>
        </w:tc>
        <w:tc>
          <w:tcPr>
            <w:tcW w:w="7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1440" w:hanging="818"/>
        <w:spacing w:after="0" w:line="182" w:lineRule="auto"/>
        <w:tabs>
          <w:tab w:leader="none" w:pos="1440" w:val="left"/>
        </w:tabs>
        <w:numPr>
          <w:ilvl w:val="0"/>
          <w:numId w:val="1"/>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OO</w:t>
      </w:r>
    </w:p>
    <w:p>
      <w:pPr>
        <w:spacing w:after="0" w:line="181" w:lineRule="exact"/>
        <w:rPr>
          <w:sz w:val="20"/>
          <w:szCs w:val="20"/>
          <w:color w:val="auto"/>
        </w:rPr>
      </w:pPr>
    </w:p>
    <w:p>
      <w:pPr>
        <w:ind w:left="1420"/>
        <w:spacing w:after="0" w:line="207" w:lineRule="exact"/>
        <w:tabs>
          <w:tab w:leader="none" w:pos="1102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8"/>
        <w:spacing w:after="0" w:line="182" w:lineRule="auto"/>
        <w:tabs>
          <w:tab w:leader="none" w:pos="1440" w:val="left"/>
        </w:tabs>
        <w:numPr>
          <w:ilvl w:val="0"/>
          <w:numId w:val="2"/>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Greece and the United Kingdom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38,543,544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7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876,000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5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5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7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18"/>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7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38,543,544</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75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876,000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39,419,544</w:t>
            </w: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right w:val="single" w:sz="8" w:color="auto"/>
            </w:tcBorders>
          </w:tcPr>
          <w:p>
            <w:pPr>
              <w:spacing w:after="0"/>
              <w:rPr>
                <w:sz w:val="18"/>
                <w:szCs w:val="18"/>
                <w:color w:val="auto"/>
              </w:rPr>
            </w:pP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2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4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8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820" w:type="dxa"/>
            <w:vAlign w:val="bottom"/>
            <w:gridSpan w:val="5"/>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41.3%(1)</w:t>
            </w:r>
          </w:p>
        </w:tc>
        <w:tc>
          <w:tcPr>
            <w:tcW w:w="5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b w:val="1"/>
                <w:bCs w:val="1"/>
                <w:color w:val="auto"/>
              </w:rPr>
              <w:t>IN</w:t>
            </w:r>
          </w:p>
        </w:tc>
        <w:tc>
          <w:tcPr>
            <w:tcW w:w="5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ectPr>
          <w:pgSz w:w="11900" w:h="16838" w:orient="portrait"/>
          <w:cols w:equalWidth="0" w:num="1">
            <w:col w:w="11240"/>
          </w:cols>
          <w:pgMar w:left="320" w:top="361" w:right="339" w:bottom="1440" w:gutter="0" w:footer="0" w:header="0"/>
        </w:sectPr>
      </w:pPr>
    </w:p>
    <w:p>
      <w:pPr>
        <w:ind w:right="1000" w:firstLine="397"/>
        <w:spacing w:after="0" w:line="250" w:lineRule="auto"/>
        <w:tabs>
          <w:tab w:leader="none" w:pos="69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percentage ownership is calculated based on aggregate number of 95,393,126 Common Shares issued and outstanding as of January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CUSIP No. G37585109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7603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6034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NAMES OF REPORTING PERSONS</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1</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100" w:type="dxa"/>
            <w:vAlign w:val="bottom"/>
            <w:vMerge w:val="continue"/>
          </w:tcPr>
          <w:p>
            <w:pPr>
              <w:spacing w:after="0"/>
              <w:rPr>
                <w:sz w:val="21"/>
                <w:szCs w:val="21"/>
                <w:color w:val="auto"/>
              </w:rPr>
            </w:pPr>
          </w:p>
        </w:tc>
        <w:tc>
          <w:tcPr>
            <w:tcW w:w="79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Ceres Shipping Ltd.</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794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00" w:type="dxa"/>
            <w:vAlign w:val="bottom"/>
            <w:tcBorders>
              <w:bottom w:val="single" w:sz="8" w:color="auto"/>
            </w:tcBorders>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2</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2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100" w:type="dxa"/>
            <w:vAlign w:val="bottom"/>
            <w:vMerge w:val="continue"/>
          </w:tcPr>
          <w:p>
            <w:pPr>
              <w:spacing w:after="0"/>
              <w:rPr>
                <w:sz w:val="24"/>
                <w:szCs w:val="24"/>
                <w:color w:val="auto"/>
              </w:rPr>
            </w:pPr>
          </w:p>
        </w:tc>
        <w:tc>
          <w:tcPr>
            <w:tcW w:w="7940" w:type="dxa"/>
            <w:vAlign w:val="bottom"/>
          </w:tcPr>
          <w:p>
            <w:pPr>
              <w:spacing w:after="0"/>
              <w:rPr>
                <w:sz w:val="24"/>
                <w:szCs w:val="24"/>
                <w:color w:val="auto"/>
              </w:rPr>
            </w:pPr>
          </w:p>
        </w:tc>
        <w:tc>
          <w:tcPr>
            <w:tcW w:w="22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100" w:type="dxa"/>
            <w:vAlign w:val="bottom"/>
            <w:tcBorders>
              <w:bottom w:val="single" w:sz="8" w:color="auto"/>
            </w:tcBorders>
          </w:tcPr>
          <w:p>
            <w:pPr>
              <w:spacing w:after="0"/>
              <w:rPr>
                <w:sz w:val="18"/>
                <w:szCs w:val="18"/>
                <w:color w:val="auto"/>
              </w:rPr>
            </w:pPr>
          </w:p>
        </w:tc>
        <w:tc>
          <w:tcPr>
            <w:tcW w:w="7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3</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SEC USE ONLY</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100" w:type="dxa"/>
            <w:vAlign w:val="bottom"/>
            <w:vMerge w:val="continue"/>
          </w:tcPr>
          <w:p>
            <w:pPr>
              <w:spacing w:after="0"/>
              <w:rPr>
                <w:sz w:val="24"/>
                <w:szCs w:val="24"/>
                <w:color w:val="auto"/>
              </w:rPr>
            </w:pPr>
          </w:p>
        </w:tc>
        <w:tc>
          <w:tcPr>
            <w:tcW w:w="7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1440" w:hanging="818"/>
        <w:spacing w:after="0" w:line="182" w:lineRule="auto"/>
        <w:tabs>
          <w:tab w:leader="none" w:pos="1440" w:val="left"/>
        </w:tabs>
        <w:numPr>
          <w:ilvl w:val="0"/>
          <w:numId w:val="4"/>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OO</w:t>
      </w:r>
    </w:p>
    <w:p>
      <w:pPr>
        <w:spacing w:after="0" w:line="181" w:lineRule="exact"/>
        <w:rPr>
          <w:sz w:val="20"/>
          <w:szCs w:val="20"/>
          <w:color w:val="auto"/>
        </w:rPr>
      </w:pPr>
    </w:p>
    <w:p>
      <w:pPr>
        <w:ind w:left="1420"/>
        <w:spacing w:after="0" w:line="207" w:lineRule="exact"/>
        <w:tabs>
          <w:tab w:leader="none" w:pos="1102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8"/>
        <w:spacing w:after="0" w:line="182" w:lineRule="auto"/>
        <w:tabs>
          <w:tab w:leader="none" w:pos="144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Bermuda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37,300,000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21"/>
                <w:szCs w:val="21"/>
                <w:color w:val="auto"/>
              </w:rPr>
            </w:pPr>
          </w:p>
        </w:tc>
        <w:tc>
          <w:tcPr>
            <w:tcW w:w="540" w:type="dxa"/>
            <w:vAlign w:val="bottom"/>
            <w:tcBorders>
              <w:right w:val="single" w:sz="8" w:color="auto"/>
            </w:tcBorders>
            <w:vMerge w:val="continue"/>
          </w:tcPr>
          <w:p>
            <w:pPr>
              <w:spacing w:after="0"/>
              <w:rPr>
                <w:sz w:val="21"/>
                <w:szCs w:val="21"/>
                <w:color w:val="auto"/>
              </w:rPr>
            </w:pPr>
          </w:p>
        </w:tc>
        <w:tc>
          <w:tcPr>
            <w:tcW w:w="7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7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5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7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18"/>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7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37,300,000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75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gridSpan w:val="2"/>
          </w:tcPr>
          <w:p>
            <w:pPr>
              <w:spacing w:after="0"/>
              <w:rPr>
                <w:sz w:val="18"/>
                <w:szCs w:val="18"/>
                <w:color w:val="auto"/>
              </w:rPr>
            </w:pPr>
          </w:p>
        </w:tc>
        <w:tc>
          <w:tcPr>
            <w:tcW w:w="7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37,300,000</w:t>
            </w: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right w:val="single" w:sz="8" w:color="auto"/>
            </w:tcBorders>
          </w:tcPr>
          <w:p>
            <w:pPr>
              <w:spacing w:after="0"/>
              <w:rPr>
                <w:sz w:val="18"/>
                <w:szCs w:val="18"/>
                <w:color w:val="auto"/>
              </w:rPr>
            </w:pP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2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4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8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820" w:type="dxa"/>
            <w:vAlign w:val="bottom"/>
            <w:gridSpan w:val="5"/>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39.1%(2)</w:t>
            </w:r>
          </w:p>
        </w:tc>
        <w:tc>
          <w:tcPr>
            <w:tcW w:w="5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b w:val="1"/>
                <w:bCs w:val="1"/>
                <w:color w:val="auto"/>
              </w:rPr>
              <w:t>CO</w:t>
            </w:r>
          </w:p>
        </w:tc>
        <w:tc>
          <w:tcPr>
            <w:tcW w:w="5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ectPr>
          <w:pgSz w:w="11900" w:h="16838" w:orient="portrait"/>
          <w:cols w:equalWidth="0" w:num="1">
            <w:col w:w="11240"/>
          </w:cols>
          <w:pgMar w:left="320" w:top="361" w:right="339" w:bottom="1440" w:gutter="0" w:footer="0" w:header="0"/>
        </w:sectPr>
      </w:pPr>
    </w:p>
    <w:p>
      <w:pPr>
        <w:ind w:right="1000" w:firstLine="397"/>
        <w:spacing w:after="0" w:line="250" w:lineRule="auto"/>
        <w:tabs>
          <w:tab w:leader="none" w:pos="69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percentage ownership is calculated based on aggregate number of 95,393,126 Common Shares issued and outstanding as of January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CUSIP No. G37585109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7603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6034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NAMES OF REPORTING PERSONS</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1</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100" w:type="dxa"/>
            <w:vAlign w:val="bottom"/>
            <w:vMerge w:val="continue"/>
          </w:tcPr>
          <w:p>
            <w:pPr>
              <w:spacing w:after="0"/>
              <w:rPr>
                <w:sz w:val="21"/>
                <w:szCs w:val="21"/>
                <w:color w:val="auto"/>
              </w:rPr>
            </w:pPr>
          </w:p>
        </w:tc>
        <w:tc>
          <w:tcPr>
            <w:tcW w:w="79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Blenheim Holdings Ltd.</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794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00" w:type="dxa"/>
            <w:vAlign w:val="bottom"/>
            <w:tcBorders>
              <w:bottom w:val="single" w:sz="8" w:color="auto"/>
            </w:tcBorders>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2</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2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100" w:type="dxa"/>
            <w:vAlign w:val="bottom"/>
            <w:vMerge w:val="continue"/>
          </w:tcPr>
          <w:p>
            <w:pPr>
              <w:spacing w:after="0"/>
              <w:rPr>
                <w:sz w:val="24"/>
                <w:szCs w:val="24"/>
                <w:color w:val="auto"/>
              </w:rPr>
            </w:pPr>
          </w:p>
        </w:tc>
        <w:tc>
          <w:tcPr>
            <w:tcW w:w="7940" w:type="dxa"/>
            <w:vAlign w:val="bottom"/>
          </w:tcPr>
          <w:p>
            <w:pPr>
              <w:spacing w:after="0"/>
              <w:rPr>
                <w:sz w:val="24"/>
                <w:szCs w:val="24"/>
                <w:color w:val="auto"/>
              </w:rPr>
            </w:pPr>
          </w:p>
        </w:tc>
        <w:tc>
          <w:tcPr>
            <w:tcW w:w="22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100" w:type="dxa"/>
            <w:vAlign w:val="bottom"/>
            <w:tcBorders>
              <w:bottom w:val="single" w:sz="8" w:color="auto"/>
            </w:tcBorders>
          </w:tcPr>
          <w:p>
            <w:pPr>
              <w:spacing w:after="0"/>
              <w:rPr>
                <w:sz w:val="18"/>
                <w:szCs w:val="18"/>
                <w:color w:val="auto"/>
              </w:rPr>
            </w:pPr>
          </w:p>
        </w:tc>
        <w:tc>
          <w:tcPr>
            <w:tcW w:w="7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3</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SEC USE ONLY</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100" w:type="dxa"/>
            <w:vAlign w:val="bottom"/>
            <w:vMerge w:val="continue"/>
          </w:tcPr>
          <w:p>
            <w:pPr>
              <w:spacing w:after="0"/>
              <w:rPr>
                <w:sz w:val="24"/>
                <w:szCs w:val="24"/>
                <w:color w:val="auto"/>
              </w:rPr>
            </w:pPr>
          </w:p>
        </w:tc>
        <w:tc>
          <w:tcPr>
            <w:tcW w:w="7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1440" w:hanging="818"/>
        <w:spacing w:after="0" w:line="182" w:lineRule="auto"/>
        <w:tabs>
          <w:tab w:leader="none" w:pos="1440" w:val="left"/>
        </w:tabs>
        <w:numPr>
          <w:ilvl w:val="0"/>
          <w:numId w:val="7"/>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WC</w:t>
      </w:r>
    </w:p>
    <w:p>
      <w:pPr>
        <w:spacing w:after="0" w:line="181" w:lineRule="exact"/>
        <w:rPr>
          <w:sz w:val="20"/>
          <w:szCs w:val="20"/>
          <w:color w:val="auto"/>
        </w:rPr>
      </w:pPr>
    </w:p>
    <w:p>
      <w:pPr>
        <w:ind w:left="1420"/>
        <w:spacing w:after="0" w:line="207" w:lineRule="exact"/>
        <w:tabs>
          <w:tab w:leader="none" w:pos="1102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8"/>
        <w:spacing w:after="0" w:line="182" w:lineRule="auto"/>
        <w:tabs>
          <w:tab w:leader="none" w:pos="1440" w:val="left"/>
        </w:tabs>
        <w:numPr>
          <w:ilvl w:val="0"/>
          <w:numId w:val="8"/>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Bermuda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37,300,000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21"/>
                <w:szCs w:val="21"/>
                <w:color w:val="auto"/>
              </w:rPr>
            </w:pPr>
          </w:p>
        </w:tc>
        <w:tc>
          <w:tcPr>
            <w:tcW w:w="540" w:type="dxa"/>
            <w:vAlign w:val="bottom"/>
            <w:tcBorders>
              <w:right w:val="single" w:sz="8" w:color="auto"/>
            </w:tcBorders>
            <w:vMerge w:val="continue"/>
          </w:tcPr>
          <w:p>
            <w:pPr>
              <w:spacing w:after="0"/>
              <w:rPr>
                <w:sz w:val="21"/>
                <w:szCs w:val="21"/>
                <w:color w:val="auto"/>
              </w:rPr>
            </w:pPr>
          </w:p>
        </w:tc>
        <w:tc>
          <w:tcPr>
            <w:tcW w:w="7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7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5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7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18"/>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7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37,300,000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75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gridSpan w:val="2"/>
          </w:tcPr>
          <w:p>
            <w:pPr>
              <w:spacing w:after="0"/>
              <w:rPr>
                <w:sz w:val="18"/>
                <w:szCs w:val="18"/>
                <w:color w:val="auto"/>
              </w:rPr>
            </w:pPr>
          </w:p>
        </w:tc>
        <w:tc>
          <w:tcPr>
            <w:tcW w:w="7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37,300,000</w:t>
            </w: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right w:val="single" w:sz="8" w:color="auto"/>
            </w:tcBorders>
          </w:tcPr>
          <w:p>
            <w:pPr>
              <w:spacing w:after="0"/>
              <w:rPr>
                <w:sz w:val="18"/>
                <w:szCs w:val="18"/>
                <w:color w:val="auto"/>
              </w:rPr>
            </w:pP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2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4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8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820" w:type="dxa"/>
            <w:vAlign w:val="bottom"/>
            <w:gridSpan w:val="5"/>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39.1%(3)</w:t>
            </w:r>
          </w:p>
        </w:tc>
        <w:tc>
          <w:tcPr>
            <w:tcW w:w="5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8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b w:val="1"/>
                <w:bCs w:val="1"/>
                <w:color w:val="auto"/>
              </w:rPr>
              <w:t>CO</w:t>
            </w:r>
          </w:p>
        </w:tc>
        <w:tc>
          <w:tcPr>
            <w:tcW w:w="5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ectPr>
          <w:pgSz w:w="11900" w:h="16838" w:orient="portrait"/>
          <w:cols w:equalWidth="0" w:num="1">
            <w:col w:w="11240"/>
          </w:cols>
          <w:pgMar w:left="320" w:top="361" w:right="339" w:bottom="1440" w:gutter="0" w:footer="0" w:header="0"/>
        </w:sectPr>
      </w:pPr>
    </w:p>
    <w:p>
      <w:pPr>
        <w:ind w:right="1000" w:firstLine="397"/>
        <w:spacing w:after="0" w:line="250" w:lineRule="auto"/>
        <w:tabs>
          <w:tab w:leader="none" w:pos="695"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percentage ownership is calculated based on aggregate number of 95,393,126 Common Shares issued and outstanding as of January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i w:val="1"/>
          <w:iCs w:val="1"/>
          <w:color w:val="auto"/>
        </w:rPr>
        <w:t>Explanatory Note</w:t>
      </w:r>
    </w:p>
    <w:p>
      <w:pPr>
        <w:spacing w:after="0" w:line="227"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The purpose of this Amendment No. 9 (this “</w:t>
      </w:r>
      <w:r>
        <w:rPr>
          <w:rFonts w:ascii="Arial" w:cs="Arial" w:eastAsia="Arial" w:hAnsi="Arial"/>
          <w:sz w:val="22"/>
          <w:szCs w:val="22"/>
          <w:b w:val="1"/>
          <w:bCs w:val="1"/>
          <w:color w:val="auto"/>
        </w:rPr>
        <w:t>Amendment No. 9</w:t>
      </w:r>
      <w:r>
        <w:rPr>
          <w:rFonts w:ascii="Arial" w:cs="Arial" w:eastAsia="Arial" w:hAnsi="Arial"/>
          <w:sz w:val="22"/>
          <w:szCs w:val="22"/>
          <w:color w:val="auto"/>
        </w:rPr>
        <w:t>”) to the Schedule 13D filed with the Securities and Exchange Commission (the “</w:t>
      </w:r>
      <w:r>
        <w:rPr>
          <w:rFonts w:ascii="Arial" w:cs="Arial" w:eastAsia="Arial" w:hAnsi="Arial"/>
          <w:sz w:val="22"/>
          <w:szCs w:val="22"/>
          <w:b w:val="1"/>
          <w:bCs w:val="1"/>
          <w:color w:val="auto"/>
        </w:rPr>
        <w:t>Commission</w:t>
      </w:r>
      <w:r>
        <w:rPr>
          <w:rFonts w:ascii="Arial" w:cs="Arial" w:eastAsia="Arial" w:hAnsi="Arial"/>
          <w:sz w:val="22"/>
          <w:szCs w:val="22"/>
          <w:color w:val="auto"/>
        </w:rPr>
        <w:t>”) on June 29, 2012 in respect of the Common stock, par value US $0.01 per share (the "</w:t>
      </w:r>
      <w:r>
        <w:rPr>
          <w:rFonts w:ascii="Arial" w:cs="Arial" w:eastAsia="Arial" w:hAnsi="Arial"/>
          <w:sz w:val="22"/>
          <w:szCs w:val="22"/>
          <w:b w:val="1"/>
          <w:bCs w:val="1"/>
          <w:color w:val="auto"/>
        </w:rPr>
        <w:t>Shares</w:t>
      </w:r>
      <w:r>
        <w:rPr>
          <w:rFonts w:ascii="Arial" w:cs="Arial" w:eastAsia="Arial" w:hAnsi="Arial"/>
          <w:sz w:val="22"/>
          <w:szCs w:val="22"/>
          <w:color w:val="auto"/>
        </w:rPr>
        <w:t>") of Gaslog Ltd. (the "Issuer") (the “</w:t>
      </w:r>
      <w:r>
        <w:rPr>
          <w:rFonts w:ascii="Arial" w:cs="Arial" w:eastAsia="Arial" w:hAnsi="Arial"/>
          <w:sz w:val="22"/>
          <w:szCs w:val="22"/>
          <w:b w:val="1"/>
          <w:bCs w:val="1"/>
          <w:color w:val="auto"/>
        </w:rPr>
        <w:t>Original Schedule 13D</w:t>
      </w:r>
      <w:r>
        <w:rPr>
          <w:rFonts w:ascii="Arial" w:cs="Arial" w:eastAsia="Arial" w:hAnsi="Arial"/>
          <w:sz w:val="22"/>
          <w:szCs w:val="22"/>
          <w:color w:val="auto"/>
        </w:rPr>
        <w:t>”), as amended on March 13, 2014, April 16, 2014, September 26, 2014, March 26, 2015, August 7, 2015, December 21, 2015, June 24, 2019 and June 30, 2020 (as amended, the “</w:t>
      </w:r>
      <w:r>
        <w:rPr>
          <w:rFonts w:ascii="Arial" w:cs="Arial" w:eastAsia="Arial" w:hAnsi="Arial"/>
          <w:sz w:val="22"/>
          <w:szCs w:val="22"/>
          <w:b w:val="1"/>
          <w:bCs w:val="1"/>
          <w:color w:val="auto"/>
        </w:rPr>
        <w:t>Amended Schedule 13D</w:t>
      </w:r>
      <w:r>
        <w:rPr>
          <w:rFonts w:ascii="Arial" w:cs="Arial" w:eastAsia="Arial" w:hAnsi="Arial"/>
          <w:sz w:val="22"/>
          <w:szCs w:val="22"/>
          <w:color w:val="auto"/>
        </w:rPr>
        <w:t>”) is to update the Amended Schedule 13D to reflect (1) the charge by Blenheim Holdings Ltd. over two (2) safekeeping accounts under a secured facility agreement and (2) the purchase by Maple Tree Holdings Ltd. of additional Shares.</w:t>
      </w:r>
    </w:p>
    <w:p>
      <w:pPr>
        <w:spacing w:after="0" w:line="216"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Except as set forth below, all Items in the Amended Schedule 13D remain unchanged. Capitalized terms used in this Amendment No. 9 and not otherwise defined shall have the respective meanings assigned to such terms in the Amended Schedule 13D.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Item 2. Identity and Background</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43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Reporting Person/ Director/Officer/Control</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Address of Principal</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Name/Address of</w:t>
            </w:r>
          </w:p>
        </w:tc>
        <w:tc>
          <w:tcPr>
            <w:tcW w:w="19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4"/>
                <w:szCs w:val="14"/>
                <w:b w:val="1"/>
                <w:bCs w:val="1"/>
                <w:color w:val="auto"/>
              </w:rPr>
              <w:t>Principal</w:t>
            </w:r>
          </w:p>
        </w:tc>
      </w:tr>
      <w:tr>
        <w:trPr>
          <w:trHeight w:val="148"/>
        </w:trPr>
        <w:tc>
          <w:tcPr>
            <w:tcW w:w="4300" w:type="dxa"/>
            <w:vAlign w:val="bottom"/>
            <w:tcBorders>
              <w:left w:val="single" w:sz="8" w:color="auto"/>
              <w:right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Person of a Reporting Person</w:t>
            </w:r>
          </w:p>
        </w:tc>
        <w:tc>
          <w:tcPr>
            <w:tcW w:w="1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Office/Business or</w:t>
            </w:r>
          </w:p>
        </w:tc>
        <w:tc>
          <w:tcPr>
            <w:tcW w:w="1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Incorporation/</w:t>
            </w:r>
          </w:p>
        </w:tc>
        <w:tc>
          <w:tcPr>
            <w:tcW w:w="1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Employer and</w:t>
            </w:r>
          </w:p>
        </w:tc>
        <w:tc>
          <w:tcPr>
            <w:tcW w:w="1900" w:type="dxa"/>
            <w:vAlign w:val="bottom"/>
            <w:tcBorders>
              <w:right w:val="single" w:sz="8" w:color="auto"/>
            </w:tcBorders>
          </w:tcPr>
          <w:p>
            <w:pPr>
              <w:ind w:left="680"/>
              <w:spacing w:after="0" w:line="149" w:lineRule="exact"/>
              <w:rPr>
                <w:sz w:val="20"/>
                <w:szCs w:val="20"/>
                <w:color w:val="auto"/>
              </w:rPr>
            </w:pPr>
            <w:r>
              <w:rPr>
                <w:rFonts w:ascii="Arial" w:cs="Arial" w:eastAsia="Arial" w:hAnsi="Arial"/>
                <w:sz w:val="14"/>
                <w:szCs w:val="14"/>
                <w:b w:val="1"/>
                <w:bCs w:val="1"/>
                <w:color w:val="auto"/>
              </w:rPr>
              <w:t>Business</w:t>
            </w:r>
          </w:p>
        </w:tc>
      </w:tr>
      <w:tr>
        <w:trPr>
          <w:trHeight w:val="205"/>
        </w:trPr>
        <w:tc>
          <w:tcPr>
            <w:tcW w:w="4300" w:type="dxa"/>
            <w:vAlign w:val="bottom"/>
            <w:tcBorders>
              <w:left w:val="single" w:sz="8" w:color="auto"/>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Residence Address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Occupation</w:t>
            </w:r>
          </w:p>
        </w:tc>
        <w:tc>
          <w:tcPr>
            <w:tcW w:w="1900" w:type="dxa"/>
            <w:vAlign w:val="bottom"/>
            <w:tcBorders>
              <w:bottom w:val="single" w:sz="8" w:color="auto"/>
              <w:right w:val="single" w:sz="8" w:color="auto"/>
            </w:tcBorders>
          </w:tcPr>
          <w:p>
            <w:pPr>
              <w:spacing w:after="0"/>
              <w:rPr>
                <w:sz w:val="17"/>
                <w:szCs w:val="17"/>
                <w:color w:val="auto"/>
              </w:rPr>
            </w:pPr>
          </w:p>
        </w:tc>
      </w:tr>
      <w:tr>
        <w:trPr>
          <w:trHeight w:val="157"/>
        </w:trPr>
        <w:tc>
          <w:tcPr>
            <w:tcW w:w="4300" w:type="dxa"/>
            <w:vAlign w:val="bottom"/>
            <w:tcBorders>
              <w:left w:val="single" w:sz="8" w:color="auto"/>
              <w:right w:val="single" w:sz="8" w:color="auto"/>
            </w:tcBorders>
            <w:shd w:val="clear" w:color="auto" w:fill="CCEEFF"/>
          </w:tcPr>
          <w:p>
            <w:pPr>
              <w:ind w:left="60"/>
              <w:spacing w:after="0" w:line="157" w:lineRule="exact"/>
              <w:rPr>
                <w:sz w:val="20"/>
                <w:szCs w:val="20"/>
                <w:color w:val="auto"/>
              </w:rPr>
            </w:pPr>
            <w:r>
              <w:rPr>
                <w:rFonts w:ascii="Arial" w:cs="Arial" w:eastAsia="Arial" w:hAnsi="Arial"/>
                <w:sz w:val="14"/>
                <w:szCs w:val="14"/>
                <w:b w:val="1"/>
                <w:bCs w:val="1"/>
                <w:color w:val="auto"/>
              </w:rPr>
              <w:t>Peter G. Livanos</w:t>
            </w:r>
          </w:p>
        </w:tc>
        <w:tc>
          <w:tcPr>
            <w:tcW w:w="168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c/o Ceres Monaco SAM</w:t>
            </w:r>
          </w:p>
        </w:tc>
        <w:tc>
          <w:tcPr>
            <w:tcW w:w="1680" w:type="dxa"/>
            <w:vAlign w:val="bottom"/>
            <w:tcBorders>
              <w:right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Greece and United</w:t>
            </w:r>
          </w:p>
        </w:tc>
        <w:tc>
          <w:tcPr>
            <w:tcW w:w="168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GasLog Ltd.</w:t>
            </w:r>
          </w:p>
        </w:tc>
        <w:tc>
          <w:tcPr>
            <w:tcW w:w="190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International owner, operator</w:t>
            </w:r>
          </w:p>
        </w:tc>
      </w:tr>
      <w:tr>
        <w:trPr>
          <w:trHeight w:val="148"/>
        </w:trPr>
        <w:tc>
          <w:tcPr>
            <w:tcW w:w="4300" w:type="dxa"/>
            <w:vAlign w:val="bottom"/>
            <w:tcBorders>
              <w:left w:val="single" w:sz="8" w:color="auto"/>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Gildo Pastor Centre,</w:t>
            </w:r>
          </w:p>
        </w:tc>
        <w:tc>
          <w:tcPr>
            <w:tcW w:w="1680" w:type="dxa"/>
            <w:vAlign w:val="bottom"/>
            <w:tcBorders>
              <w:right w:val="single" w:sz="8" w:color="auto"/>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Kingdom</w:t>
            </w:r>
          </w:p>
        </w:tc>
        <w:tc>
          <w:tcPr>
            <w:tcW w:w="16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c/o 69 Akti Miaouli</w:t>
            </w:r>
          </w:p>
        </w:tc>
        <w:tc>
          <w:tcPr>
            <w:tcW w:w="190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and manager of LNG carriers</w:t>
            </w:r>
          </w:p>
        </w:tc>
      </w:tr>
      <w:tr>
        <w:trPr>
          <w:trHeight w:val="148"/>
        </w:trPr>
        <w:tc>
          <w:tcPr>
            <w:tcW w:w="4300" w:type="dxa"/>
            <w:vAlign w:val="bottom"/>
            <w:tcBorders>
              <w:left w:val="single" w:sz="8" w:color="auto"/>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7, rue du Gabian,</w:t>
            </w:r>
          </w:p>
        </w:tc>
        <w:tc>
          <w:tcPr>
            <w:tcW w:w="1680" w:type="dxa"/>
            <w:vAlign w:val="bottom"/>
            <w:tcBorders>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18537 Piraeus, Greece</w:t>
            </w:r>
          </w:p>
        </w:tc>
        <w:tc>
          <w:tcPr>
            <w:tcW w:w="1900" w:type="dxa"/>
            <w:vAlign w:val="bottom"/>
            <w:tcBorders>
              <w:right w:val="single" w:sz="8" w:color="auto"/>
            </w:tcBorders>
            <w:shd w:val="clear" w:color="auto" w:fill="CCEEFF"/>
          </w:tcPr>
          <w:p>
            <w:pPr>
              <w:spacing w:after="0"/>
              <w:rPr>
                <w:sz w:val="12"/>
                <w:szCs w:val="12"/>
                <w:color w:val="auto"/>
              </w:rPr>
            </w:pPr>
          </w:p>
        </w:tc>
      </w:tr>
      <w:tr>
        <w:trPr>
          <w:trHeight w:val="201"/>
        </w:trPr>
        <w:tc>
          <w:tcPr>
            <w:tcW w:w="430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16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98000 Monaco</w:t>
            </w:r>
          </w:p>
        </w:tc>
        <w:tc>
          <w:tcPr>
            <w:tcW w:w="1680" w:type="dxa"/>
            <w:vAlign w:val="bottom"/>
            <w:tcBorders>
              <w:bottom w:val="single" w:sz="8" w:color="auto"/>
              <w:right w:val="single" w:sz="8" w:color="auto"/>
            </w:tcBorders>
            <w:shd w:val="clear" w:color="auto" w:fill="CCEEFF"/>
          </w:tcPr>
          <w:p>
            <w:pPr>
              <w:spacing w:after="0"/>
              <w:rPr>
                <w:sz w:val="17"/>
                <w:szCs w:val="17"/>
                <w:color w:val="auto"/>
              </w:rPr>
            </w:pPr>
          </w:p>
        </w:tc>
        <w:tc>
          <w:tcPr>
            <w:tcW w:w="1680" w:type="dxa"/>
            <w:vAlign w:val="bottom"/>
            <w:tcBorders>
              <w:bottom w:val="single" w:sz="8" w:color="auto"/>
              <w:right w:val="single" w:sz="8" w:color="auto"/>
            </w:tcBorders>
            <w:shd w:val="clear" w:color="auto" w:fill="CCEEFF"/>
          </w:tcPr>
          <w:p>
            <w:pPr>
              <w:spacing w:after="0"/>
              <w:rPr>
                <w:sz w:val="17"/>
                <w:szCs w:val="17"/>
                <w:color w:val="auto"/>
              </w:rPr>
            </w:pPr>
          </w:p>
        </w:tc>
        <w:tc>
          <w:tcPr>
            <w:tcW w:w="190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91"/>
        </w:trPr>
        <w:tc>
          <w:tcPr>
            <w:tcW w:w="430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Chairman</w:t>
            </w:r>
          </w:p>
        </w:tc>
        <w:tc>
          <w:tcPr>
            <w:tcW w:w="1900" w:type="dxa"/>
            <w:vAlign w:val="bottom"/>
            <w:tcBorders>
              <w:right w:val="single" w:sz="8" w:color="auto"/>
            </w:tcBorders>
          </w:tcPr>
          <w:p>
            <w:pPr>
              <w:spacing w:after="0"/>
              <w:rPr>
                <w:sz w:val="16"/>
                <w:szCs w:val="16"/>
                <w:color w:val="auto"/>
              </w:rPr>
            </w:pPr>
          </w:p>
        </w:tc>
      </w:tr>
      <w:tr>
        <w:trPr>
          <w:trHeight w:val="87"/>
        </w:trPr>
        <w:tc>
          <w:tcPr>
            <w:tcW w:w="430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r>
      <w:tr>
        <w:trPr>
          <w:trHeight w:val="157"/>
        </w:trPr>
        <w:tc>
          <w:tcPr>
            <w:tcW w:w="4300" w:type="dxa"/>
            <w:vAlign w:val="bottom"/>
            <w:tcBorders>
              <w:left w:val="single" w:sz="8" w:color="auto"/>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Ceres Shipping Ltd.</w:t>
            </w:r>
          </w:p>
        </w:tc>
        <w:tc>
          <w:tcPr>
            <w:tcW w:w="19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Holding Company that has</w:t>
            </w:r>
          </w:p>
        </w:tc>
      </w:tr>
      <w:tr>
        <w:trPr>
          <w:trHeight w:val="148"/>
        </w:trPr>
        <w:tc>
          <w:tcPr>
            <w:tcW w:w="430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Clarendon House</w:t>
            </w:r>
          </w:p>
        </w:tc>
        <w:tc>
          <w:tcPr>
            <w:tcW w:w="1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interests in international</w:t>
            </w:r>
          </w:p>
        </w:tc>
      </w:tr>
      <w:tr>
        <w:trPr>
          <w:trHeight w:val="149"/>
        </w:trPr>
        <w:tc>
          <w:tcPr>
            <w:tcW w:w="430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2 Church Street,</w:t>
            </w:r>
          </w:p>
        </w:tc>
        <w:tc>
          <w:tcPr>
            <w:tcW w:w="1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operators, owners and</w:t>
            </w:r>
          </w:p>
        </w:tc>
      </w:tr>
      <w:tr>
        <w:trPr>
          <w:trHeight w:val="148"/>
        </w:trPr>
        <w:tc>
          <w:tcPr>
            <w:tcW w:w="430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HM11 Hamilton, Bermuda</w:t>
            </w:r>
          </w:p>
        </w:tc>
        <w:tc>
          <w:tcPr>
            <w:tcW w:w="1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managers of LNG carriers and</w:t>
            </w:r>
          </w:p>
        </w:tc>
      </w:tr>
      <w:tr>
        <w:trPr>
          <w:trHeight w:val="201"/>
        </w:trPr>
        <w:tc>
          <w:tcPr>
            <w:tcW w:w="4300" w:type="dxa"/>
            <w:vAlign w:val="bottom"/>
            <w:tcBorders>
              <w:left w:val="single" w:sz="8" w:color="auto"/>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Dry Bulk carriers</w:t>
            </w:r>
          </w:p>
        </w:tc>
      </w:tr>
      <w:tr>
        <w:trPr>
          <w:trHeight w:val="157"/>
        </w:trPr>
        <w:tc>
          <w:tcPr>
            <w:tcW w:w="4300" w:type="dxa"/>
            <w:vAlign w:val="bottom"/>
            <w:tcBorders>
              <w:left w:val="single" w:sz="8" w:color="auto"/>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Chairman and sole</w:t>
            </w:r>
          </w:p>
        </w:tc>
        <w:tc>
          <w:tcPr>
            <w:tcW w:w="1900" w:type="dxa"/>
            <w:vAlign w:val="bottom"/>
            <w:tcBorders>
              <w:right w:val="single" w:sz="8" w:color="auto"/>
            </w:tcBorders>
          </w:tcPr>
          <w:p>
            <w:pPr>
              <w:spacing w:after="0"/>
              <w:rPr>
                <w:sz w:val="13"/>
                <w:szCs w:val="13"/>
                <w:color w:val="auto"/>
              </w:rPr>
            </w:pPr>
          </w:p>
        </w:tc>
      </w:tr>
      <w:tr>
        <w:trPr>
          <w:trHeight w:val="201"/>
        </w:trPr>
        <w:tc>
          <w:tcPr>
            <w:tcW w:w="4300" w:type="dxa"/>
            <w:vAlign w:val="bottom"/>
            <w:tcBorders>
              <w:left w:val="single" w:sz="8" w:color="auto"/>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shareholder</w:t>
            </w:r>
          </w:p>
        </w:tc>
        <w:tc>
          <w:tcPr>
            <w:tcW w:w="1900" w:type="dxa"/>
            <w:vAlign w:val="bottom"/>
            <w:tcBorders>
              <w:bottom w:val="single" w:sz="8" w:color="auto"/>
              <w:right w:val="single" w:sz="8" w:color="auto"/>
            </w:tcBorders>
          </w:tcPr>
          <w:p>
            <w:pPr>
              <w:spacing w:after="0"/>
              <w:rPr>
                <w:sz w:val="17"/>
                <w:szCs w:val="17"/>
                <w:color w:val="auto"/>
              </w:rPr>
            </w:pPr>
          </w:p>
        </w:tc>
      </w:tr>
      <w:tr>
        <w:trPr>
          <w:trHeight w:val="157"/>
        </w:trPr>
        <w:tc>
          <w:tcPr>
            <w:tcW w:w="4300" w:type="dxa"/>
            <w:vAlign w:val="bottom"/>
            <w:tcBorders>
              <w:left w:val="single" w:sz="8" w:color="auto"/>
              <w:right w:val="single" w:sz="8" w:color="auto"/>
            </w:tcBorders>
            <w:shd w:val="clear" w:color="auto" w:fill="CCEEFF"/>
          </w:tcPr>
          <w:p>
            <w:pPr>
              <w:ind w:left="60"/>
              <w:spacing w:after="0" w:line="157" w:lineRule="exact"/>
              <w:rPr>
                <w:sz w:val="20"/>
                <w:szCs w:val="20"/>
                <w:color w:val="auto"/>
              </w:rPr>
            </w:pPr>
            <w:r>
              <w:rPr>
                <w:rFonts w:ascii="Arial" w:cs="Arial" w:eastAsia="Arial" w:hAnsi="Arial"/>
                <w:sz w:val="14"/>
                <w:szCs w:val="14"/>
                <w:b w:val="1"/>
                <w:bCs w:val="1"/>
                <w:color w:val="auto"/>
              </w:rPr>
              <w:t>Ceres Shipping Ltd.</w:t>
            </w:r>
          </w:p>
        </w:tc>
        <w:tc>
          <w:tcPr>
            <w:tcW w:w="168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Clarendon House</w:t>
            </w:r>
          </w:p>
        </w:tc>
        <w:tc>
          <w:tcPr>
            <w:tcW w:w="1680" w:type="dxa"/>
            <w:vAlign w:val="bottom"/>
            <w:tcBorders>
              <w:right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Bermuda</w:t>
            </w:r>
          </w:p>
        </w:tc>
        <w:tc>
          <w:tcPr>
            <w:tcW w:w="168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N/A</w:t>
            </w:r>
          </w:p>
        </w:tc>
        <w:tc>
          <w:tcPr>
            <w:tcW w:w="190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See above</w:t>
            </w:r>
          </w:p>
        </w:tc>
      </w:tr>
      <w:tr>
        <w:trPr>
          <w:trHeight w:val="148"/>
        </w:trPr>
        <w:tc>
          <w:tcPr>
            <w:tcW w:w="4300" w:type="dxa"/>
            <w:vAlign w:val="bottom"/>
            <w:tcBorders>
              <w:left w:val="single" w:sz="8" w:color="auto"/>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2 Church Street</w:t>
            </w:r>
          </w:p>
        </w:tc>
        <w:tc>
          <w:tcPr>
            <w:tcW w:w="1680" w:type="dxa"/>
            <w:vAlign w:val="bottom"/>
            <w:tcBorders>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spacing w:after="0"/>
              <w:rPr>
                <w:sz w:val="12"/>
                <w:szCs w:val="12"/>
                <w:color w:val="auto"/>
              </w:rPr>
            </w:pPr>
          </w:p>
        </w:tc>
        <w:tc>
          <w:tcPr>
            <w:tcW w:w="1900" w:type="dxa"/>
            <w:vAlign w:val="bottom"/>
            <w:tcBorders>
              <w:right w:val="single" w:sz="8" w:color="auto"/>
            </w:tcBorders>
            <w:shd w:val="clear" w:color="auto" w:fill="CCEEFF"/>
          </w:tcPr>
          <w:p>
            <w:pPr>
              <w:spacing w:after="0"/>
              <w:rPr>
                <w:sz w:val="12"/>
                <w:szCs w:val="12"/>
                <w:color w:val="auto"/>
              </w:rPr>
            </w:pPr>
          </w:p>
        </w:tc>
      </w:tr>
      <w:tr>
        <w:trPr>
          <w:trHeight w:val="201"/>
        </w:trPr>
        <w:tc>
          <w:tcPr>
            <w:tcW w:w="430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16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Hamilton, HM11 Bermuda</w:t>
            </w:r>
          </w:p>
        </w:tc>
        <w:tc>
          <w:tcPr>
            <w:tcW w:w="1680" w:type="dxa"/>
            <w:vAlign w:val="bottom"/>
            <w:tcBorders>
              <w:bottom w:val="single" w:sz="8" w:color="auto"/>
              <w:right w:val="single" w:sz="8" w:color="auto"/>
            </w:tcBorders>
            <w:shd w:val="clear" w:color="auto" w:fill="CCEEFF"/>
          </w:tcPr>
          <w:p>
            <w:pPr>
              <w:spacing w:after="0"/>
              <w:rPr>
                <w:sz w:val="17"/>
                <w:szCs w:val="17"/>
                <w:color w:val="auto"/>
              </w:rPr>
            </w:pPr>
          </w:p>
        </w:tc>
        <w:tc>
          <w:tcPr>
            <w:tcW w:w="1680" w:type="dxa"/>
            <w:vAlign w:val="bottom"/>
            <w:tcBorders>
              <w:bottom w:val="single" w:sz="8" w:color="auto"/>
              <w:right w:val="single" w:sz="8" w:color="auto"/>
            </w:tcBorders>
            <w:shd w:val="clear" w:color="auto" w:fill="CCEEFF"/>
          </w:tcPr>
          <w:p>
            <w:pPr>
              <w:spacing w:after="0"/>
              <w:rPr>
                <w:sz w:val="17"/>
                <w:szCs w:val="17"/>
                <w:color w:val="auto"/>
              </w:rPr>
            </w:pPr>
          </w:p>
        </w:tc>
        <w:tc>
          <w:tcPr>
            <w:tcW w:w="190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91"/>
        </w:trPr>
        <w:tc>
          <w:tcPr>
            <w:tcW w:w="43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i w:val="1"/>
                <w:iCs w:val="1"/>
                <w:color w:val="auto"/>
              </w:rPr>
              <w:t>Directors</w:t>
            </w: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r>
      <w:tr>
        <w:trPr>
          <w:trHeight w:val="86"/>
        </w:trPr>
        <w:tc>
          <w:tcPr>
            <w:tcW w:w="4300" w:type="dxa"/>
            <w:vAlign w:val="bottom"/>
            <w:tcBorders>
              <w:left w:val="single" w:sz="8" w:color="auto"/>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r>
      <w:tr>
        <w:trPr>
          <w:trHeight w:val="210"/>
        </w:trPr>
        <w:tc>
          <w:tcPr>
            <w:tcW w:w="430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Peter G. Livanos</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1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See above</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r>
      <w:tr>
        <w:trPr>
          <w:trHeight w:val="157"/>
        </w:trPr>
        <w:tc>
          <w:tcPr>
            <w:tcW w:w="4300" w:type="dxa"/>
            <w:vAlign w:val="bottom"/>
            <w:tcBorders>
              <w:left w:val="single" w:sz="8" w:color="auto"/>
              <w:right w:val="single" w:sz="8" w:color="auto"/>
            </w:tcBorders>
          </w:tcPr>
          <w:p>
            <w:pPr>
              <w:ind w:left="240"/>
              <w:spacing w:after="0" w:line="157" w:lineRule="exact"/>
              <w:rPr>
                <w:sz w:val="20"/>
                <w:szCs w:val="20"/>
                <w:color w:val="auto"/>
              </w:rPr>
            </w:pPr>
            <w:r>
              <w:rPr>
                <w:rFonts w:ascii="Arial" w:cs="Arial" w:eastAsia="Arial" w:hAnsi="Arial"/>
                <w:sz w:val="14"/>
                <w:szCs w:val="14"/>
                <w:b w:val="1"/>
                <w:bCs w:val="1"/>
                <w:color w:val="auto"/>
              </w:rPr>
              <w:t>Bruce L. Blythe</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Minera Mews</w:t>
            </w:r>
          </w:p>
        </w:tc>
        <w:tc>
          <w:tcPr>
            <w:tcW w:w="168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U.S.A. and United</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GasLog Ltd.</w:t>
            </w:r>
          </w:p>
        </w:tc>
        <w:tc>
          <w:tcPr>
            <w:tcW w:w="19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See above</w:t>
            </w:r>
          </w:p>
        </w:tc>
      </w:tr>
      <w:tr>
        <w:trPr>
          <w:trHeight w:val="148"/>
        </w:trPr>
        <w:tc>
          <w:tcPr>
            <w:tcW w:w="430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London SW1W 96D</w:t>
            </w:r>
          </w:p>
        </w:tc>
        <w:tc>
          <w:tcPr>
            <w:tcW w:w="168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Kingdom</w:t>
            </w: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 69 Akti Miaouli</w:t>
            </w:r>
          </w:p>
        </w:tc>
        <w:tc>
          <w:tcPr>
            <w:tcW w:w="1900" w:type="dxa"/>
            <w:vAlign w:val="bottom"/>
            <w:tcBorders>
              <w:right w:val="single" w:sz="8" w:color="auto"/>
            </w:tcBorders>
          </w:tcPr>
          <w:p>
            <w:pPr>
              <w:spacing w:after="0"/>
              <w:rPr>
                <w:sz w:val="12"/>
                <w:szCs w:val="12"/>
                <w:color w:val="auto"/>
              </w:rPr>
            </w:pPr>
          </w:p>
        </w:tc>
      </w:tr>
      <w:tr>
        <w:trPr>
          <w:trHeight w:val="182"/>
        </w:trPr>
        <w:tc>
          <w:tcPr>
            <w:tcW w:w="430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18537 Piraeus, Greece</w:t>
            </w:r>
          </w:p>
        </w:tc>
        <w:tc>
          <w:tcPr>
            <w:tcW w:w="1900" w:type="dxa"/>
            <w:vAlign w:val="bottom"/>
            <w:tcBorders>
              <w:right w:val="single" w:sz="8" w:color="auto"/>
            </w:tcBorders>
          </w:tcPr>
          <w:p>
            <w:pPr>
              <w:spacing w:after="0"/>
              <w:rPr>
                <w:sz w:val="15"/>
                <w:szCs w:val="15"/>
                <w:color w:val="auto"/>
              </w:rPr>
            </w:pPr>
          </w:p>
        </w:tc>
      </w:tr>
      <w:tr>
        <w:trPr>
          <w:trHeight w:val="316"/>
        </w:trPr>
        <w:tc>
          <w:tcPr>
            <w:tcW w:w="430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Borders>
              <w:bottom w:val="single" w:sz="8" w:color="auto"/>
              <w:right w:val="single" w:sz="8" w:color="auto"/>
            </w:tcBorders>
          </w:tcPr>
          <w:p>
            <w:pPr>
              <w:spacing w:after="0"/>
              <w:rPr>
                <w:sz w:val="24"/>
                <w:szCs w:val="24"/>
                <w:color w:val="auto"/>
              </w:rPr>
            </w:pPr>
          </w:p>
        </w:tc>
      </w:tr>
      <w:tr>
        <w:trPr>
          <w:trHeight w:val="668"/>
        </w:trPr>
        <w:tc>
          <w:tcPr>
            <w:tcW w:w="4300" w:type="dxa"/>
            <w:vAlign w:val="bottom"/>
            <w:tcBorders>
              <w:bottom w:val="single" w:sz="8" w:color="BFBFBF"/>
            </w:tcBorders>
          </w:tcPr>
          <w:p>
            <w:pPr>
              <w:spacing w:after="0"/>
              <w:rPr>
                <w:sz w:val="24"/>
                <w:szCs w:val="24"/>
                <w:color w:val="auto"/>
              </w:rPr>
            </w:pPr>
          </w:p>
        </w:tc>
        <w:tc>
          <w:tcPr>
            <w:tcW w:w="1680" w:type="dxa"/>
            <w:vAlign w:val="bottom"/>
            <w:tcBorders>
              <w:bottom w:val="single" w:sz="8" w:color="BFBFBF"/>
            </w:tcBorders>
          </w:tcPr>
          <w:p>
            <w:pPr>
              <w:spacing w:after="0"/>
              <w:rPr>
                <w:sz w:val="24"/>
                <w:szCs w:val="24"/>
                <w:color w:val="auto"/>
              </w:rPr>
            </w:pPr>
          </w:p>
        </w:tc>
        <w:tc>
          <w:tcPr>
            <w:tcW w:w="1680" w:type="dxa"/>
            <w:vAlign w:val="bottom"/>
            <w:tcBorders>
              <w:bottom w:val="single" w:sz="8" w:color="BFBFBF"/>
            </w:tcBorders>
          </w:tcPr>
          <w:p>
            <w:pPr>
              <w:spacing w:after="0"/>
              <w:rPr>
                <w:sz w:val="24"/>
                <w:szCs w:val="24"/>
                <w:color w:val="auto"/>
              </w:rPr>
            </w:pPr>
          </w:p>
        </w:tc>
        <w:tc>
          <w:tcPr>
            <w:tcW w:w="1680" w:type="dxa"/>
            <w:vAlign w:val="bottom"/>
            <w:tcBorders>
              <w:bottom w:val="single" w:sz="8" w:color="BFBFBF"/>
            </w:tcBorders>
          </w:tcPr>
          <w:p>
            <w:pPr>
              <w:spacing w:after="0"/>
              <w:rPr>
                <w:sz w:val="24"/>
                <w:szCs w:val="24"/>
                <w:color w:val="auto"/>
              </w:rPr>
            </w:pPr>
          </w:p>
        </w:tc>
        <w:tc>
          <w:tcPr>
            <w:tcW w:w="19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61"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16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4"/>
                <w:szCs w:val="14"/>
                <w:b w:val="1"/>
                <w:bCs w:val="1"/>
                <w:color w:val="auto"/>
              </w:rPr>
              <w:t>Ilias A. Iliopoulos</w:t>
            </w:r>
          </w:p>
        </w:tc>
        <w:tc>
          <w:tcPr>
            <w:tcW w:w="2140" w:type="dxa"/>
            <w:vAlign w:val="bottom"/>
            <w:tcBorders>
              <w:top w:val="single" w:sz="8" w:color="auto"/>
              <w:right w:val="single" w:sz="8" w:color="auto"/>
            </w:tcBorders>
          </w:tcPr>
          <w:p>
            <w:pPr>
              <w:spacing w:after="0"/>
              <w:rPr>
                <w:sz w:val="15"/>
                <w:szCs w:val="15"/>
                <w:color w:val="auto"/>
              </w:rPr>
            </w:pPr>
          </w:p>
        </w:tc>
        <w:tc>
          <w:tcPr>
            <w:tcW w:w="1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 Continental</w:t>
            </w:r>
          </w:p>
        </w:tc>
        <w:tc>
          <w:tcPr>
            <w:tcW w:w="1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Greece</w:t>
            </w:r>
          </w:p>
        </w:tc>
        <w:tc>
          <w:tcPr>
            <w:tcW w:w="1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Ceres Monaco S.A.M.</w:t>
            </w:r>
          </w:p>
        </w:tc>
        <w:tc>
          <w:tcPr>
            <w:tcW w:w="1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Family Office</w:t>
            </w:r>
          </w:p>
        </w:tc>
      </w:tr>
      <w:tr>
        <w:trPr>
          <w:trHeight w:val="148"/>
        </w:trPr>
        <w:tc>
          <w:tcPr>
            <w:tcW w:w="2160" w:type="dxa"/>
            <w:vAlign w:val="bottom"/>
            <w:tcBorders>
              <w:lef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Place des Moulins</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Gildo Pastor Center</w:t>
            </w:r>
          </w:p>
        </w:tc>
        <w:tc>
          <w:tcPr>
            <w:tcW w:w="1900" w:type="dxa"/>
            <w:vAlign w:val="bottom"/>
            <w:tcBorders>
              <w:right w:val="single" w:sz="8" w:color="auto"/>
            </w:tcBorders>
          </w:tcPr>
          <w:p>
            <w:pPr>
              <w:spacing w:after="0"/>
              <w:rPr>
                <w:sz w:val="12"/>
                <w:szCs w:val="12"/>
                <w:color w:val="auto"/>
              </w:rPr>
            </w:pPr>
          </w:p>
        </w:tc>
      </w:tr>
      <w:tr>
        <w:trPr>
          <w:trHeight w:val="148"/>
        </w:trPr>
        <w:tc>
          <w:tcPr>
            <w:tcW w:w="2160" w:type="dxa"/>
            <w:vAlign w:val="bottom"/>
            <w:tcBorders>
              <w:lef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MC 98000, Monaco</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7 rue du Gabian</w:t>
            </w:r>
          </w:p>
        </w:tc>
        <w:tc>
          <w:tcPr>
            <w:tcW w:w="1900" w:type="dxa"/>
            <w:vAlign w:val="bottom"/>
            <w:tcBorders>
              <w:right w:val="single" w:sz="8" w:color="auto"/>
            </w:tcBorders>
          </w:tcPr>
          <w:p>
            <w:pPr>
              <w:spacing w:after="0"/>
              <w:rPr>
                <w:sz w:val="12"/>
                <w:szCs w:val="12"/>
                <w:color w:val="auto"/>
              </w:rPr>
            </w:pPr>
          </w:p>
        </w:tc>
      </w:tr>
      <w:tr>
        <w:trPr>
          <w:trHeight w:val="182"/>
        </w:trPr>
        <w:tc>
          <w:tcPr>
            <w:tcW w:w="216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98000, Monaco</w:t>
            </w:r>
          </w:p>
        </w:tc>
        <w:tc>
          <w:tcPr>
            <w:tcW w:w="1900" w:type="dxa"/>
            <w:vAlign w:val="bottom"/>
            <w:tcBorders>
              <w:right w:val="single" w:sz="8" w:color="auto"/>
            </w:tcBorders>
          </w:tcPr>
          <w:p>
            <w:pPr>
              <w:spacing w:after="0"/>
              <w:rPr>
                <w:sz w:val="15"/>
                <w:szCs w:val="15"/>
                <w:color w:val="auto"/>
              </w:rPr>
            </w:pPr>
          </w:p>
        </w:tc>
      </w:tr>
      <w:tr>
        <w:trPr>
          <w:trHeight w:val="384"/>
        </w:trPr>
        <w:tc>
          <w:tcPr>
            <w:tcW w:w="2160" w:type="dxa"/>
            <w:vAlign w:val="bottom"/>
            <w:tcBorders>
              <w:left w:val="single" w:sz="8" w:color="auto"/>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Managing Director</w:t>
            </w:r>
          </w:p>
        </w:tc>
        <w:tc>
          <w:tcPr>
            <w:tcW w:w="1900" w:type="dxa"/>
            <w:vAlign w:val="bottom"/>
            <w:tcBorders>
              <w:bottom w:val="single" w:sz="8" w:color="auto"/>
              <w:right w:val="single" w:sz="8" w:color="auto"/>
            </w:tcBorders>
          </w:tcPr>
          <w:p>
            <w:pPr>
              <w:spacing w:after="0"/>
              <w:rPr>
                <w:sz w:val="24"/>
                <w:szCs w:val="24"/>
                <w:color w:val="auto"/>
              </w:rPr>
            </w:pPr>
          </w:p>
        </w:tc>
      </w:tr>
      <w:tr>
        <w:trPr>
          <w:trHeight w:val="157"/>
        </w:trPr>
        <w:tc>
          <w:tcPr>
            <w:tcW w:w="2160" w:type="dxa"/>
            <w:vAlign w:val="bottom"/>
            <w:tcBorders>
              <w:left w:val="single" w:sz="8" w:color="auto"/>
            </w:tcBorders>
          </w:tcPr>
          <w:p>
            <w:pPr>
              <w:ind w:left="240"/>
              <w:spacing w:after="0" w:line="157" w:lineRule="exact"/>
              <w:rPr>
                <w:sz w:val="20"/>
                <w:szCs w:val="20"/>
                <w:color w:val="auto"/>
              </w:rPr>
            </w:pPr>
            <w:r>
              <w:rPr>
                <w:rFonts w:ascii="Arial" w:cs="Arial" w:eastAsia="Arial" w:hAnsi="Arial"/>
                <w:sz w:val="14"/>
                <w:szCs w:val="14"/>
                <w:b w:val="1"/>
                <w:bCs w:val="1"/>
                <w:color w:val="auto"/>
              </w:rPr>
              <w:t>Jean Haramis</w:t>
            </w:r>
          </w:p>
        </w:tc>
        <w:tc>
          <w:tcPr>
            <w:tcW w:w="214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Le Continental</w:t>
            </w:r>
          </w:p>
        </w:tc>
        <w:tc>
          <w:tcPr>
            <w:tcW w:w="168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Switzerland</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Ceres Monaco S.A.M.</w:t>
            </w:r>
          </w:p>
        </w:tc>
        <w:tc>
          <w:tcPr>
            <w:tcW w:w="19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Family Office</w:t>
            </w:r>
          </w:p>
        </w:tc>
      </w:tr>
      <w:tr>
        <w:trPr>
          <w:trHeight w:val="148"/>
        </w:trPr>
        <w:tc>
          <w:tcPr>
            <w:tcW w:w="2160" w:type="dxa"/>
            <w:vAlign w:val="bottom"/>
            <w:tcBorders>
              <w:lef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Place des Moulins</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Gildo Pastor Center</w:t>
            </w:r>
          </w:p>
        </w:tc>
        <w:tc>
          <w:tcPr>
            <w:tcW w:w="1900" w:type="dxa"/>
            <w:vAlign w:val="bottom"/>
            <w:tcBorders>
              <w:right w:val="single" w:sz="8" w:color="auto"/>
            </w:tcBorders>
          </w:tcPr>
          <w:p>
            <w:pPr>
              <w:spacing w:after="0"/>
              <w:rPr>
                <w:sz w:val="12"/>
                <w:szCs w:val="12"/>
                <w:color w:val="auto"/>
              </w:rPr>
            </w:pPr>
          </w:p>
        </w:tc>
      </w:tr>
      <w:tr>
        <w:trPr>
          <w:trHeight w:val="149"/>
        </w:trPr>
        <w:tc>
          <w:tcPr>
            <w:tcW w:w="2160" w:type="dxa"/>
            <w:vAlign w:val="bottom"/>
            <w:tcBorders>
              <w:lef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MC 98000, Monaco</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7 rue du Gabian</w:t>
            </w:r>
          </w:p>
        </w:tc>
        <w:tc>
          <w:tcPr>
            <w:tcW w:w="1900" w:type="dxa"/>
            <w:vAlign w:val="bottom"/>
            <w:tcBorders>
              <w:right w:val="single" w:sz="8" w:color="auto"/>
            </w:tcBorders>
          </w:tcPr>
          <w:p>
            <w:pPr>
              <w:spacing w:after="0"/>
              <w:rPr>
                <w:sz w:val="12"/>
                <w:szCs w:val="12"/>
                <w:color w:val="auto"/>
              </w:rPr>
            </w:pPr>
          </w:p>
        </w:tc>
      </w:tr>
      <w:tr>
        <w:trPr>
          <w:trHeight w:val="182"/>
        </w:trPr>
        <w:tc>
          <w:tcPr>
            <w:tcW w:w="216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98000, Monaco</w:t>
            </w:r>
          </w:p>
        </w:tc>
        <w:tc>
          <w:tcPr>
            <w:tcW w:w="1900" w:type="dxa"/>
            <w:vAlign w:val="bottom"/>
            <w:tcBorders>
              <w:right w:val="single" w:sz="8" w:color="auto"/>
            </w:tcBorders>
          </w:tcPr>
          <w:p>
            <w:pPr>
              <w:spacing w:after="0"/>
              <w:rPr>
                <w:sz w:val="15"/>
                <w:szCs w:val="15"/>
                <w:color w:val="auto"/>
              </w:rPr>
            </w:pPr>
          </w:p>
        </w:tc>
      </w:tr>
      <w:tr>
        <w:trPr>
          <w:trHeight w:val="384"/>
        </w:trPr>
        <w:tc>
          <w:tcPr>
            <w:tcW w:w="2160" w:type="dxa"/>
            <w:vAlign w:val="bottom"/>
            <w:tcBorders>
              <w:left w:val="single" w:sz="8" w:color="auto"/>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Managing Director</w:t>
            </w:r>
          </w:p>
        </w:tc>
        <w:tc>
          <w:tcPr>
            <w:tcW w:w="1900" w:type="dxa"/>
            <w:vAlign w:val="bottom"/>
            <w:tcBorders>
              <w:bottom w:val="single" w:sz="8" w:color="auto"/>
              <w:right w:val="single" w:sz="8" w:color="auto"/>
            </w:tcBorders>
          </w:tcPr>
          <w:p>
            <w:pPr>
              <w:spacing w:after="0"/>
              <w:rPr>
                <w:sz w:val="24"/>
                <w:szCs w:val="24"/>
                <w:color w:val="auto"/>
              </w:rPr>
            </w:pPr>
          </w:p>
        </w:tc>
      </w:tr>
      <w:tr>
        <w:trPr>
          <w:trHeight w:val="190"/>
        </w:trPr>
        <w:tc>
          <w:tcPr>
            <w:tcW w:w="2160" w:type="dxa"/>
            <w:vAlign w:val="bottom"/>
            <w:tcBorders>
              <w:left w:val="single" w:sz="8" w:color="auto"/>
            </w:tcBorders>
          </w:tcPr>
          <w:p>
            <w:pPr>
              <w:ind w:left="240"/>
              <w:spacing w:after="0"/>
              <w:rPr>
                <w:sz w:val="20"/>
                <w:szCs w:val="20"/>
                <w:color w:val="auto"/>
              </w:rPr>
            </w:pPr>
            <w:r>
              <w:rPr>
                <w:rFonts w:ascii="Arial" w:cs="Arial" w:eastAsia="Arial" w:hAnsi="Arial"/>
                <w:sz w:val="14"/>
                <w:szCs w:val="14"/>
                <w:b w:val="1"/>
                <w:bCs w:val="1"/>
                <w:i w:val="1"/>
                <w:iCs w:val="1"/>
                <w:color w:val="auto"/>
              </w:rPr>
              <w:t>Officers</w:t>
            </w:r>
          </w:p>
        </w:tc>
        <w:tc>
          <w:tcPr>
            <w:tcW w:w="21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r>
      <w:tr>
        <w:trPr>
          <w:trHeight w:val="87"/>
        </w:trPr>
        <w:tc>
          <w:tcPr>
            <w:tcW w:w="2160" w:type="dxa"/>
            <w:vAlign w:val="bottom"/>
            <w:tcBorders>
              <w:left w:val="single" w:sz="8" w:color="auto"/>
              <w:bottom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r>
      <w:tr>
        <w:trPr>
          <w:trHeight w:val="153"/>
        </w:trPr>
        <w:tc>
          <w:tcPr>
            <w:tcW w:w="2160" w:type="dxa"/>
            <w:vAlign w:val="bottom"/>
            <w:tcBorders>
              <w:left w:val="single" w:sz="8" w:color="auto"/>
              <w:right w:val="single" w:sz="8" w:color="auto"/>
            </w:tcBorders>
          </w:tcPr>
          <w:p>
            <w:pPr>
              <w:ind w:left="240"/>
              <w:spacing w:after="0" w:line="153" w:lineRule="exact"/>
              <w:rPr>
                <w:sz w:val="20"/>
                <w:szCs w:val="20"/>
                <w:color w:val="auto"/>
              </w:rPr>
            </w:pPr>
            <w:r>
              <w:rPr>
                <w:rFonts w:ascii="Arial" w:cs="Arial" w:eastAsia="Arial" w:hAnsi="Arial"/>
                <w:sz w:val="14"/>
                <w:szCs w:val="14"/>
                <w:b w:val="1"/>
                <w:bCs w:val="1"/>
                <w:color w:val="auto"/>
              </w:rPr>
              <w:t>Chairman, Chief Executive</w:t>
            </w:r>
          </w:p>
        </w:tc>
        <w:tc>
          <w:tcPr>
            <w:tcW w:w="2140" w:type="dxa"/>
            <w:vAlign w:val="bottom"/>
            <w:tcBorders>
              <w:right w:val="single" w:sz="8" w:color="auto"/>
            </w:tcBorders>
          </w:tcPr>
          <w:p>
            <w:pPr>
              <w:ind w:left="40"/>
              <w:spacing w:after="0" w:line="153" w:lineRule="exact"/>
              <w:rPr>
                <w:sz w:val="20"/>
                <w:szCs w:val="20"/>
                <w:color w:val="auto"/>
              </w:rPr>
            </w:pPr>
            <w:r>
              <w:rPr>
                <w:rFonts w:ascii="Arial" w:cs="Arial" w:eastAsia="Arial" w:hAnsi="Arial"/>
                <w:sz w:val="14"/>
                <w:szCs w:val="14"/>
                <w:color w:val="auto"/>
              </w:rPr>
              <w:t>Peter G. Livanos</w:t>
            </w:r>
          </w:p>
        </w:tc>
        <w:tc>
          <w:tcPr>
            <w:tcW w:w="16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See above</w:t>
            </w:r>
          </w:p>
        </w:tc>
        <w:tc>
          <w:tcPr>
            <w:tcW w:w="1680" w:type="dxa"/>
            <w:vAlign w:val="bottom"/>
            <w:tcBorders>
              <w:right w:val="single" w:sz="8" w:color="auto"/>
            </w:tcBorders>
          </w:tcPr>
          <w:p>
            <w:pPr>
              <w:ind w:left="40"/>
              <w:spacing w:after="0" w:line="153" w:lineRule="exact"/>
              <w:rPr>
                <w:sz w:val="20"/>
                <w:szCs w:val="20"/>
                <w:color w:val="auto"/>
              </w:rPr>
            </w:pPr>
            <w:r>
              <w:rPr>
                <w:rFonts w:ascii="Arial" w:cs="Arial" w:eastAsia="Arial" w:hAnsi="Arial"/>
                <w:sz w:val="14"/>
                <w:szCs w:val="14"/>
                <w:color w:val="auto"/>
              </w:rPr>
              <w:t>See above</w:t>
            </w:r>
          </w:p>
        </w:tc>
        <w:tc>
          <w:tcPr>
            <w:tcW w:w="16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See above</w:t>
            </w:r>
          </w:p>
        </w:tc>
        <w:tc>
          <w:tcPr>
            <w:tcW w:w="19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See above</w:t>
            </w:r>
          </w:p>
        </w:tc>
      </w:tr>
      <w:tr>
        <w:trPr>
          <w:trHeight w:val="205"/>
        </w:trPr>
        <w:tc>
          <w:tcPr>
            <w:tcW w:w="216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Officer</w:t>
            </w:r>
          </w:p>
        </w:tc>
        <w:tc>
          <w:tcPr>
            <w:tcW w:w="214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r>
      <w:tr>
        <w:trPr>
          <w:trHeight w:val="209"/>
        </w:trPr>
        <w:tc>
          <w:tcPr>
            <w:tcW w:w="216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Vice Chairman</w:t>
            </w:r>
          </w:p>
        </w:tc>
        <w:tc>
          <w:tcPr>
            <w:tcW w:w="2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Bruce L. Blythe</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1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See above</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r>
      <w:tr>
        <w:trPr>
          <w:trHeight w:val="157"/>
        </w:trPr>
        <w:tc>
          <w:tcPr>
            <w:tcW w:w="2160" w:type="dxa"/>
            <w:vAlign w:val="bottom"/>
            <w:tcBorders>
              <w:left w:val="single" w:sz="8" w:color="auto"/>
              <w:right w:val="single" w:sz="8" w:color="auto"/>
            </w:tcBorders>
          </w:tcPr>
          <w:p>
            <w:pPr>
              <w:ind w:left="240"/>
              <w:spacing w:after="0" w:line="157" w:lineRule="exact"/>
              <w:rPr>
                <w:sz w:val="20"/>
                <w:szCs w:val="20"/>
                <w:color w:val="auto"/>
              </w:rPr>
            </w:pPr>
            <w:r>
              <w:rPr>
                <w:rFonts w:ascii="Arial" w:cs="Arial" w:eastAsia="Arial" w:hAnsi="Arial"/>
                <w:sz w:val="14"/>
                <w:szCs w:val="14"/>
                <w:b w:val="1"/>
                <w:bCs w:val="1"/>
                <w:color w:val="auto"/>
              </w:rPr>
              <w:t>Chief Financial Officer</w:t>
            </w:r>
          </w:p>
        </w:tc>
        <w:tc>
          <w:tcPr>
            <w:tcW w:w="214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Athanasios</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6, Parthenonos Street</w:t>
            </w:r>
          </w:p>
        </w:tc>
        <w:tc>
          <w:tcPr>
            <w:tcW w:w="168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Greece</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DryLog Ltd.</w:t>
            </w:r>
          </w:p>
        </w:tc>
        <w:tc>
          <w:tcPr>
            <w:tcW w:w="19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Holding Company that has</w:t>
            </w: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Thanopoulos</w:t>
            </w: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Paleo Faliro</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 Ceres Monaco S.A.M.</w:t>
            </w:r>
          </w:p>
        </w:tc>
        <w:tc>
          <w:tcPr>
            <w:tcW w:w="1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interests in international</w:t>
            </w: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Athens 17562, Greece</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Gildo Pastor Center</w:t>
            </w:r>
          </w:p>
        </w:tc>
        <w:tc>
          <w:tcPr>
            <w:tcW w:w="1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operators, owners and</w:t>
            </w: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7 rue du Gabian</w:t>
            </w:r>
          </w:p>
        </w:tc>
        <w:tc>
          <w:tcPr>
            <w:tcW w:w="1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managers of dry bulk vessels</w:t>
            </w:r>
          </w:p>
        </w:tc>
      </w:tr>
      <w:tr>
        <w:trPr>
          <w:trHeight w:val="182"/>
        </w:trPr>
        <w:tc>
          <w:tcPr>
            <w:tcW w:w="2160" w:type="dxa"/>
            <w:vAlign w:val="bottom"/>
            <w:tcBorders>
              <w:left w:val="single" w:sz="8" w:color="auto"/>
              <w:righ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98000, Monaco</w:t>
            </w:r>
          </w:p>
        </w:tc>
        <w:tc>
          <w:tcPr>
            <w:tcW w:w="1900" w:type="dxa"/>
            <w:vAlign w:val="bottom"/>
            <w:tcBorders>
              <w:right w:val="single" w:sz="8" w:color="auto"/>
            </w:tcBorders>
          </w:tcPr>
          <w:p>
            <w:pPr>
              <w:spacing w:after="0"/>
              <w:rPr>
                <w:sz w:val="15"/>
                <w:szCs w:val="15"/>
                <w:color w:val="auto"/>
              </w:rPr>
            </w:pPr>
          </w:p>
        </w:tc>
      </w:tr>
      <w:tr>
        <w:trPr>
          <w:trHeight w:val="316"/>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Chief Financial Officer</w:t>
            </w:r>
          </w:p>
        </w:tc>
        <w:tc>
          <w:tcPr>
            <w:tcW w:w="1900" w:type="dxa"/>
            <w:vAlign w:val="bottom"/>
            <w:tcBorders>
              <w:bottom w:val="single" w:sz="8" w:color="auto"/>
              <w:right w:val="single" w:sz="8" w:color="auto"/>
            </w:tcBorders>
          </w:tcPr>
          <w:p>
            <w:pPr>
              <w:spacing w:after="0"/>
              <w:rPr>
                <w:sz w:val="24"/>
                <w:szCs w:val="24"/>
                <w:color w:val="auto"/>
              </w:rPr>
            </w:pPr>
          </w:p>
        </w:tc>
      </w:tr>
      <w:tr>
        <w:trPr>
          <w:trHeight w:val="153"/>
        </w:trPr>
        <w:tc>
          <w:tcPr>
            <w:tcW w:w="2160" w:type="dxa"/>
            <w:vAlign w:val="bottom"/>
            <w:tcBorders>
              <w:left w:val="single" w:sz="8" w:color="auto"/>
              <w:right w:val="single" w:sz="8" w:color="auto"/>
            </w:tcBorders>
          </w:tcPr>
          <w:p>
            <w:pPr>
              <w:ind w:left="240"/>
              <w:spacing w:after="0" w:line="153" w:lineRule="exact"/>
              <w:rPr>
                <w:sz w:val="20"/>
                <w:szCs w:val="20"/>
                <w:color w:val="auto"/>
              </w:rPr>
            </w:pPr>
            <w:r>
              <w:rPr>
                <w:rFonts w:ascii="Arial" w:cs="Arial" w:eastAsia="Arial" w:hAnsi="Arial"/>
                <w:sz w:val="14"/>
                <w:szCs w:val="14"/>
                <w:b w:val="1"/>
                <w:bCs w:val="1"/>
                <w:color w:val="auto"/>
              </w:rPr>
              <w:t>Chief Compliance Officer,</w:t>
            </w:r>
          </w:p>
        </w:tc>
        <w:tc>
          <w:tcPr>
            <w:tcW w:w="2140" w:type="dxa"/>
            <w:vAlign w:val="bottom"/>
            <w:tcBorders>
              <w:right w:val="single" w:sz="8" w:color="auto"/>
            </w:tcBorders>
          </w:tcPr>
          <w:p>
            <w:pPr>
              <w:ind w:left="40"/>
              <w:spacing w:after="0" w:line="153" w:lineRule="exact"/>
              <w:rPr>
                <w:sz w:val="20"/>
                <w:szCs w:val="20"/>
                <w:color w:val="auto"/>
              </w:rPr>
            </w:pPr>
            <w:r>
              <w:rPr>
                <w:rFonts w:ascii="Arial" w:cs="Arial" w:eastAsia="Arial" w:hAnsi="Arial"/>
                <w:sz w:val="14"/>
                <w:szCs w:val="14"/>
                <w:color w:val="auto"/>
              </w:rPr>
              <w:t>Konstantinos</w:t>
            </w:r>
          </w:p>
        </w:tc>
        <w:tc>
          <w:tcPr>
            <w:tcW w:w="16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13, Terpsihoris Street</w:t>
            </w:r>
          </w:p>
        </w:tc>
        <w:tc>
          <w:tcPr>
            <w:tcW w:w="1680" w:type="dxa"/>
            <w:vAlign w:val="bottom"/>
            <w:tcBorders>
              <w:right w:val="single" w:sz="8" w:color="auto"/>
            </w:tcBorders>
          </w:tcPr>
          <w:p>
            <w:pPr>
              <w:ind w:left="40"/>
              <w:spacing w:after="0" w:line="153" w:lineRule="exact"/>
              <w:rPr>
                <w:sz w:val="20"/>
                <w:szCs w:val="20"/>
                <w:color w:val="auto"/>
              </w:rPr>
            </w:pPr>
            <w:r>
              <w:rPr>
                <w:rFonts w:ascii="Arial" w:cs="Arial" w:eastAsia="Arial" w:hAnsi="Arial"/>
                <w:sz w:val="14"/>
                <w:szCs w:val="14"/>
                <w:color w:val="auto"/>
              </w:rPr>
              <w:t>Greece</w:t>
            </w:r>
          </w:p>
        </w:tc>
        <w:tc>
          <w:tcPr>
            <w:tcW w:w="16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Drylog Services Ltd.</w:t>
            </w:r>
          </w:p>
        </w:tc>
        <w:tc>
          <w:tcPr>
            <w:tcW w:w="19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International operator of dry</w:t>
            </w:r>
          </w:p>
        </w:tc>
      </w:tr>
      <w:tr>
        <w:trPr>
          <w:trHeight w:val="153"/>
        </w:trPr>
        <w:tc>
          <w:tcPr>
            <w:tcW w:w="2160" w:type="dxa"/>
            <w:vAlign w:val="bottom"/>
            <w:tcBorders>
              <w:left w:val="single" w:sz="8" w:color="auto"/>
              <w:right w:val="single" w:sz="8" w:color="auto"/>
            </w:tcBorders>
          </w:tcPr>
          <w:p>
            <w:pPr>
              <w:ind w:left="240"/>
              <w:spacing w:after="0" w:line="153" w:lineRule="exact"/>
              <w:rPr>
                <w:sz w:val="20"/>
                <w:szCs w:val="20"/>
                <w:color w:val="auto"/>
              </w:rPr>
            </w:pPr>
            <w:r>
              <w:rPr>
                <w:rFonts w:ascii="Arial" w:cs="Arial" w:eastAsia="Arial" w:hAnsi="Arial"/>
                <w:sz w:val="14"/>
                <w:szCs w:val="14"/>
                <w:b w:val="1"/>
                <w:bCs w:val="1"/>
                <w:color w:val="auto"/>
              </w:rPr>
              <w:t>Assistant Secretary</w:t>
            </w:r>
          </w:p>
        </w:tc>
        <w:tc>
          <w:tcPr>
            <w:tcW w:w="2140" w:type="dxa"/>
            <w:vAlign w:val="bottom"/>
            <w:tcBorders>
              <w:right w:val="single" w:sz="8" w:color="auto"/>
            </w:tcBorders>
          </w:tcPr>
          <w:p>
            <w:pPr>
              <w:ind w:left="40"/>
              <w:spacing w:after="0" w:line="153" w:lineRule="exact"/>
              <w:rPr>
                <w:sz w:val="20"/>
                <w:szCs w:val="20"/>
                <w:color w:val="auto"/>
              </w:rPr>
            </w:pPr>
            <w:r>
              <w:rPr>
                <w:rFonts w:ascii="Arial" w:cs="Arial" w:eastAsia="Arial" w:hAnsi="Arial"/>
                <w:sz w:val="14"/>
                <w:szCs w:val="14"/>
                <w:color w:val="auto"/>
              </w:rPr>
              <w:t>Andreou</w:t>
            </w:r>
          </w:p>
        </w:tc>
        <w:tc>
          <w:tcPr>
            <w:tcW w:w="16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Paleo Faliro</w:t>
            </w:r>
          </w:p>
        </w:tc>
        <w:tc>
          <w:tcPr>
            <w:tcW w:w="16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69, Akti Miaouli Street</w:t>
            </w:r>
          </w:p>
        </w:tc>
        <w:tc>
          <w:tcPr>
            <w:tcW w:w="19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bulk vessels</w:t>
            </w:r>
          </w:p>
        </w:tc>
      </w:tr>
      <w:tr>
        <w:trPr>
          <w:trHeight w:val="182"/>
        </w:trPr>
        <w:tc>
          <w:tcPr>
            <w:tcW w:w="2160" w:type="dxa"/>
            <w:vAlign w:val="bottom"/>
            <w:tcBorders>
              <w:left w:val="single" w:sz="8" w:color="auto"/>
              <w:righ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Athens 17562, Greece</w:t>
            </w:r>
          </w:p>
        </w:tc>
        <w:tc>
          <w:tcPr>
            <w:tcW w:w="16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18537 Piraeus, Greece</w:t>
            </w:r>
          </w:p>
        </w:tc>
        <w:tc>
          <w:tcPr>
            <w:tcW w:w="1900" w:type="dxa"/>
            <w:vAlign w:val="bottom"/>
            <w:tcBorders>
              <w:right w:val="single" w:sz="8" w:color="auto"/>
            </w:tcBorders>
          </w:tcPr>
          <w:p>
            <w:pPr>
              <w:spacing w:after="0"/>
              <w:rPr>
                <w:sz w:val="15"/>
                <w:szCs w:val="15"/>
                <w:color w:val="auto"/>
              </w:rPr>
            </w:pPr>
          </w:p>
        </w:tc>
      </w:tr>
      <w:tr>
        <w:trPr>
          <w:trHeight w:val="316"/>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Legal Counsel</w:t>
            </w:r>
          </w:p>
        </w:tc>
        <w:tc>
          <w:tcPr>
            <w:tcW w:w="1900" w:type="dxa"/>
            <w:vAlign w:val="bottom"/>
            <w:tcBorders>
              <w:bottom w:val="single" w:sz="8" w:color="auto"/>
              <w:right w:val="single" w:sz="8" w:color="auto"/>
            </w:tcBorders>
          </w:tcPr>
          <w:p>
            <w:pPr>
              <w:spacing w:after="0"/>
              <w:rPr>
                <w:sz w:val="24"/>
                <w:szCs w:val="24"/>
                <w:color w:val="auto"/>
              </w:rPr>
            </w:pPr>
          </w:p>
        </w:tc>
      </w:tr>
      <w:tr>
        <w:trPr>
          <w:trHeight w:val="157"/>
        </w:trPr>
        <w:tc>
          <w:tcPr>
            <w:tcW w:w="2160" w:type="dxa"/>
            <w:vAlign w:val="bottom"/>
            <w:tcBorders>
              <w:left w:val="single" w:sz="8" w:color="auto"/>
              <w:right w:val="single" w:sz="8" w:color="auto"/>
            </w:tcBorders>
          </w:tcPr>
          <w:p>
            <w:pPr>
              <w:ind w:left="240"/>
              <w:spacing w:after="0" w:line="157" w:lineRule="exact"/>
              <w:rPr>
                <w:sz w:val="20"/>
                <w:szCs w:val="20"/>
                <w:color w:val="auto"/>
              </w:rPr>
            </w:pPr>
            <w:r>
              <w:rPr>
                <w:rFonts w:ascii="Arial" w:cs="Arial" w:eastAsia="Arial" w:hAnsi="Arial"/>
                <w:sz w:val="14"/>
                <w:szCs w:val="14"/>
                <w:b w:val="1"/>
                <w:bCs w:val="1"/>
                <w:color w:val="auto"/>
              </w:rPr>
              <w:t>Secretary</w:t>
            </w:r>
          </w:p>
        </w:tc>
        <w:tc>
          <w:tcPr>
            <w:tcW w:w="214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Conyers Corporate</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Clarendon House</w:t>
            </w:r>
          </w:p>
        </w:tc>
        <w:tc>
          <w:tcPr>
            <w:tcW w:w="168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Bermuda</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N/A</w:t>
            </w:r>
          </w:p>
        </w:tc>
        <w:tc>
          <w:tcPr>
            <w:tcW w:w="19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Resident representatives</w:t>
            </w:r>
          </w:p>
        </w:tc>
      </w:tr>
      <w:tr>
        <w:trPr>
          <w:trHeight w:val="149"/>
        </w:trPr>
        <w:tc>
          <w:tcPr>
            <w:tcW w:w="2160" w:type="dxa"/>
            <w:vAlign w:val="bottom"/>
            <w:tcBorders>
              <w:left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Services (Bermuda)</w:t>
            </w: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2 Church Street</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r>
      <w:tr>
        <w:trPr>
          <w:trHeight w:val="201"/>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Limited</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Hamilton, HM 11 Bermuda</w:t>
            </w: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r>
      <w:tr>
        <w:trPr>
          <w:trHeight w:val="668"/>
        </w:trPr>
        <w:tc>
          <w:tcPr>
            <w:tcW w:w="2160" w:type="dxa"/>
            <w:vAlign w:val="bottom"/>
            <w:tcBorders>
              <w:bottom w:val="single" w:sz="8" w:color="BFBFBF"/>
            </w:tcBorders>
          </w:tcPr>
          <w:p>
            <w:pPr>
              <w:spacing w:after="0"/>
              <w:rPr>
                <w:sz w:val="24"/>
                <w:szCs w:val="24"/>
                <w:color w:val="auto"/>
              </w:rPr>
            </w:pPr>
          </w:p>
        </w:tc>
        <w:tc>
          <w:tcPr>
            <w:tcW w:w="2140" w:type="dxa"/>
            <w:vAlign w:val="bottom"/>
            <w:tcBorders>
              <w:bottom w:val="single" w:sz="8" w:color="BFBFBF"/>
            </w:tcBorders>
          </w:tcPr>
          <w:p>
            <w:pPr>
              <w:spacing w:after="0"/>
              <w:rPr>
                <w:sz w:val="24"/>
                <w:szCs w:val="24"/>
                <w:color w:val="auto"/>
              </w:rPr>
            </w:pPr>
          </w:p>
        </w:tc>
        <w:tc>
          <w:tcPr>
            <w:tcW w:w="1680" w:type="dxa"/>
            <w:vAlign w:val="bottom"/>
            <w:tcBorders>
              <w:bottom w:val="single" w:sz="8" w:color="BFBFBF"/>
            </w:tcBorders>
          </w:tcPr>
          <w:p>
            <w:pPr>
              <w:spacing w:after="0"/>
              <w:rPr>
                <w:sz w:val="24"/>
                <w:szCs w:val="24"/>
                <w:color w:val="auto"/>
              </w:rPr>
            </w:pPr>
          </w:p>
        </w:tc>
        <w:tc>
          <w:tcPr>
            <w:tcW w:w="1680" w:type="dxa"/>
            <w:vAlign w:val="bottom"/>
            <w:tcBorders>
              <w:bottom w:val="single" w:sz="8" w:color="BFBFBF"/>
            </w:tcBorders>
          </w:tcPr>
          <w:p>
            <w:pPr>
              <w:spacing w:after="0"/>
              <w:rPr>
                <w:sz w:val="24"/>
                <w:szCs w:val="24"/>
                <w:color w:val="auto"/>
              </w:rPr>
            </w:pPr>
          </w:p>
        </w:tc>
        <w:tc>
          <w:tcPr>
            <w:tcW w:w="1680" w:type="dxa"/>
            <w:vAlign w:val="bottom"/>
            <w:tcBorders>
              <w:bottom w:val="single" w:sz="8" w:color="BFBFBF"/>
            </w:tcBorders>
          </w:tcPr>
          <w:p>
            <w:pPr>
              <w:spacing w:after="0"/>
              <w:rPr>
                <w:sz w:val="24"/>
                <w:szCs w:val="24"/>
                <w:color w:val="auto"/>
              </w:rPr>
            </w:pPr>
          </w:p>
        </w:tc>
        <w:tc>
          <w:tcPr>
            <w:tcW w:w="19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63"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160" w:type="dxa"/>
            <w:vAlign w:val="bottom"/>
            <w:tcBorders>
              <w:top w:val="single" w:sz="8" w:color="auto"/>
              <w:left w:val="single" w:sz="8" w:color="auto"/>
              <w:right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Blenheim Holdings Ltd.</w:t>
            </w:r>
          </w:p>
        </w:tc>
        <w:tc>
          <w:tcPr>
            <w:tcW w:w="2140" w:type="dxa"/>
            <w:vAlign w:val="bottom"/>
            <w:tcBorders>
              <w:top w:val="single" w:sz="8" w:color="auto"/>
              <w:right w:val="single" w:sz="8" w:color="auto"/>
            </w:tcBorders>
            <w:shd w:val="clear" w:color="auto" w:fill="CCEEFF"/>
          </w:tcPr>
          <w:p>
            <w:pPr>
              <w:spacing w:after="0"/>
              <w:rPr>
                <w:sz w:val="15"/>
                <w:szCs w:val="15"/>
                <w:color w:val="auto"/>
              </w:rPr>
            </w:pPr>
          </w:p>
        </w:tc>
        <w:tc>
          <w:tcPr>
            <w:tcW w:w="16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 Ceres Monaco S.A.M.</w:t>
            </w:r>
          </w:p>
        </w:tc>
        <w:tc>
          <w:tcPr>
            <w:tcW w:w="1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Bermuda</w:t>
            </w:r>
          </w:p>
        </w:tc>
        <w:tc>
          <w:tcPr>
            <w:tcW w:w="16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9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Holding company</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CCEEFF"/>
            </w:tcBorders>
            <w:shd w:val="clear" w:color="auto" w:fill="CCEEFF"/>
          </w:tcPr>
          <w:p>
            <w:pPr>
              <w:spacing w:after="0"/>
              <w:rPr>
                <w:sz w:val="12"/>
                <w:szCs w:val="12"/>
                <w:color w:val="auto"/>
              </w:rPr>
            </w:pPr>
          </w:p>
        </w:tc>
        <w:tc>
          <w:tcPr>
            <w:tcW w:w="2140" w:type="dxa"/>
            <w:vAlign w:val="bottom"/>
            <w:tcBorders>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Gildo Pastor Center</w:t>
            </w:r>
          </w:p>
        </w:tc>
        <w:tc>
          <w:tcPr>
            <w:tcW w:w="1680" w:type="dxa"/>
            <w:vAlign w:val="bottom"/>
            <w:tcBorders>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spacing w:after="0"/>
              <w:rPr>
                <w:sz w:val="12"/>
                <w:szCs w:val="12"/>
                <w:color w:val="auto"/>
              </w:rPr>
            </w:pPr>
          </w:p>
        </w:tc>
        <w:tc>
          <w:tcPr>
            <w:tcW w:w="19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CCEEFF"/>
            </w:tcBorders>
            <w:shd w:val="clear" w:color="auto" w:fill="CCEEFF"/>
          </w:tcPr>
          <w:p>
            <w:pPr>
              <w:spacing w:after="0"/>
              <w:rPr>
                <w:sz w:val="12"/>
                <w:szCs w:val="12"/>
                <w:color w:val="auto"/>
              </w:rPr>
            </w:pPr>
          </w:p>
        </w:tc>
        <w:tc>
          <w:tcPr>
            <w:tcW w:w="2140" w:type="dxa"/>
            <w:vAlign w:val="bottom"/>
            <w:tcBorders>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7 rue du Gabian</w:t>
            </w:r>
          </w:p>
        </w:tc>
        <w:tc>
          <w:tcPr>
            <w:tcW w:w="1680" w:type="dxa"/>
            <w:vAlign w:val="bottom"/>
            <w:tcBorders>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spacing w:after="0"/>
              <w:rPr>
                <w:sz w:val="12"/>
                <w:szCs w:val="12"/>
                <w:color w:val="auto"/>
              </w:rPr>
            </w:pPr>
          </w:p>
        </w:tc>
        <w:tc>
          <w:tcPr>
            <w:tcW w:w="19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CCEEFF"/>
            </w:tcBorders>
            <w:shd w:val="clear" w:color="auto" w:fill="CCEEFF"/>
          </w:tcPr>
          <w:p>
            <w:pPr>
              <w:spacing w:after="0"/>
              <w:rPr>
                <w:sz w:val="12"/>
                <w:szCs w:val="12"/>
                <w:color w:val="auto"/>
              </w:rPr>
            </w:pPr>
          </w:p>
        </w:tc>
        <w:tc>
          <w:tcPr>
            <w:tcW w:w="2140" w:type="dxa"/>
            <w:vAlign w:val="bottom"/>
            <w:tcBorders>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Monte Carlo</w:t>
            </w:r>
          </w:p>
        </w:tc>
        <w:tc>
          <w:tcPr>
            <w:tcW w:w="1680" w:type="dxa"/>
            <w:vAlign w:val="bottom"/>
            <w:tcBorders>
              <w:right w:val="single" w:sz="8" w:color="auto"/>
            </w:tcBorders>
            <w:shd w:val="clear" w:color="auto" w:fill="CCEEFF"/>
          </w:tcPr>
          <w:p>
            <w:pPr>
              <w:spacing w:after="0"/>
              <w:rPr>
                <w:sz w:val="12"/>
                <w:szCs w:val="12"/>
                <w:color w:val="auto"/>
              </w:rPr>
            </w:pPr>
          </w:p>
        </w:tc>
        <w:tc>
          <w:tcPr>
            <w:tcW w:w="1680" w:type="dxa"/>
            <w:vAlign w:val="bottom"/>
            <w:tcBorders>
              <w:right w:val="single" w:sz="8" w:color="auto"/>
            </w:tcBorders>
            <w:shd w:val="clear" w:color="auto" w:fill="CCEEFF"/>
          </w:tcPr>
          <w:p>
            <w:pPr>
              <w:spacing w:after="0"/>
              <w:rPr>
                <w:sz w:val="12"/>
                <w:szCs w:val="12"/>
                <w:color w:val="auto"/>
              </w:rPr>
            </w:pPr>
          </w:p>
        </w:tc>
        <w:tc>
          <w:tcPr>
            <w:tcW w:w="19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160" w:type="dxa"/>
            <w:vAlign w:val="bottom"/>
            <w:tcBorders>
              <w:left w:val="single" w:sz="8" w:color="auto"/>
              <w:bottom w:val="single" w:sz="8" w:color="auto"/>
              <w:right w:val="single" w:sz="8" w:color="CCEEFF"/>
            </w:tcBorders>
            <w:shd w:val="clear" w:color="auto" w:fill="CCEEFF"/>
          </w:tcPr>
          <w:p>
            <w:pPr>
              <w:spacing w:after="0"/>
              <w:rPr>
                <w:sz w:val="17"/>
                <w:szCs w:val="17"/>
                <w:color w:val="auto"/>
              </w:rPr>
            </w:pPr>
          </w:p>
        </w:tc>
        <w:tc>
          <w:tcPr>
            <w:tcW w:w="2140" w:type="dxa"/>
            <w:vAlign w:val="bottom"/>
            <w:tcBorders>
              <w:bottom w:val="single" w:sz="8" w:color="auto"/>
              <w:right w:val="single" w:sz="8" w:color="auto"/>
            </w:tcBorders>
            <w:shd w:val="clear" w:color="auto" w:fill="CCEEFF"/>
          </w:tcPr>
          <w:p>
            <w:pPr>
              <w:spacing w:after="0"/>
              <w:rPr>
                <w:sz w:val="17"/>
                <w:szCs w:val="17"/>
                <w:color w:val="auto"/>
              </w:rPr>
            </w:pPr>
          </w:p>
        </w:tc>
        <w:tc>
          <w:tcPr>
            <w:tcW w:w="16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98000, Monaco</w:t>
            </w:r>
          </w:p>
        </w:tc>
        <w:tc>
          <w:tcPr>
            <w:tcW w:w="1680" w:type="dxa"/>
            <w:vAlign w:val="bottom"/>
            <w:tcBorders>
              <w:bottom w:val="single" w:sz="8" w:color="auto"/>
              <w:right w:val="single" w:sz="8" w:color="auto"/>
            </w:tcBorders>
            <w:shd w:val="clear" w:color="auto" w:fill="CCEEFF"/>
          </w:tcPr>
          <w:p>
            <w:pPr>
              <w:spacing w:after="0"/>
              <w:rPr>
                <w:sz w:val="17"/>
                <w:szCs w:val="17"/>
                <w:color w:val="auto"/>
              </w:rPr>
            </w:pPr>
          </w:p>
        </w:tc>
        <w:tc>
          <w:tcPr>
            <w:tcW w:w="1680" w:type="dxa"/>
            <w:vAlign w:val="bottom"/>
            <w:tcBorders>
              <w:bottom w:val="single" w:sz="8" w:color="auto"/>
              <w:right w:val="single" w:sz="8" w:color="auto"/>
            </w:tcBorders>
            <w:shd w:val="clear" w:color="auto" w:fill="CCEEFF"/>
          </w:tcPr>
          <w:p>
            <w:pPr>
              <w:spacing w:after="0"/>
              <w:rPr>
                <w:sz w:val="17"/>
                <w:szCs w:val="17"/>
                <w:color w:val="auto"/>
              </w:rPr>
            </w:pPr>
          </w:p>
        </w:tc>
        <w:tc>
          <w:tcPr>
            <w:tcW w:w="19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tcBorders>
          </w:tcPr>
          <w:p>
            <w:pPr>
              <w:ind w:left="240"/>
              <w:spacing w:after="0"/>
              <w:rPr>
                <w:sz w:val="20"/>
                <w:szCs w:val="20"/>
                <w:color w:val="auto"/>
              </w:rPr>
            </w:pPr>
            <w:r>
              <w:rPr>
                <w:rFonts w:ascii="Arial" w:cs="Arial" w:eastAsia="Arial" w:hAnsi="Arial"/>
                <w:sz w:val="14"/>
                <w:szCs w:val="14"/>
                <w:b w:val="1"/>
                <w:bCs w:val="1"/>
                <w:i w:val="1"/>
                <w:iCs w:val="1"/>
                <w:color w:val="auto"/>
              </w:rPr>
              <w:t>Directors</w:t>
            </w:r>
          </w:p>
        </w:tc>
        <w:tc>
          <w:tcPr>
            <w:tcW w:w="21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160" w:type="dxa"/>
            <w:vAlign w:val="bottom"/>
            <w:tcBorders>
              <w:left w:val="single" w:sz="8" w:color="auto"/>
              <w:bottom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160" w:type="dxa"/>
            <w:vAlign w:val="bottom"/>
            <w:tcBorders>
              <w:left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Peter G. Livanos</w:t>
            </w:r>
          </w:p>
        </w:tc>
        <w:tc>
          <w:tcPr>
            <w:tcW w:w="2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1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See above</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0" w:type="dxa"/>
            <w:vAlign w:val="bottom"/>
          </w:tcPr>
          <w:p>
            <w:pPr>
              <w:spacing w:after="0"/>
              <w:rPr>
                <w:sz w:val="1"/>
                <w:szCs w:val="1"/>
                <w:color w:val="auto"/>
              </w:rPr>
            </w:pPr>
          </w:p>
        </w:tc>
      </w:tr>
      <w:tr>
        <w:trPr>
          <w:trHeight w:val="210"/>
        </w:trPr>
        <w:tc>
          <w:tcPr>
            <w:tcW w:w="2160" w:type="dxa"/>
            <w:vAlign w:val="bottom"/>
            <w:tcBorders>
              <w:left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Ilias A. Iliopoulos</w:t>
            </w:r>
          </w:p>
        </w:tc>
        <w:tc>
          <w:tcPr>
            <w:tcW w:w="21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1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See above</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0" w:type="dxa"/>
            <w:vAlign w:val="bottom"/>
          </w:tcPr>
          <w:p>
            <w:pPr>
              <w:spacing w:after="0"/>
              <w:rPr>
                <w:sz w:val="1"/>
                <w:szCs w:val="1"/>
                <w:color w:val="auto"/>
              </w:rPr>
            </w:pPr>
          </w:p>
        </w:tc>
      </w:tr>
      <w:tr>
        <w:trPr>
          <w:trHeight w:val="157"/>
        </w:trPr>
        <w:tc>
          <w:tcPr>
            <w:tcW w:w="2160" w:type="dxa"/>
            <w:vAlign w:val="bottom"/>
            <w:tcBorders>
              <w:left w:val="single" w:sz="8" w:color="auto"/>
            </w:tcBorders>
          </w:tcPr>
          <w:p>
            <w:pPr>
              <w:ind w:left="240"/>
              <w:spacing w:after="0" w:line="157" w:lineRule="exact"/>
              <w:rPr>
                <w:sz w:val="20"/>
                <w:szCs w:val="20"/>
                <w:color w:val="auto"/>
              </w:rPr>
            </w:pPr>
            <w:r>
              <w:rPr>
                <w:rFonts w:ascii="Arial" w:cs="Arial" w:eastAsia="Arial" w:hAnsi="Arial"/>
                <w:sz w:val="14"/>
                <w:szCs w:val="14"/>
                <w:b w:val="1"/>
                <w:bCs w:val="1"/>
                <w:color w:val="auto"/>
              </w:rPr>
              <w:t>Stanislao Faina</w:t>
            </w:r>
          </w:p>
        </w:tc>
        <w:tc>
          <w:tcPr>
            <w:tcW w:w="214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c/o C Transport</w:t>
            </w:r>
          </w:p>
        </w:tc>
        <w:tc>
          <w:tcPr>
            <w:tcW w:w="168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Italy</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 Transport Maritime</w:t>
            </w:r>
          </w:p>
        </w:tc>
        <w:tc>
          <w:tcPr>
            <w:tcW w:w="19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International operator and</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Maritime S.A.M.</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S.A.M.</w:t>
            </w:r>
          </w:p>
        </w:tc>
        <w:tc>
          <w:tcPr>
            <w:tcW w:w="1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manager of dry bulk carriers</w:t>
            </w:r>
          </w:p>
        </w:tc>
        <w:tc>
          <w:tcPr>
            <w:tcW w:w="0" w:type="dxa"/>
            <w:vAlign w:val="bottom"/>
          </w:tcPr>
          <w:p>
            <w:pPr>
              <w:spacing w:after="0"/>
              <w:rPr>
                <w:sz w:val="1"/>
                <w:szCs w:val="1"/>
                <w:color w:val="auto"/>
              </w:rPr>
            </w:pPr>
          </w:p>
        </w:tc>
      </w:tr>
      <w:tr>
        <w:trPr>
          <w:trHeight w:val="149"/>
        </w:trPr>
        <w:tc>
          <w:tcPr>
            <w:tcW w:w="2160" w:type="dxa"/>
            <w:vAlign w:val="bottom"/>
            <w:tcBorders>
              <w:lef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Gildo Pastor Center</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Gildo Pastor Center</w:t>
            </w:r>
          </w:p>
        </w:tc>
        <w:tc>
          <w:tcPr>
            <w:tcW w:w="1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7 Rue du Gabian</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7 rue du Gabian</w:t>
            </w:r>
          </w:p>
        </w:tc>
        <w:tc>
          <w:tcPr>
            <w:tcW w:w="1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tcBorders>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Monte Carlo</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98000, Monaco</w:t>
            </w:r>
          </w:p>
        </w:tc>
        <w:tc>
          <w:tcPr>
            <w:tcW w:w="1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MC 98000, Monaco</w:t>
            </w:r>
          </w:p>
        </w:tc>
        <w:tc>
          <w:tcPr>
            <w:tcW w:w="16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Legal and Corporate</w:t>
            </w:r>
          </w:p>
        </w:tc>
        <w:tc>
          <w:tcPr>
            <w:tcW w:w="1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60" w:type="dxa"/>
            <w:vAlign w:val="bottom"/>
            <w:tcBorders>
              <w:left w:val="single" w:sz="8" w:color="auto"/>
              <w:bottom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vMerge w:val="continue"/>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60" w:type="dxa"/>
            <w:vAlign w:val="bottom"/>
            <w:tcBorders>
              <w:left w:val="single" w:sz="8" w:color="auto"/>
            </w:tcBorders>
          </w:tcPr>
          <w:p>
            <w:pPr>
              <w:ind w:left="240"/>
              <w:spacing w:after="0"/>
              <w:rPr>
                <w:sz w:val="20"/>
                <w:szCs w:val="20"/>
                <w:color w:val="auto"/>
              </w:rPr>
            </w:pPr>
            <w:r>
              <w:rPr>
                <w:rFonts w:ascii="Arial" w:cs="Arial" w:eastAsia="Arial" w:hAnsi="Arial"/>
                <w:sz w:val="14"/>
                <w:szCs w:val="14"/>
                <w:b w:val="1"/>
                <w:bCs w:val="1"/>
                <w:i w:val="1"/>
                <w:iCs w:val="1"/>
                <w:color w:val="auto"/>
              </w:rPr>
              <w:t>Officers</w:t>
            </w:r>
          </w:p>
        </w:tc>
        <w:tc>
          <w:tcPr>
            <w:tcW w:w="21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160" w:type="dxa"/>
            <w:vAlign w:val="bottom"/>
            <w:tcBorders>
              <w:left w:val="single" w:sz="8" w:color="auto"/>
              <w:bottom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16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Chief Executive Officer</w:t>
            </w:r>
          </w:p>
        </w:tc>
        <w:tc>
          <w:tcPr>
            <w:tcW w:w="2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Peter G. Livanos</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1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See above</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See above</w:t>
            </w:r>
          </w:p>
        </w:tc>
        <w:tc>
          <w:tcPr>
            <w:tcW w:w="0" w:type="dxa"/>
            <w:vAlign w:val="bottom"/>
          </w:tcPr>
          <w:p>
            <w:pPr>
              <w:spacing w:after="0"/>
              <w:rPr>
                <w:sz w:val="1"/>
                <w:szCs w:val="1"/>
                <w:color w:val="auto"/>
              </w:rPr>
            </w:pPr>
          </w:p>
        </w:tc>
      </w:tr>
      <w:tr>
        <w:trPr>
          <w:trHeight w:val="157"/>
        </w:trPr>
        <w:tc>
          <w:tcPr>
            <w:tcW w:w="2160" w:type="dxa"/>
            <w:vAlign w:val="bottom"/>
            <w:tcBorders>
              <w:left w:val="single" w:sz="8" w:color="auto"/>
              <w:right w:val="single" w:sz="8" w:color="auto"/>
            </w:tcBorders>
          </w:tcPr>
          <w:p>
            <w:pPr>
              <w:ind w:left="240"/>
              <w:spacing w:after="0" w:line="157" w:lineRule="exact"/>
              <w:rPr>
                <w:sz w:val="20"/>
                <w:szCs w:val="20"/>
                <w:color w:val="auto"/>
              </w:rPr>
            </w:pPr>
            <w:r>
              <w:rPr>
                <w:rFonts w:ascii="Arial" w:cs="Arial" w:eastAsia="Arial" w:hAnsi="Arial"/>
                <w:sz w:val="14"/>
                <w:szCs w:val="14"/>
                <w:b w:val="1"/>
                <w:bCs w:val="1"/>
                <w:color w:val="auto"/>
              </w:rPr>
              <w:t>Chief Financial Officer</w:t>
            </w:r>
          </w:p>
        </w:tc>
        <w:tc>
          <w:tcPr>
            <w:tcW w:w="214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Athanasios</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See above</w:t>
            </w:r>
          </w:p>
        </w:tc>
        <w:tc>
          <w:tcPr>
            <w:tcW w:w="168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See above</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See above</w:t>
            </w:r>
          </w:p>
        </w:tc>
        <w:tc>
          <w:tcPr>
            <w:tcW w:w="19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See above</w:t>
            </w:r>
          </w:p>
        </w:tc>
        <w:tc>
          <w:tcPr>
            <w:tcW w:w="0" w:type="dxa"/>
            <w:vAlign w:val="bottom"/>
          </w:tcPr>
          <w:p>
            <w:pPr>
              <w:spacing w:after="0"/>
              <w:rPr>
                <w:sz w:val="1"/>
                <w:szCs w:val="1"/>
                <w:color w:val="auto"/>
              </w:rPr>
            </w:pPr>
          </w:p>
        </w:tc>
      </w:tr>
      <w:tr>
        <w:trPr>
          <w:trHeight w:val="201"/>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Thanopoulos</w:t>
            </w: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tcPr>
          <w:p>
            <w:pPr>
              <w:ind w:left="240"/>
              <w:spacing w:after="0" w:line="153" w:lineRule="exact"/>
              <w:rPr>
                <w:sz w:val="20"/>
                <w:szCs w:val="20"/>
                <w:color w:val="auto"/>
              </w:rPr>
            </w:pPr>
            <w:r>
              <w:rPr>
                <w:rFonts w:ascii="Arial" w:cs="Arial" w:eastAsia="Arial" w:hAnsi="Arial"/>
                <w:sz w:val="14"/>
                <w:szCs w:val="14"/>
                <w:b w:val="1"/>
                <w:bCs w:val="1"/>
                <w:color w:val="auto"/>
              </w:rPr>
              <w:t>Chief Compliance Officer,</w:t>
            </w:r>
          </w:p>
        </w:tc>
        <w:tc>
          <w:tcPr>
            <w:tcW w:w="2140" w:type="dxa"/>
            <w:vAlign w:val="bottom"/>
            <w:tcBorders>
              <w:right w:val="single" w:sz="8" w:color="auto"/>
            </w:tcBorders>
          </w:tcPr>
          <w:p>
            <w:pPr>
              <w:ind w:left="40"/>
              <w:spacing w:after="0" w:line="153" w:lineRule="exact"/>
              <w:rPr>
                <w:sz w:val="20"/>
                <w:szCs w:val="20"/>
                <w:color w:val="auto"/>
              </w:rPr>
            </w:pPr>
            <w:r>
              <w:rPr>
                <w:rFonts w:ascii="Arial" w:cs="Arial" w:eastAsia="Arial" w:hAnsi="Arial"/>
                <w:sz w:val="14"/>
                <w:szCs w:val="14"/>
                <w:color w:val="auto"/>
              </w:rPr>
              <w:t>Konstantinos</w:t>
            </w:r>
          </w:p>
        </w:tc>
        <w:tc>
          <w:tcPr>
            <w:tcW w:w="16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See above</w:t>
            </w:r>
          </w:p>
        </w:tc>
        <w:tc>
          <w:tcPr>
            <w:tcW w:w="1680" w:type="dxa"/>
            <w:vAlign w:val="bottom"/>
            <w:tcBorders>
              <w:right w:val="single" w:sz="8" w:color="auto"/>
            </w:tcBorders>
          </w:tcPr>
          <w:p>
            <w:pPr>
              <w:ind w:left="40"/>
              <w:spacing w:after="0" w:line="153" w:lineRule="exact"/>
              <w:rPr>
                <w:sz w:val="20"/>
                <w:szCs w:val="20"/>
                <w:color w:val="auto"/>
              </w:rPr>
            </w:pPr>
            <w:r>
              <w:rPr>
                <w:rFonts w:ascii="Arial" w:cs="Arial" w:eastAsia="Arial" w:hAnsi="Arial"/>
                <w:sz w:val="14"/>
                <w:szCs w:val="14"/>
                <w:color w:val="auto"/>
              </w:rPr>
              <w:t>See above</w:t>
            </w:r>
          </w:p>
        </w:tc>
        <w:tc>
          <w:tcPr>
            <w:tcW w:w="16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See above</w:t>
            </w:r>
          </w:p>
        </w:tc>
        <w:tc>
          <w:tcPr>
            <w:tcW w:w="190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See above</w:t>
            </w:r>
          </w:p>
        </w:tc>
        <w:tc>
          <w:tcPr>
            <w:tcW w:w="0" w:type="dxa"/>
            <w:vAlign w:val="bottom"/>
          </w:tcPr>
          <w:p>
            <w:pPr>
              <w:spacing w:after="0"/>
              <w:rPr>
                <w:sz w:val="1"/>
                <w:szCs w:val="1"/>
                <w:color w:val="auto"/>
              </w:rPr>
            </w:pPr>
          </w:p>
        </w:tc>
      </w:tr>
      <w:tr>
        <w:trPr>
          <w:trHeight w:val="205"/>
        </w:trPr>
        <w:tc>
          <w:tcPr>
            <w:tcW w:w="216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Assistant Secretary</w:t>
            </w:r>
          </w:p>
        </w:tc>
        <w:tc>
          <w:tcPr>
            <w:tcW w:w="2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Andreou</w:t>
            </w: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160" w:type="dxa"/>
            <w:vAlign w:val="bottom"/>
            <w:tcBorders>
              <w:left w:val="single" w:sz="8" w:color="auto"/>
              <w:right w:val="single" w:sz="8" w:color="auto"/>
            </w:tcBorders>
          </w:tcPr>
          <w:p>
            <w:pPr>
              <w:ind w:left="240"/>
              <w:spacing w:after="0" w:line="157" w:lineRule="exact"/>
              <w:rPr>
                <w:sz w:val="20"/>
                <w:szCs w:val="20"/>
                <w:color w:val="auto"/>
              </w:rPr>
            </w:pPr>
            <w:r>
              <w:rPr>
                <w:rFonts w:ascii="Arial" w:cs="Arial" w:eastAsia="Arial" w:hAnsi="Arial"/>
                <w:sz w:val="14"/>
                <w:szCs w:val="14"/>
                <w:b w:val="1"/>
                <w:bCs w:val="1"/>
                <w:color w:val="auto"/>
              </w:rPr>
              <w:t>Secretary</w:t>
            </w:r>
          </w:p>
        </w:tc>
        <w:tc>
          <w:tcPr>
            <w:tcW w:w="214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Conyers Corporate</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See above</w:t>
            </w:r>
          </w:p>
        </w:tc>
        <w:tc>
          <w:tcPr>
            <w:tcW w:w="168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See above</w:t>
            </w:r>
          </w:p>
        </w:tc>
        <w:tc>
          <w:tcPr>
            <w:tcW w:w="1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See above</w:t>
            </w:r>
          </w:p>
        </w:tc>
        <w:tc>
          <w:tcPr>
            <w:tcW w:w="19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See above</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21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Services (Bermuda)</w:t>
            </w: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Limited</w:t>
            </w: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Item 4. Interest in Securities of the Issuer</w:t>
      </w:r>
    </w:p>
    <w:p>
      <w:pPr>
        <w:spacing w:after="0" w:line="233"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In consideration of the First Supplemental Agreement amending the Original Facility Agreement (both as described in Item 6 below), Blenheim granted a charge over two (2) safekeeping accounts together containing 30,800,000 Shares to secure its obligations under a facility in an amount of up to $150,000,000.</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Item 5. Interest in Securities of the Issuer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Sections (a), (b) and (c) of Item 5 are amended as follows:</w:t>
      </w:r>
    </w:p>
    <w:p>
      <w:pPr>
        <w:spacing w:after="0" w:line="233" w:lineRule="exact"/>
        <w:rPr>
          <w:sz w:val="20"/>
          <w:szCs w:val="20"/>
          <w:color w:val="auto"/>
        </w:rPr>
      </w:pPr>
    </w:p>
    <w:p>
      <w:pPr>
        <w:ind w:right="60" w:firstLine="710"/>
        <w:spacing w:after="0" w:line="250" w:lineRule="auto"/>
        <w:tabs>
          <w:tab w:leader="none" w:pos="9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See Items 11 and 13 on Cover Pages to this Amendment No. 9. Percentages are based on 95,393,126 Common Shares issued and outstanding as of January 8, 2021.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Peter G. Livanos</w:t>
      </w:r>
      <w:r>
        <w:rPr>
          <w:rFonts w:ascii="Arial" w:cs="Arial" w:eastAsia="Arial" w:hAnsi="Arial"/>
          <w:sz w:val="22"/>
          <w:szCs w:val="22"/>
          <w:color w:val="auto"/>
        </w:rPr>
        <w:t>. Peter G. Livanos does not directly own any Shares.</w:t>
      </w:r>
    </w:p>
    <w:p>
      <w:pPr>
        <w:spacing w:after="0" w:line="227"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u w:val="single" w:color="auto"/>
          <w:color w:val="auto"/>
        </w:rPr>
        <w:t>Ceres Shipping Ltd. (“</w:t>
      </w:r>
      <w:r>
        <w:rPr>
          <w:rFonts w:ascii="Arial" w:cs="Arial" w:eastAsia="Arial" w:hAnsi="Arial"/>
          <w:sz w:val="22"/>
          <w:szCs w:val="22"/>
          <w:b w:val="1"/>
          <w:bCs w:val="1"/>
          <w:u w:val="single" w:color="auto"/>
          <w:color w:val="auto"/>
        </w:rPr>
        <w:t>Ceres</w:t>
      </w:r>
      <w:r>
        <w:rPr>
          <w:rFonts w:ascii="Arial" w:cs="Arial" w:eastAsia="Arial" w:hAnsi="Arial"/>
          <w:sz w:val="22"/>
          <w:szCs w:val="22"/>
          <w:u w:val="single" w:color="auto"/>
          <w:color w:val="auto"/>
        </w:rPr>
        <w:t>”)</w:t>
      </w:r>
      <w:r>
        <w:rPr>
          <w:rFonts w:ascii="Arial" w:cs="Arial" w:eastAsia="Arial" w:hAnsi="Arial"/>
          <w:sz w:val="22"/>
          <w:szCs w:val="22"/>
          <w:color w:val="auto"/>
        </w:rPr>
        <w:t>. Mr. Livanos beneficially owns 100% of the share capital of Ceres. Ceres does not directly own any Shares.</w:t>
      </w:r>
    </w:p>
    <w:p>
      <w:pPr>
        <w:spacing w:after="0" w:line="189" w:lineRule="exact"/>
        <w:rPr>
          <w:sz w:val="20"/>
          <w:szCs w:val="20"/>
          <w:color w:val="auto"/>
        </w:rPr>
      </w:pPr>
    </w:p>
    <w:p>
      <w:pPr>
        <w:ind w:right="400" w:firstLine="648"/>
        <w:spacing w:after="0" w:line="256" w:lineRule="auto"/>
        <w:rPr>
          <w:sz w:val="20"/>
          <w:szCs w:val="20"/>
          <w:color w:val="auto"/>
        </w:rPr>
      </w:pPr>
      <w:r>
        <w:rPr>
          <w:rFonts w:ascii="Arial" w:cs="Arial" w:eastAsia="Arial" w:hAnsi="Arial"/>
          <w:sz w:val="22"/>
          <w:szCs w:val="22"/>
          <w:u w:val="single" w:color="auto"/>
          <w:color w:val="auto"/>
        </w:rPr>
        <w:t>Blenheim Holdings Ltd. (“</w:t>
      </w:r>
      <w:r>
        <w:rPr>
          <w:rFonts w:ascii="Arial" w:cs="Arial" w:eastAsia="Arial" w:hAnsi="Arial"/>
          <w:sz w:val="22"/>
          <w:szCs w:val="22"/>
          <w:b w:val="1"/>
          <w:bCs w:val="1"/>
          <w:u w:val="single" w:color="auto"/>
          <w:color w:val="auto"/>
        </w:rPr>
        <w:t>Blenheim</w:t>
      </w:r>
      <w:r>
        <w:rPr>
          <w:rFonts w:ascii="Arial" w:cs="Arial" w:eastAsia="Arial" w:hAnsi="Arial"/>
          <w:sz w:val="22"/>
          <w:szCs w:val="22"/>
          <w:u w:val="single" w:color="auto"/>
          <w:color w:val="auto"/>
        </w:rPr>
        <w:t>”)</w:t>
      </w:r>
      <w:r>
        <w:rPr>
          <w:rFonts w:ascii="Arial" w:cs="Arial" w:eastAsia="Arial" w:hAnsi="Arial"/>
          <w:sz w:val="22"/>
          <w:szCs w:val="22"/>
          <w:color w:val="auto"/>
        </w:rPr>
        <w:t>. Blenheim is the direct owner of 37,300,000 Shares. Ceres beneficially owns a majority of the share capital of Blenheim, and, pursuant to the by-laws of Blenheim:</w:t>
      </w:r>
    </w:p>
    <w:p>
      <w:pPr>
        <w:spacing w:after="0" w:line="195" w:lineRule="exact"/>
        <w:rPr>
          <w:sz w:val="20"/>
          <w:szCs w:val="20"/>
          <w:color w:val="auto"/>
        </w:rPr>
      </w:pPr>
    </w:p>
    <w:p>
      <w:pPr>
        <w:ind w:left="660" w:right="220" w:firstLine="54"/>
        <w:spacing w:after="0"/>
        <w:rPr>
          <w:sz w:val="20"/>
          <w:szCs w:val="20"/>
          <w:color w:val="auto"/>
        </w:rPr>
      </w:pPr>
      <w:r>
        <w:rPr>
          <w:rFonts w:ascii="Arial" w:cs="Arial" w:eastAsia="Arial" w:hAnsi="Arial"/>
          <w:sz w:val="22"/>
          <w:szCs w:val="22"/>
          <w:color w:val="auto"/>
        </w:rPr>
        <w:t>“any question relevant to the voting or the sale, transfer or other disposal of any shares of [the Issuer] held from time to time by [Blenheim], and the disposition of any proceeds thereof, . . . shall be decided by a resolution adopted by [the holders] of a majority of the issued and outstanding shares”.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Ceres may be deemed to beneficially own the Shares directly held by Blenheim.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 w:name="page8"/>
    <w:bookmarkEnd w:id="7"/>
    <w:p>
      <w:pPr>
        <w:ind w:right="260"/>
        <w:spacing w:after="0" w:line="256" w:lineRule="auto"/>
        <w:rPr>
          <w:sz w:val="20"/>
          <w:szCs w:val="20"/>
          <w:color w:val="auto"/>
        </w:rPr>
      </w:pPr>
      <w:r>
        <w:rPr>
          <w:rFonts w:ascii="Arial" w:cs="Arial" w:eastAsia="Arial" w:hAnsi="Arial"/>
          <w:sz w:val="22"/>
          <w:szCs w:val="22"/>
          <w:color w:val="auto"/>
        </w:rPr>
        <w:t>Mr. Livanos also beneficially owns 100% of the share capital of the following entities (the “</w:t>
      </w:r>
      <w:r>
        <w:rPr>
          <w:rFonts w:ascii="Arial" w:cs="Arial" w:eastAsia="Arial" w:hAnsi="Arial"/>
          <w:sz w:val="22"/>
          <w:szCs w:val="22"/>
          <w:b w:val="1"/>
          <w:bCs w:val="1"/>
          <w:color w:val="auto"/>
        </w:rPr>
        <w:t>Owned Entities</w:t>
      </w:r>
      <w:r>
        <w:rPr>
          <w:rFonts w:ascii="Arial" w:cs="Arial" w:eastAsia="Arial" w:hAnsi="Arial"/>
          <w:sz w:val="22"/>
          <w:szCs w:val="22"/>
          <w:color w:val="auto"/>
        </w:rPr>
        <w:t>”) which directly own an aggregate 1,243,544 Shares:</w:t>
      </w:r>
    </w:p>
    <w:p>
      <w:pPr>
        <w:spacing w:after="0" w:line="182"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Directly</w:t>
            </w:r>
          </w:p>
        </w:tc>
        <w:tc>
          <w:tcPr>
            <w:tcW w:w="0" w:type="dxa"/>
            <w:vAlign w:val="bottom"/>
          </w:tcPr>
          <w:p>
            <w:pPr>
              <w:spacing w:after="0"/>
              <w:rPr>
                <w:sz w:val="1"/>
                <w:szCs w:val="1"/>
                <w:color w:val="auto"/>
              </w:rPr>
            </w:pPr>
          </w:p>
        </w:tc>
      </w:tr>
      <w:tr>
        <w:trPr>
          <w:trHeight w:val="178"/>
        </w:trPr>
        <w:tc>
          <w:tcPr>
            <w:tcW w:w="4360" w:type="dxa"/>
            <w:vAlign w:val="bottom"/>
            <w:gridSpan w:val="2"/>
            <w:vMerge w:val="continue"/>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6"/>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Ash Tree S.A.</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Maple Tree Holdings Ltd.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539,044</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Acer Tree SA</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color w:val="auto"/>
        </w:rPr>
        <w:t>Mr. Livanos is an officer, member of the board of directors and/or settlor of the following entities (the “</w:t>
      </w:r>
      <w:r>
        <w:rPr>
          <w:rFonts w:ascii="Arial" w:cs="Arial" w:eastAsia="Arial" w:hAnsi="Arial"/>
          <w:sz w:val="22"/>
          <w:szCs w:val="22"/>
          <w:b w:val="1"/>
          <w:bCs w:val="1"/>
          <w:color w:val="auto"/>
        </w:rPr>
        <w:t>Controlled Entities</w:t>
      </w:r>
      <w:r>
        <w:rPr>
          <w:rFonts w:ascii="Arial" w:cs="Arial" w:eastAsia="Arial" w:hAnsi="Arial"/>
          <w:sz w:val="22"/>
          <w:szCs w:val="22"/>
          <w:color w:val="auto"/>
        </w:rPr>
        <w:t>”) which directly own an aggregate 876,000 Shares for the benefit of Mr. Livanos and members of his family, accordingly he may be deemed to have shared voting and/or dispositive power over such Shares:</w:t>
      </w:r>
    </w:p>
    <w:p>
      <w:pPr>
        <w:spacing w:after="0" w:line="196"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Directly</w:t>
            </w:r>
          </w:p>
        </w:tc>
        <w:tc>
          <w:tcPr>
            <w:tcW w:w="0" w:type="dxa"/>
            <w:vAlign w:val="bottom"/>
          </w:tcPr>
          <w:p>
            <w:pPr>
              <w:spacing w:after="0"/>
              <w:rPr>
                <w:sz w:val="1"/>
                <w:szCs w:val="1"/>
                <w:color w:val="auto"/>
              </w:rPr>
            </w:pPr>
          </w:p>
        </w:tc>
      </w:tr>
      <w:tr>
        <w:trPr>
          <w:trHeight w:val="178"/>
        </w:trPr>
        <w:tc>
          <w:tcPr>
            <w:tcW w:w="4360" w:type="dxa"/>
            <w:vAlign w:val="bottom"/>
            <w:gridSpan w:val="2"/>
            <w:vMerge w:val="continue"/>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6"/>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Falconera Navigation Inc.</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Chiara Holdings S. de R.L.</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181,000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Thatcher Investments Limited</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Eleanor Investments Holdings Limited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Nelson Equity Limited</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JP Jones Holdings Limited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Mr. Livanos disclaims beneficial ownership of the Shares owned by the Controlled Entities, and the Controlled Entities disclaim beneficial ownership of the Shares owned by Mr. Livanos and the Owned Entities.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Except as set forth in this Item 5(a), none of the Reporting Persons owns beneficially any Shares.</w:t>
      </w:r>
    </w:p>
    <w:p>
      <w:pPr>
        <w:spacing w:after="0" w:line="233" w:lineRule="exact"/>
        <w:rPr>
          <w:sz w:val="20"/>
          <w:szCs w:val="20"/>
          <w:color w:val="auto"/>
        </w:rPr>
      </w:pPr>
    </w:p>
    <w:p>
      <w:pPr>
        <w:ind w:left="1020" w:hanging="310"/>
        <w:spacing w:after="0"/>
        <w:tabs>
          <w:tab w:leader="none" w:pos="1020" w:val="left"/>
        </w:tabs>
        <w:numPr>
          <w:ilvl w:val="1"/>
          <w:numId w:val="11"/>
        </w:numPr>
        <w:rPr>
          <w:rFonts w:ascii="Arial" w:cs="Arial" w:eastAsia="Arial" w:hAnsi="Arial"/>
          <w:sz w:val="22"/>
          <w:szCs w:val="22"/>
          <w:color w:val="auto"/>
        </w:rPr>
      </w:pPr>
      <w:r>
        <w:rPr>
          <w:rFonts w:ascii="Arial" w:cs="Arial" w:eastAsia="Arial" w:hAnsi="Arial"/>
          <w:sz w:val="22"/>
          <w:szCs w:val="22"/>
          <w:color w:val="auto"/>
        </w:rPr>
        <w:t>Number of Shares as to which each Reporting Person has:</w:t>
      </w:r>
    </w:p>
    <w:p>
      <w:pPr>
        <w:spacing w:after="0" w:line="240" w:lineRule="exact"/>
        <w:rPr>
          <w:rFonts w:ascii="Arial" w:cs="Arial" w:eastAsia="Arial" w:hAnsi="Arial"/>
          <w:sz w:val="22"/>
          <w:szCs w:val="22"/>
          <w:color w:val="auto"/>
        </w:rPr>
      </w:pPr>
    </w:p>
    <w:p>
      <w:pPr>
        <w:ind w:left="1960" w:hanging="656"/>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7 on Cover Pages to this Amendment No. 9.</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8 on Cover Pages to this Amendment No. 9.</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item 9 on Cover Pages to this Amendment No. 9.</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vote: See item 10 on Cover Pages to this Amendment No. 9.</w:t>
      </w:r>
    </w:p>
    <w:p>
      <w:pPr>
        <w:spacing w:after="0" w:line="238" w:lineRule="exact"/>
        <w:rPr>
          <w:rFonts w:ascii="Arial" w:cs="Arial" w:eastAsia="Arial" w:hAnsi="Arial"/>
          <w:sz w:val="18"/>
          <w:szCs w:val="18"/>
          <w:color w:val="auto"/>
        </w:rPr>
      </w:pPr>
    </w:p>
    <w:p>
      <w:pPr>
        <w:ind w:right="60" w:firstLine="656"/>
        <w:spacing w:after="0" w:line="289" w:lineRule="auto"/>
        <w:tabs>
          <w:tab w:leader="none" w:pos="942" w:val="left"/>
        </w:tabs>
        <w:numPr>
          <w:ilvl w:val="0"/>
          <w:numId w:val="12"/>
        </w:numPr>
        <w:rPr>
          <w:rFonts w:ascii="Arial" w:cs="Arial" w:eastAsia="Arial" w:hAnsi="Arial"/>
          <w:sz w:val="19"/>
          <w:szCs w:val="19"/>
          <w:color w:val="auto"/>
        </w:rPr>
      </w:pPr>
      <w:r>
        <w:rPr>
          <w:rFonts w:ascii="Arial" w:cs="Arial" w:eastAsia="Arial" w:hAnsi="Arial"/>
          <w:sz w:val="19"/>
          <w:szCs w:val="19"/>
          <w:color w:val="auto"/>
        </w:rPr>
        <w:t>On September 25, 2020, Maple Tree Holdings Ltd. (“</w:t>
      </w:r>
      <w:r>
        <w:rPr>
          <w:rFonts w:ascii="Arial" w:cs="Arial" w:eastAsia="Arial" w:hAnsi="Arial"/>
          <w:sz w:val="19"/>
          <w:szCs w:val="19"/>
          <w:b w:val="1"/>
          <w:bCs w:val="1"/>
          <w:color w:val="auto"/>
        </w:rPr>
        <w:t>Maple Tree</w:t>
      </w:r>
      <w:r>
        <w:rPr>
          <w:rFonts w:ascii="Arial" w:cs="Arial" w:eastAsia="Arial" w:hAnsi="Arial"/>
          <w:sz w:val="19"/>
          <w:szCs w:val="19"/>
          <w:color w:val="auto"/>
        </w:rPr>
        <w:t>”), an entity in which Peter G. Livanos owns 100% of the share capital, acquired 100,000 shares in the open market at an average price of $2.7424 per Share. On October 9, 2020, Maple Tree transferred 475,409 Shares previously held by Maple Tree to Blenheim. Except as described in this Item 5(c), there have been no transactions in the Shares effected during the past 60 days by any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98" w:right="479" w:bottom="1440" w:gutter="0" w:footer="0" w:header="0"/>
        </w:sectPr>
      </w:pPr>
    </w:p>
    <w:bookmarkStart w:id="8" w:name="page9"/>
    <w:bookmarkEnd w:id="8"/>
    <w:p>
      <w:pPr>
        <w:ind w:left="660"/>
        <w:spacing w:after="0"/>
        <w:rPr>
          <w:sz w:val="20"/>
          <w:szCs w:val="20"/>
          <w:color w:val="auto"/>
        </w:rPr>
      </w:pPr>
      <w:r>
        <w:rPr>
          <w:rFonts w:ascii="Arial" w:cs="Arial" w:eastAsia="Arial" w:hAnsi="Arial"/>
          <w:sz w:val="19"/>
          <w:szCs w:val="19"/>
          <w:b w:val="1"/>
          <w:bCs w:val="1"/>
          <w:i w:val="1"/>
          <w:iCs w:val="1"/>
          <w:color w:val="auto"/>
        </w:rPr>
        <w:t>Item 6. Contracts, Arrangements, Understandings or Relationships with Respect to Securities of the Issuer</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6 of the Schedule 13D/A is hereby amended by adding the following:</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December 31, 2020, Blenheim Holdings Ltd., as borrower entered into the First Supplemental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December 31, 2020 (the “</w:t>
      </w:r>
      <w:r>
        <w:rPr>
          <w:rFonts w:ascii="Arial" w:cs="Arial" w:eastAsia="Arial" w:hAnsi="Arial"/>
          <w:sz w:val="19"/>
          <w:szCs w:val="19"/>
          <w:b w:val="1"/>
          <w:bCs w:val="1"/>
          <w:color w:val="auto"/>
        </w:rPr>
        <w:t>First Supplemental Agreement</w:t>
      </w:r>
      <w:r>
        <w:rPr>
          <w:rFonts w:ascii="Arial" w:cs="Arial" w:eastAsia="Arial" w:hAnsi="Arial"/>
          <w:sz w:val="19"/>
          <w:szCs w:val="19"/>
          <w:color w:val="auto"/>
        </w:rPr>
        <w:t>”), with Citibank N.A., London Branch, as lender (the “</w:t>
      </w:r>
      <w:r>
        <w:rPr>
          <w:rFonts w:ascii="Arial" w:cs="Arial" w:eastAsia="Arial" w:hAnsi="Arial"/>
          <w:sz w:val="19"/>
          <w:szCs w:val="19"/>
          <w:b w:val="1"/>
          <w:bCs w:val="1"/>
          <w:color w:val="auto"/>
        </w:rPr>
        <w:t>Lender</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amending and restating the secured facility agreement dated October 31, 2017 between Blenheim, as borrower, and Lender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Facility Agreement</w:t>
      </w:r>
      <w:r>
        <w:rPr>
          <w:rFonts w:ascii="Arial" w:cs="Arial" w:eastAsia="Arial" w:hAnsi="Arial"/>
          <w:sz w:val="19"/>
          <w:szCs w:val="19"/>
          <w:color w:val="auto"/>
        </w:rPr>
        <w:t>”, as amended by the First Supplemental Agreement, the “</w:t>
      </w:r>
      <w:r>
        <w:rPr>
          <w:rFonts w:ascii="Arial" w:cs="Arial" w:eastAsia="Arial" w:hAnsi="Arial"/>
          <w:sz w:val="19"/>
          <w:szCs w:val="19"/>
          <w:b w:val="1"/>
          <w:bCs w:val="1"/>
          <w:color w:val="auto"/>
        </w:rPr>
        <w:t>Facility Agreement</w:t>
      </w:r>
      <w:r>
        <w:rPr>
          <w:rFonts w:ascii="Arial" w:cs="Arial" w:eastAsia="Arial" w:hAnsi="Arial"/>
          <w:sz w:val="19"/>
          <w:szCs w:val="19"/>
          <w:color w:val="auto"/>
        </w:rPr>
        <w:t>”). In consideration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of the First Supplemental Agreement, Blenheim granted a charge over two (2) safekeeping accounts together containing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30,800,000 Shares (the “</w:t>
      </w:r>
      <w:r>
        <w:rPr>
          <w:rFonts w:ascii="Arial" w:cs="Arial" w:eastAsia="Arial" w:hAnsi="Arial"/>
          <w:sz w:val="19"/>
          <w:szCs w:val="19"/>
          <w:b w:val="1"/>
          <w:bCs w:val="1"/>
          <w:color w:val="auto"/>
        </w:rPr>
        <w:t>Pledged Accounts</w:t>
      </w:r>
      <w:r>
        <w:rPr>
          <w:rFonts w:ascii="Arial" w:cs="Arial" w:eastAsia="Arial" w:hAnsi="Arial"/>
          <w:sz w:val="19"/>
          <w:szCs w:val="19"/>
          <w:color w:val="auto"/>
        </w:rPr>
        <w:t>”) to secure the obligations of Blenheim under the Facility Agreement. All amounts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outstanding under the Facility Agreement over the term of the loan(s) are, and will be, secured, among other things, by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Pledged Accounts pursuant to (i) a security agreement (the “</w:t>
      </w:r>
      <w:r>
        <w:rPr>
          <w:rFonts w:ascii="Arial" w:cs="Arial" w:eastAsia="Arial" w:hAnsi="Arial"/>
          <w:sz w:val="19"/>
          <w:szCs w:val="19"/>
          <w:b w:val="1"/>
          <w:bCs w:val="1"/>
          <w:color w:val="auto"/>
        </w:rPr>
        <w:t>Security Agreement</w:t>
      </w:r>
      <w:r>
        <w:rPr>
          <w:rFonts w:ascii="Arial" w:cs="Arial" w:eastAsia="Arial" w:hAnsi="Arial"/>
          <w:sz w:val="19"/>
          <w:szCs w:val="19"/>
          <w:color w:val="auto"/>
        </w:rPr>
        <w:t>”), dated as of December 31, 2020, between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Blenheim and the Lender, (ii) a control agreement (the “</w:t>
      </w:r>
      <w:r>
        <w:rPr>
          <w:rFonts w:ascii="Arial" w:cs="Arial" w:eastAsia="Arial" w:hAnsi="Arial"/>
          <w:sz w:val="21"/>
          <w:szCs w:val="21"/>
          <w:b w:val="1"/>
          <w:bCs w:val="1"/>
          <w:color w:val="auto"/>
        </w:rPr>
        <w:t>Control Agreement</w:t>
      </w:r>
      <w:r>
        <w:rPr>
          <w:rFonts w:ascii="Arial" w:cs="Arial" w:eastAsia="Arial" w:hAnsi="Arial"/>
          <w:sz w:val="21"/>
          <w:szCs w:val="21"/>
          <w:color w:val="auto"/>
        </w:rPr>
        <w:t>”), dated as of December 31, 2020, between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Blenheim, the Lender and Credit Suisse (Schweiz) AG, as the custodian and (iii) a pledge agreement (the “</w:t>
      </w:r>
      <w:r>
        <w:rPr>
          <w:rFonts w:ascii="Arial" w:cs="Arial" w:eastAsia="Arial" w:hAnsi="Arial"/>
          <w:sz w:val="19"/>
          <w:szCs w:val="19"/>
          <w:b w:val="1"/>
          <w:bCs w:val="1"/>
          <w:color w:val="auto"/>
        </w:rPr>
        <w:t>Pledge Agreement</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dated as of December 31, 2020, between Blenheim, the Lender and CMB Monaco, as the third party custodian. If Blenheim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defaults on its obligations under the Facility Agreement then the Lender may declare all borrowings outstanding under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Facility Agreement, to be immediately due and payable, and if Blenheim does not pay such amounts, the Lender may elect,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among other things, to foreclose on the Pledged Accounts under the Facility Agreement.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Item 7. Material to be Filed as Exhibits</w:t>
      </w:r>
    </w:p>
    <w:p>
      <w:pPr>
        <w:spacing w:after="0" w:line="233"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Exhibit 1 Security Agreement, dated December 31, 2020, between Blenheim Holdings Ltd., as borrower, and Citibank, N.A., London Branch, as lender.</w:t>
      </w:r>
    </w:p>
    <w:p>
      <w:pPr>
        <w:spacing w:after="0" w:line="20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Exhibit 2 Control Agreement, dated December 31, 2020, between Blenheim Holdings Ltd., as borrower, Citibank, N.A., London Branch, as lender and Credit Suisse (Schweiz) AG, as the custodian.</w:t>
      </w:r>
    </w:p>
    <w:p>
      <w:pPr>
        <w:spacing w:after="0" w:line="202"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Exhibit 3 Pledge Agreement, dated December 31, 2020, between Blenheim Holdings Ltd., as borrower, Citibank, N.A., London Branch, as lender and CMB Monaco, as the third party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9" w:name="page10"/>
    <w:bookmarkEnd w:id="9"/>
    <w:p>
      <w:pPr>
        <w:jc w:val="center"/>
        <w:ind w:right="-77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January 8, 2021</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Peter G. Livanos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Ceres Shipping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Blenheim Holdings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480"/>
          </w:cols>
          <w:pgMar w:left="320" w:top="598" w:right="109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320040</wp:posOffset>
            </wp:positionV>
            <wp:extent cx="368300" cy="1036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30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auto"/>
        </w:rPr>
        <w:t>Security Agreement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Security according to Art. 25 FISA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dated as of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960" w:type="dxa"/>
            <w:vAlign w:val="bottom"/>
          </w:tcPr>
          <w:p>
            <w:pPr>
              <w:spacing w:after="0"/>
              <w:rPr>
                <w:sz w:val="20"/>
                <w:szCs w:val="20"/>
                <w:color w:val="auto"/>
              </w:rPr>
            </w:pPr>
            <w:r>
              <w:rPr>
                <w:rFonts w:ascii="Arial" w:cs="Arial" w:eastAsia="Arial" w:hAnsi="Arial"/>
                <w:sz w:val="18"/>
                <w:szCs w:val="18"/>
                <w:b w:val="1"/>
                <w:bCs w:val="1"/>
                <w:color w:val="auto"/>
              </w:rPr>
              <w:t>Blenheim Holdings Ltd.,</w:t>
            </w:r>
          </w:p>
        </w:tc>
        <w:tc>
          <w:tcPr>
            <w:tcW w:w="2280" w:type="dxa"/>
            <w:vAlign w:val="bottom"/>
          </w:tcPr>
          <w:p>
            <w:pPr>
              <w:jc w:val="right"/>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Security Provider</w:t>
            </w:r>
            <w:r>
              <w:rPr>
                <w:rFonts w:ascii="Arial" w:cs="Arial" w:eastAsia="Arial" w:hAnsi="Arial"/>
                <w:sz w:val="18"/>
                <w:szCs w:val="18"/>
                <w:color w:val="auto"/>
              </w:rPr>
              <w:t>)</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an exempted company, having its registered office at Clarendon</w:t>
            </w:r>
          </w:p>
        </w:tc>
        <w:tc>
          <w:tcPr>
            <w:tcW w:w="2280" w:type="dxa"/>
            <w:vAlign w:val="bottom"/>
          </w:tcPr>
          <w:p>
            <w:pPr>
              <w:spacing w:after="0"/>
              <w:rPr>
                <w:sz w:val="18"/>
                <w:szCs w:val="18"/>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House, 2 Church Street, Hamilton HM 11, Bermuda</w:t>
            </w:r>
          </w:p>
        </w:tc>
        <w:tc>
          <w:tcPr>
            <w:tcW w:w="2280" w:type="dxa"/>
            <w:vAlign w:val="bottom"/>
          </w:tcPr>
          <w:p>
            <w:pPr>
              <w:spacing w:after="0"/>
              <w:rPr>
                <w:sz w:val="20"/>
                <w:szCs w:val="20"/>
                <w:color w:val="auto"/>
              </w:rPr>
            </w:pPr>
          </w:p>
        </w:tc>
      </w:tr>
      <w:tr>
        <w:trPr>
          <w:trHeight w:val="648"/>
        </w:trPr>
        <w:tc>
          <w:tcPr>
            <w:tcW w:w="8960" w:type="dxa"/>
            <w:vAlign w:val="bottom"/>
          </w:tcPr>
          <w:p>
            <w:pPr>
              <w:spacing w:after="0"/>
              <w:rPr>
                <w:sz w:val="20"/>
                <w:szCs w:val="20"/>
                <w:color w:val="auto"/>
              </w:rPr>
            </w:pPr>
            <w:r>
              <w:rPr>
                <w:rFonts w:ascii="Arial" w:cs="Arial" w:eastAsia="Arial" w:hAnsi="Arial"/>
                <w:sz w:val="18"/>
                <w:szCs w:val="18"/>
                <w:color w:val="auto"/>
              </w:rPr>
              <w:t>and</w:t>
            </w:r>
          </w:p>
        </w:tc>
        <w:tc>
          <w:tcPr>
            <w:tcW w:w="2280" w:type="dxa"/>
            <w:vAlign w:val="bottom"/>
          </w:tcPr>
          <w:p>
            <w:pPr>
              <w:spacing w:after="0"/>
              <w:rPr>
                <w:sz w:val="24"/>
                <w:szCs w:val="24"/>
                <w:color w:val="auto"/>
              </w:rPr>
            </w:pPr>
          </w:p>
        </w:tc>
      </w:tr>
      <w:tr>
        <w:trPr>
          <w:trHeight w:val="634"/>
        </w:trPr>
        <w:tc>
          <w:tcPr>
            <w:tcW w:w="8960" w:type="dxa"/>
            <w:vAlign w:val="bottom"/>
          </w:tcPr>
          <w:p>
            <w:pPr>
              <w:spacing w:after="0"/>
              <w:rPr>
                <w:sz w:val="20"/>
                <w:szCs w:val="20"/>
                <w:color w:val="auto"/>
              </w:rPr>
            </w:pPr>
            <w:r>
              <w:rPr>
                <w:rFonts w:ascii="Arial" w:cs="Arial" w:eastAsia="Arial" w:hAnsi="Arial"/>
                <w:sz w:val="18"/>
                <w:szCs w:val="18"/>
                <w:b w:val="1"/>
                <w:bCs w:val="1"/>
                <w:color w:val="auto"/>
              </w:rPr>
              <w:t>Citibank, N.A., London Branch,</w:t>
            </w:r>
          </w:p>
        </w:tc>
        <w:tc>
          <w:tcPr>
            <w:tcW w:w="2280" w:type="dxa"/>
            <w:vAlign w:val="bottom"/>
          </w:tcPr>
          <w:p>
            <w:pPr>
              <w:jc w:val="right"/>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Lender</w:t>
            </w:r>
            <w:r>
              <w:rPr>
                <w:rFonts w:ascii="Arial" w:cs="Arial" w:eastAsia="Arial" w:hAnsi="Arial"/>
                <w:sz w:val="18"/>
                <w:szCs w:val="18"/>
                <w:color w:val="auto"/>
              </w:rPr>
              <w:t>)</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having its registered office at Citigroup Centre, 33 Canada Square,</w:t>
            </w:r>
          </w:p>
        </w:tc>
        <w:tc>
          <w:tcPr>
            <w:tcW w:w="2280" w:type="dxa"/>
            <w:vAlign w:val="bottom"/>
          </w:tcPr>
          <w:p>
            <w:pPr>
              <w:spacing w:after="0"/>
              <w:rPr>
                <w:sz w:val="18"/>
                <w:szCs w:val="18"/>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Canary Wharf, London E14 5LB, United Kingdom</w:t>
            </w:r>
          </w:p>
        </w:tc>
        <w:tc>
          <w:tcPr>
            <w:tcW w:w="2280" w:type="dxa"/>
            <w:vAlign w:val="bottom"/>
          </w:tcPr>
          <w:p>
            <w:pPr>
              <w:spacing w:after="0"/>
              <w:rPr>
                <w:sz w:val="20"/>
                <w:szCs w:val="20"/>
                <w:color w:val="auto"/>
              </w:rPr>
            </w:pPr>
          </w:p>
        </w:tc>
      </w:tr>
      <w:tr>
        <w:trPr>
          <w:trHeight w:val="648"/>
        </w:trPr>
        <w:tc>
          <w:tcPr>
            <w:tcW w:w="8960" w:type="dxa"/>
            <w:vAlign w:val="bottom"/>
          </w:tcPr>
          <w:p>
            <w:pPr>
              <w:ind w:left="2800"/>
              <w:spacing w:after="0"/>
              <w:rPr>
                <w:sz w:val="20"/>
                <w:szCs w:val="20"/>
                <w:color w:val="auto"/>
              </w:rPr>
            </w:pPr>
            <w:r>
              <w:rPr>
                <w:rFonts w:ascii="Arial" w:cs="Arial" w:eastAsia="Arial" w:hAnsi="Arial"/>
                <w:sz w:val="18"/>
                <w:szCs w:val="18"/>
                <w:color w:val="auto"/>
                <w:w w:val="98"/>
              </w:rPr>
              <w:t xml:space="preserve">(the Security Provider together with the Lender, the </w:t>
            </w:r>
            <w:r>
              <w:rPr>
                <w:rFonts w:ascii="Arial" w:cs="Arial" w:eastAsia="Arial" w:hAnsi="Arial"/>
                <w:sz w:val="18"/>
                <w:szCs w:val="18"/>
                <w:b w:val="1"/>
                <w:bCs w:val="1"/>
                <w:color w:val="auto"/>
                <w:w w:val="98"/>
              </w:rPr>
              <w:t>Parties</w:t>
            </w:r>
            <w:r>
              <w:rPr>
                <w:rFonts w:ascii="Arial" w:cs="Arial" w:eastAsia="Arial" w:hAnsi="Arial"/>
                <w:sz w:val="18"/>
                <w:szCs w:val="18"/>
                <w:color w:val="auto"/>
                <w:w w:val="98"/>
              </w:rPr>
              <w:t xml:space="preserve"> and each a </w:t>
            </w:r>
            <w:r>
              <w:rPr>
                <w:rFonts w:ascii="Arial" w:cs="Arial" w:eastAsia="Arial" w:hAnsi="Arial"/>
                <w:sz w:val="18"/>
                <w:szCs w:val="18"/>
                <w:b w:val="1"/>
                <w:bCs w:val="1"/>
                <w:color w:val="auto"/>
                <w:w w:val="98"/>
              </w:rPr>
              <w:t>Party</w:t>
            </w:r>
            <w:r>
              <w:rPr>
                <w:rFonts w:ascii="Arial" w:cs="Arial" w:eastAsia="Arial" w:hAnsi="Arial"/>
                <w:sz w:val="18"/>
                <w:szCs w:val="18"/>
                <w:color w:val="auto"/>
                <w:w w:val="98"/>
              </w:rPr>
              <w:t>)</w:t>
            </w:r>
          </w:p>
        </w:tc>
        <w:tc>
          <w:tcPr>
            <w:tcW w:w="2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46B4D7"/>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Table of Annexes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18"/>
                <w:szCs w:val="18"/>
                <w:color w:val="auto"/>
              </w:rPr>
            </w:pPr>
          </w:p>
        </w:tc>
        <w:tc>
          <w:tcPr>
            <w:tcW w:w="3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Whereas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Definitions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Definitions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6940" w:type="dxa"/>
            <w:vAlign w:val="bottom"/>
          </w:tcPr>
          <w:p>
            <w:pPr>
              <w:ind w:left="140"/>
              <w:spacing w:after="0"/>
              <w:rPr>
                <w:sz w:val="20"/>
                <w:szCs w:val="20"/>
                <w:color w:val="auto"/>
              </w:rPr>
            </w:pPr>
            <w:r>
              <w:rPr>
                <w:rFonts w:ascii="Arial" w:cs="Arial" w:eastAsia="Arial" w:hAnsi="Arial"/>
                <w:sz w:val="18"/>
                <w:szCs w:val="18"/>
                <w:color w:val="auto"/>
              </w:rPr>
              <w:t>References</w:t>
            </w:r>
          </w:p>
        </w:tc>
        <w:tc>
          <w:tcPr>
            <w:tcW w:w="38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6940" w:type="dxa"/>
            <w:vAlign w:val="bottom"/>
          </w:tcPr>
          <w:p>
            <w:pPr>
              <w:ind w:left="140"/>
              <w:spacing w:after="0"/>
              <w:rPr>
                <w:sz w:val="20"/>
                <w:szCs w:val="20"/>
                <w:color w:val="auto"/>
              </w:rPr>
            </w:pPr>
            <w:r>
              <w:rPr>
                <w:rFonts w:ascii="Arial" w:cs="Arial" w:eastAsia="Arial" w:hAnsi="Arial"/>
                <w:sz w:val="18"/>
                <w:szCs w:val="18"/>
                <w:color w:val="auto"/>
              </w:rPr>
              <w:t>Security Interest</w:t>
            </w:r>
          </w:p>
        </w:tc>
        <w:tc>
          <w:tcPr>
            <w:tcW w:w="38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2.1</w:t>
            </w:r>
          </w:p>
        </w:tc>
        <w:tc>
          <w:tcPr>
            <w:tcW w:w="6940" w:type="dxa"/>
            <w:vAlign w:val="bottom"/>
          </w:tcPr>
          <w:p>
            <w:pPr>
              <w:ind w:left="140"/>
              <w:spacing w:after="0"/>
              <w:rPr>
                <w:sz w:val="20"/>
                <w:szCs w:val="20"/>
                <w:color w:val="auto"/>
              </w:rPr>
            </w:pPr>
            <w:r>
              <w:rPr>
                <w:rFonts w:ascii="Arial" w:cs="Arial" w:eastAsia="Arial" w:hAnsi="Arial"/>
                <w:sz w:val="18"/>
                <w:szCs w:val="18"/>
                <w:color w:val="auto"/>
              </w:rPr>
              <w:t>Object of Security</w:t>
            </w:r>
          </w:p>
        </w:tc>
        <w:tc>
          <w:tcPr>
            <w:tcW w:w="38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Secured Obligations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2.3</w:t>
            </w:r>
          </w:p>
        </w:tc>
        <w:tc>
          <w:tcPr>
            <w:tcW w:w="6940" w:type="dxa"/>
            <w:vAlign w:val="bottom"/>
          </w:tcPr>
          <w:p>
            <w:pPr>
              <w:ind w:left="140"/>
              <w:spacing w:after="0"/>
              <w:rPr>
                <w:sz w:val="20"/>
                <w:szCs w:val="20"/>
                <w:color w:val="auto"/>
              </w:rPr>
            </w:pPr>
            <w:r>
              <w:rPr>
                <w:rFonts w:ascii="Arial" w:cs="Arial" w:eastAsia="Arial" w:hAnsi="Arial"/>
                <w:sz w:val="18"/>
                <w:szCs w:val="18"/>
                <w:color w:val="auto"/>
              </w:rPr>
              <w:t>No Disposals</w:t>
            </w:r>
          </w:p>
        </w:tc>
        <w:tc>
          <w:tcPr>
            <w:tcW w:w="38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Perfection</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2.5</w:t>
            </w:r>
          </w:p>
        </w:tc>
        <w:tc>
          <w:tcPr>
            <w:tcW w:w="6940" w:type="dxa"/>
            <w:vAlign w:val="bottom"/>
          </w:tcPr>
          <w:p>
            <w:pPr>
              <w:ind w:left="140"/>
              <w:spacing w:after="0"/>
              <w:rPr>
                <w:sz w:val="20"/>
                <w:szCs w:val="20"/>
                <w:color w:val="auto"/>
              </w:rPr>
            </w:pPr>
            <w:r>
              <w:rPr>
                <w:rFonts w:ascii="Arial" w:cs="Arial" w:eastAsia="Arial" w:hAnsi="Arial"/>
                <w:sz w:val="18"/>
                <w:szCs w:val="18"/>
                <w:color w:val="auto"/>
              </w:rPr>
              <w:t>Instructions</w:t>
            </w:r>
          </w:p>
        </w:tc>
        <w:tc>
          <w:tcPr>
            <w:tcW w:w="38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6940" w:type="dxa"/>
            <w:vAlign w:val="bottom"/>
          </w:tcPr>
          <w:p>
            <w:pPr>
              <w:ind w:left="140"/>
              <w:spacing w:after="0"/>
              <w:rPr>
                <w:sz w:val="20"/>
                <w:szCs w:val="20"/>
                <w:color w:val="auto"/>
              </w:rPr>
            </w:pPr>
            <w:r>
              <w:rPr>
                <w:rFonts w:ascii="Arial" w:cs="Arial" w:eastAsia="Arial" w:hAnsi="Arial"/>
                <w:sz w:val="18"/>
                <w:szCs w:val="18"/>
                <w:color w:val="auto"/>
              </w:rPr>
              <w:t>Delivery of Additional Documents</w:t>
            </w:r>
          </w:p>
        </w:tc>
        <w:tc>
          <w:tcPr>
            <w:tcW w:w="38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6940" w:type="dxa"/>
            <w:vAlign w:val="bottom"/>
          </w:tcPr>
          <w:p>
            <w:pPr>
              <w:ind w:left="140"/>
              <w:spacing w:after="0"/>
              <w:rPr>
                <w:sz w:val="20"/>
                <w:szCs w:val="20"/>
                <w:color w:val="auto"/>
              </w:rPr>
            </w:pPr>
            <w:r>
              <w:rPr>
                <w:rFonts w:ascii="Arial" w:cs="Arial" w:eastAsia="Arial" w:hAnsi="Arial"/>
                <w:sz w:val="18"/>
                <w:szCs w:val="18"/>
                <w:color w:val="auto"/>
              </w:rPr>
              <w:t>Shareholder Rights</w:t>
            </w:r>
          </w:p>
        </w:tc>
        <w:tc>
          <w:tcPr>
            <w:tcW w:w="38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4.1</w:t>
            </w:r>
          </w:p>
        </w:tc>
        <w:tc>
          <w:tcPr>
            <w:tcW w:w="6940" w:type="dxa"/>
            <w:vAlign w:val="bottom"/>
          </w:tcPr>
          <w:p>
            <w:pPr>
              <w:ind w:left="140"/>
              <w:spacing w:after="0"/>
              <w:rPr>
                <w:sz w:val="20"/>
                <w:szCs w:val="20"/>
                <w:color w:val="auto"/>
              </w:rPr>
            </w:pPr>
            <w:r>
              <w:rPr>
                <w:rFonts w:ascii="Arial" w:cs="Arial" w:eastAsia="Arial" w:hAnsi="Arial"/>
                <w:sz w:val="18"/>
                <w:szCs w:val="18"/>
                <w:color w:val="auto"/>
              </w:rPr>
              <w:t>Subscription Rights</w:t>
            </w:r>
          </w:p>
        </w:tc>
        <w:tc>
          <w:tcPr>
            <w:tcW w:w="38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4.3</w:t>
            </w:r>
          </w:p>
        </w:tc>
        <w:tc>
          <w:tcPr>
            <w:tcW w:w="6940" w:type="dxa"/>
            <w:vAlign w:val="bottom"/>
          </w:tcPr>
          <w:p>
            <w:pPr>
              <w:ind w:left="140"/>
              <w:spacing w:after="0"/>
              <w:rPr>
                <w:sz w:val="20"/>
                <w:szCs w:val="20"/>
                <w:color w:val="auto"/>
              </w:rPr>
            </w:pPr>
            <w:r>
              <w:rPr>
                <w:rFonts w:ascii="Arial" w:cs="Arial" w:eastAsia="Arial" w:hAnsi="Arial"/>
                <w:sz w:val="18"/>
                <w:szCs w:val="18"/>
                <w:color w:val="auto"/>
              </w:rPr>
              <w:t>Voting Rights</w:t>
            </w:r>
          </w:p>
        </w:tc>
        <w:tc>
          <w:tcPr>
            <w:tcW w:w="38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6940" w:type="dxa"/>
            <w:vAlign w:val="bottom"/>
          </w:tcPr>
          <w:p>
            <w:pPr>
              <w:ind w:left="140"/>
              <w:spacing w:after="0"/>
              <w:rPr>
                <w:sz w:val="20"/>
                <w:szCs w:val="20"/>
                <w:color w:val="auto"/>
              </w:rPr>
            </w:pPr>
            <w:r>
              <w:rPr>
                <w:rFonts w:ascii="Arial" w:cs="Arial" w:eastAsia="Arial" w:hAnsi="Arial"/>
                <w:sz w:val="18"/>
                <w:szCs w:val="18"/>
                <w:color w:val="auto"/>
              </w:rPr>
              <w:t>Representations and Warranties</w:t>
            </w:r>
          </w:p>
        </w:tc>
        <w:tc>
          <w:tcPr>
            <w:tcW w:w="38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6940" w:type="dxa"/>
            <w:vAlign w:val="bottom"/>
          </w:tcPr>
          <w:p>
            <w:pPr>
              <w:ind w:left="140"/>
              <w:spacing w:after="0"/>
              <w:rPr>
                <w:sz w:val="20"/>
                <w:szCs w:val="20"/>
                <w:color w:val="auto"/>
              </w:rPr>
            </w:pPr>
            <w:r>
              <w:rPr>
                <w:rFonts w:ascii="Arial" w:cs="Arial" w:eastAsia="Arial" w:hAnsi="Arial"/>
                <w:sz w:val="18"/>
                <w:szCs w:val="18"/>
                <w:color w:val="auto"/>
              </w:rPr>
              <w:t>Further Covenants of the Security Provider</w:t>
            </w:r>
          </w:p>
        </w:tc>
        <w:tc>
          <w:tcPr>
            <w:tcW w:w="38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6940" w:type="dxa"/>
            <w:vAlign w:val="bottom"/>
          </w:tcPr>
          <w:p>
            <w:pPr>
              <w:ind w:left="140"/>
              <w:spacing w:after="0"/>
              <w:rPr>
                <w:sz w:val="20"/>
                <w:szCs w:val="20"/>
                <w:color w:val="auto"/>
              </w:rPr>
            </w:pPr>
            <w:r>
              <w:rPr>
                <w:rFonts w:ascii="Arial" w:cs="Arial" w:eastAsia="Arial" w:hAnsi="Arial"/>
                <w:sz w:val="18"/>
                <w:szCs w:val="18"/>
                <w:color w:val="auto"/>
              </w:rPr>
              <w:t>Realization of Security Interest</w:t>
            </w:r>
          </w:p>
        </w:tc>
        <w:tc>
          <w:tcPr>
            <w:tcW w:w="38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6940" w:type="dxa"/>
            <w:vAlign w:val="bottom"/>
          </w:tcPr>
          <w:p>
            <w:pPr>
              <w:ind w:left="140"/>
              <w:spacing w:after="0"/>
              <w:rPr>
                <w:sz w:val="20"/>
                <w:szCs w:val="20"/>
                <w:color w:val="auto"/>
              </w:rPr>
            </w:pPr>
            <w:r>
              <w:rPr>
                <w:rFonts w:ascii="Arial" w:cs="Arial" w:eastAsia="Arial" w:hAnsi="Arial"/>
                <w:sz w:val="18"/>
                <w:szCs w:val="18"/>
                <w:color w:val="auto"/>
              </w:rPr>
              <w:t>Application of Proceeds</w:t>
            </w:r>
          </w:p>
        </w:tc>
        <w:tc>
          <w:tcPr>
            <w:tcW w:w="38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6940" w:type="dxa"/>
            <w:vAlign w:val="bottom"/>
          </w:tcPr>
          <w:p>
            <w:pPr>
              <w:ind w:left="140"/>
              <w:spacing w:after="0"/>
              <w:rPr>
                <w:sz w:val="20"/>
                <w:szCs w:val="20"/>
                <w:color w:val="auto"/>
              </w:rPr>
            </w:pPr>
            <w:r>
              <w:rPr>
                <w:rFonts w:ascii="Arial" w:cs="Arial" w:eastAsia="Arial" w:hAnsi="Arial"/>
                <w:sz w:val="18"/>
                <w:szCs w:val="18"/>
                <w:color w:val="auto"/>
              </w:rPr>
              <w:t>Release of Securities and Related Rights</w:t>
            </w:r>
          </w:p>
        </w:tc>
        <w:tc>
          <w:tcPr>
            <w:tcW w:w="38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694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38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11.</w:t>
            </w:r>
          </w:p>
        </w:tc>
        <w:tc>
          <w:tcPr>
            <w:tcW w:w="6940" w:type="dxa"/>
            <w:vAlign w:val="bottom"/>
          </w:tcPr>
          <w:p>
            <w:pPr>
              <w:ind w:left="140"/>
              <w:spacing w:after="0"/>
              <w:rPr>
                <w:sz w:val="20"/>
                <w:szCs w:val="20"/>
                <w:color w:val="auto"/>
              </w:rPr>
            </w:pPr>
            <w:r>
              <w:rPr>
                <w:rFonts w:ascii="Arial" w:cs="Arial" w:eastAsia="Arial" w:hAnsi="Arial"/>
                <w:sz w:val="18"/>
                <w:szCs w:val="18"/>
                <w:color w:val="auto"/>
              </w:rPr>
              <w:t>Indemnity</w:t>
            </w:r>
          </w:p>
        </w:tc>
        <w:tc>
          <w:tcPr>
            <w:tcW w:w="38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6940" w:type="dxa"/>
            <w:vAlign w:val="bottom"/>
          </w:tcPr>
          <w:p>
            <w:pPr>
              <w:ind w:left="140"/>
              <w:spacing w:after="0"/>
              <w:rPr>
                <w:sz w:val="20"/>
                <w:szCs w:val="20"/>
                <w:color w:val="auto"/>
              </w:rPr>
            </w:pPr>
            <w:r>
              <w:rPr>
                <w:rFonts w:ascii="Arial" w:cs="Arial" w:eastAsia="Arial" w:hAnsi="Arial"/>
                <w:sz w:val="18"/>
                <w:szCs w:val="18"/>
                <w:color w:val="auto"/>
              </w:rPr>
              <w:t>Bank Secrecy Waiver</w:t>
            </w:r>
          </w:p>
        </w:tc>
        <w:tc>
          <w:tcPr>
            <w:tcW w:w="38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13.</w:t>
            </w:r>
          </w:p>
        </w:tc>
        <w:tc>
          <w:tcPr>
            <w:tcW w:w="6940" w:type="dxa"/>
            <w:vAlign w:val="bottom"/>
          </w:tcPr>
          <w:p>
            <w:pPr>
              <w:ind w:left="140"/>
              <w:spacing w:after="0"/>
              <w:rPr>
                <w:sz w:val="20"/>
                <w:szCs w:val="20"/>
                <w:color w:val="auto"/>
              </w:rPr>
            </w:pPr>
            <w:r>
              <w:rPr>
                <w:rFonts w:ascii="Arial" w:cs="Arial" w:eastAsia="Arial" w:hAnsi="Arial"/>
                <w:sz w:val="18"/>
                <w:szCs w:val="18"/>
                <w:color w:val="auto"/>
              </w:rPr>
              <w:t>Further Assurances by the Security Provider</w:t>
            </w:r>
          </w:p>
        </w:tc>
        <w:tc>
          <w:tcPr>
            <w:tcW w:w="38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14.</w:t>
            </w:r>
          </w:p>
        </w:tc>
        <w:tc>
          <w:tcPr>
            <w:tcW w:w="6940" w:type="dxa"/>
            <w:vAlign w:val="bottom"/>
          </w:tcPr>
          <w:p>
            <w:pPr>
              <w:ind w:left="140"/>
              <w:spacing w:after="0"/>
              <w:rPr>
                <w:sz w:val="20"/>
                <w:szCs w:val="20"/>
                <w:color w:val="auto"/>
              </w:rPr>
            </w:pPr>
            <w:r>
              <w:rPr>
                <w:rFonts w:ascii="Arial" w:cs="Arial" w:eastAsia="Arial" w:hAnsi="Arial"/>
                <w:sz w:val="18"/>
                <w:szCs w:val="18"/>
                <w:color w:val="auto"/>
              </w:rPr>
              <w:t>General Provisions</w:t>
            </w:r>
          </w:p>
        </w:tc>
        <w:tc>
          <w:tcPr>
            <w:tcW w:w="38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14.1</w:t>
            </w:r>
          </w:p>
        </w:tc>
        <w:tc>
          <w:tcPr>
            <w:tcW w:w="694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38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14.2</w:t>
            </w:r>
          </w:p>
        </w:tc>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Costs, Expenses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5"/>
        </w:trPr>
        <w:tc>
          <w:tcPr>
            <w:tcW w:w="4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80" w:type="dxa"/>
            <w:vAlign w:val="bottom"/>
            <w:gridSpan w:val="2"/>
          </w:tcPr>
          <w:p>
            <w:pPr>
              <w:jc w:val="right"/>
              <w:ind w:right="20"/>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46"/>
        </w:trPr>
        <w:tc>
          <w:tcPr>
            <w:tcW w:w="440" w:type="dxa"/>
            <w:vAlign w:val="bottom"/>
            <w:tcBorders>
              <w:bottom w:val="single" w:sz="8" w:color="BFBFBF"/>
            </w:tcBorders>
          </w:tcPr>
          <w:p>
            <w:pPr>
              <w:spacing w:after="0"/>
              <w:rPr>
                <w:sz w:val="4"/>
                <w:szCs w:val="4"/>
                <w:color w:val="auto"/>
              </w:rPr>
            </w:pPr>
          </w:p>
        </w:tc>
        <w:tc>
          <w:tcPr>
            <w:tcW w:w="6940" w:type="dxa"/>
            <w:vAlign w:val="bottom"/>
            <w:tcBorders>
              <w:bottom w:val="single" w:sz="8" w:color="BFBFBF"/>
            </w:tcBorders>
          </w:tcPr>
          <w:p>
            <w:pPr>
              <w:spacing w:after="0"/>
              <w:rPr>
                <w:sz w:val="4"/>
                <w:szCs w:val="4"/>
                <w:color w:val="auto"/>
              </w:rPr>
            </w:pPr>
          </w:p>
        </w:tc>
        <w:tc>
          <w:tcPr>
            <w:tcW w:w="3860" w:type="dxa"/>
            <w:vAlign w:val="bottom"/>
            <w:tcBorders>
              <w:bottom w:val="single" w:sz="8" w:color="BFBFBF"/>
            </w:tcBorders>
          </w:tcPr>
          <w:p>
            <w:pPr>
              <w:spacing w:after="0"/>
              <w:rPr>
                <w:sz w:val="4"/>
                <w:szCs w:val="4"/>
                <w:color w:val="auto"/>
              </w:rPr>
            </w:pPr>
          </w:p>
        </w:tc>
        <w:tc>
          <w:tcPr>
            <w:tcW w:w="2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1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14.3</w:t>
            </w:r>
          </w:p>
        </w:tc>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14.4</w:t>
            </w:r>
          </w:p>
        </w:tc>
        <w:tc>
          <w:tcPr>
            <w:tcW w:w="750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3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14.5</w:t>
            </w:r>
          </w:p>
        </w:tc>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Amendments and Waivers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14.6</w:t>
            </w:r>
          </w:p>
        </w:tc>
        <w:tc>
          <w:tcPr>
            <w:tcW w:w="7500" w:type="dxa"/>
            <w:vAlign w:val="bottom"/>
          </w:tcPr>
          <w:p>
            <w:pPr>
              <w:ind w:left="140"/>
              <w:spacing w:after="0"/>
              <w:rPr>
                <w:sz w:val="20"/>
                <w:szCs w:val="20"/>
                <w:color w:val="auto"/>
              </w:rPr>
            </w:pPr>
            <w:r>
              <w:rPr>
                <w:rFonts w:ascii="Arial" w:cs="Arial" w:eastAsia="Arial" w:hAnsi="Arial"/>
                <w:sz w:val="18"/>
                <w:szCs w:val="18"/>
                <w:color w:val="auto"/>
              </w:rPr>
              <w:t>Transfer of Rights and Obligations</w:t>
            </w:r>
          </w:p>
        </w:tc>
        <w:tc>
          <w:tcPr>
            <w:tcW w:w="33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14.7</w:t>
            </w:r>
          </w:p>
        </w:tc>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Severability</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Governing Law and Jurisdiction</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15.1</w:t>
            </w:r>
          </w:p>
        </w:tc>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Governing Law</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15.2</w:t>
            </w:r>
          </w:p>
        </w:tc>
        <w:tc>
          <w:tcPr>
            <w:tcW w:w="7500" w:type="dxa"/>
            <w:vAlign w:val="bottom"/>
          </w:tcPr>
          <w:p>
            <w:pPr>
              <w:ind w:left="140"/>
              <w:spacing w:after="0"/>
              <w:rPr>
                <w:sz w:val="20"/>
                <w:szCs w:val="20"/>
                <w:color w:val="auto"/>
              </w:rPr>
            </w:pPr>
            <w:r>
              <w:rPr>
                <w:rFonts w:ascii="Arial" w:cs="Arial" w:eastAsia="Arial" w:hAnsi="Arial"/>
                <w:sz w:val="18"/>
                <w:szCs w:val="18"/>
                <w:color w:val="auto"/>
              </w:rPr>
              <w:t>Place of Jurisdiction</w:t>
            </w:r>
          </w:p>
        </w:tc>
        <w:tc>
          <w:tcPr>
            <w:tcW w:w="33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Annex 2.1 – Securities to be deposited into the Securities Account: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 w:name="page14"/>
    <w:bookmarkEnd w:id="13"/>
    <w:p>
      <w:pPr>
        <w:spacing w:after="0" w:line="256" w:lineRule="auto"/>
        <w:rPr>
          <w:sz w:val="20"/>
          <w:szCs w:val="20"/>
          <w:color w:val="auto"/>
        </w:rPr>
      </w:pPr>
      <w:r>
        <w:rPr>
          <w:rFonts w:ascii="Arial" w:cs="Arial" w:eastAsia="Arial" w:hAnsi="Arial"/>
          <w:sz w:val="22"/>
          <w:szCs w:val="22"/>
          <w:color w:val="auto"/>
        </w:rPr>
        <w:t xml:space="preserve">This Security Agreement (the </w:t>
      </w:r>
      <w:r>
        <w:rPr>
          <w:rFonts w:ascii="Arial" w:cs="Arial" w:eastAsia="Arial" w:hAnsi="Arial"/>
          <w:sz w:val="22"/>
          <w:szCs w:val="22"/>
          <w:b w:val="1"/>
          <w:bCs w:val="1"/>
          <w:color w:val="auto"/>
        </w:rPr>
        <w:t>Security Agreement</w:t>
      </w:r>
      <w:r>
        <w:rPr>
          <w:rFonts w:ascii="Arial" w:cs="Arial" w:eastAsia="Arial" w:hAnsi="Arial"/>
          <w:sz w:val="22"/>
          <w:szCs w:val="22"/>
          <w:color w:val="auto"/>
        </w:rPr>
        <w:t xml:space="preserve">) is made as of December 31, 2020, by and between the Security Provider and the Lender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xml:space="preserve"> and each individually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42" w:lineRule="exact"/>
        <w:rPr>
          <w:sz w:val="20"/>
          <w:szCs w:val="20"/>
          <w:color w:val="auto"/>
        </w:rPr>
      </w:pPr>
    </w:p>
    <w:p>
      <w:pPr>
        <w:jc w:val="both"/>
        <w:ind w:left="580" w:hanging="572"/>
        <w:spacing w:after="0" w:line="266"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Pursuant to a facility agreement originally dated as of October 31, 2017 (the </w:t>
      </w:r>
      <w:r>
        <w:rPr>
          <w:rFonts w:ascii="Arial" w:cs="Arial" w:eastAsia="Arial" w:hAnsi="Arial"/>
          <w:sz w:val="18"/>
          <w:szCs w:val="18"/>
          <w:b w:val="1"/>
          <w:bCs w:val="1"/>
          <w:color w:val="auto"/>
        </w:rPr>
        <w:t>Original Facility Agreement</w:t>
      </w:r>
      <w:r>
        <w:rPr>
          <w:rFonts w:ascii="Arial" w:cs="Arial" w:eastAsia="Arial" w:hAnsi="Arial"/>
          <w:sz w:val="18"/>
          <w:szCs w:val="18"/>
          <w:color w:val="auto"/>
        </w:rPr>
        <w:t xml:space="preserve">), made between Blenheim Holdings Ltd. as borrower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and Citibank, N.A., London Branch, as lender (the </w:t>
      </w:r>
      <w:r>
        <w:rPr>
          <w:rFonts w:ascii="Arial" w:cs="Arial" w:eastAsia="Arial" w:hAnsi="Arial"/>
          <w:sz w:val="18"/>
          <w:szCs w:val="18"/>
          <w:b w:val="1"/>
          <w:bCs w:val="1"/>
          <w:color w:val="auto"/>
        </w:rPr>
        <w:t>Lender</w:t>
      </w:r>
      <w:r>
        <w:rPr>
          <w:rFonts w:ascii="Arial" w:cs="Arial" w:eastAsia="Arial" w:hAnsi="Arial"/>
          <w:sz w:val="18"/>
          <w:szCs w:val="18"/>
          <w:color w:val="auto"/>
        </w:rPr>
        <w:t>), the Lender agreed to make available to the Borrower a revolving credit facility in the aggregate amount of USD 150,000,000.</w:t>
      </w:r>
    </w:p>
    <w:p>
      <w:pPr>
        <w:spacing w:after="0" w:line="175" w:lineRule="exact"/>
        <w:rPr>
          <w:rFonts w:ascii="Arial" w:cs="Arial" w:eastAsia="Arial" w:hAnsi="Arial"/>
          <w:sz w:val="18"/>
          <w:szCs w:val="18"/>
          <w:color w:val="auto"/>
        </w:rPr>
      </w:pPr>
    </w:p>
    <w:p>
      <w:pPr>
        <w:jc w:val="both"/>
        <w:ind w:left="580" w:hanging="572"/>
        <w:spacing w:after="0" w:line="266"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On or around the date hereof, the Original Facility Agreement shall be amended and restated pursuant to a first supplemental agreement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Supplemental Agreement</w:t>
      </w:r>
      <w:r>
        <w:rPr>
          <w:rFonts w:ascii="Arial" w:cs="Arial" w:eastAsia="Arial" w:hAnsi="Arial"/>
          <w:sz w:val="18"/>
          <w:szCs w:val="18"/>
          <w:color w:val="auto"/>
        </w:rPr>
        <w:t>), made between the Borrower as borrower and the Lender as lender (the Original Facility Agreement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restated by the First Supplemental Agreement, the </w:t>
      </w:r>
      <w:r>
        <w:rPr>
          <w:rFonts w:ascii="Arial" w:cs="Arial" w:eastAsia="Arial" w:hAnsi="Arial"/>
          <w:sz w:val="18"/>
          <w:szCs w:val="18"/>
          <w:b w:val="1"/>
          <w:bCs w:val="1"/>
          <w:color w:val="auto"/>
        </w:rPr>
        <w:t>Facility Agreement</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order to satisfy certain conditions precedent pursuant to the First Supplemental Agreement and in order to provide security for the Lender, the Security Provider wishes to grant a security interest in the Securities (as defined below) in favor of Lender under this Security Agreement.</w:t>
      </w:r>
    </w:p>
    <w:p>
      <w:pPr>
        <w:spacing w:after="0" w:line="146" w:lineRule="exact"/>
        <w:rPr>
          <w:rFonts w:ascii="Arial" w:cs="Arial" w:eastAsia="Arial" w:hAnsi="Arial"/>
          <w:sz w:val="17"/>
          <w:szCs w:val="17"/>
          <w:color w:val="auto"/>
        </w:rPr>
      </w:pPr>
    </w:p>
    <w:p>
      <w:pPr>
        <w:jc w:val="both"/>
        <w:ind w:left="580" w:hanging="572"/>
        <w:spacing w:after="0" w:line="286"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Concurrently with the execution of this Security Agreement, the Security Provider, the Lender, and Credit Suisse (Schweiz) AG as custodian (the </w:t>
      </w:r>
      <w:r>
        <w:rPr>
          <w:rFonts w:ascii="Arial" w:cs="Arial" w:eastAsia="Arial" w:hAnsi="Arial"/>
          <w:sz w:val="17"/>
          <w:szCs w:val="17"/>
          <w:b w:val="1"/>
          <w:bCs w:val="1"/>
          <w:color w:val="auto"/>
        </w:rPr>
        <w:t>Custodian</w:t>
      </w:r>
      <w:r>
        <w:rPr>
          <w:rFonts w:ascii="Arial" w:cs="Arial" w:eastAsia="Arial" w:hAnsi="Arial"/>
          <w:sz w:val="17"/>
          <w:szCs w:val="17"/>
          <w:color w:val="auto"/>
        </w:rPr>
        <w:t>) will enter into a control agreement (the</w:t>
      </w:r>
      <w:r>
        <w:rPr>
          <w:rFonts w:ascii="Arial" w:cs="Arial" w:eastAsia="Arial" w:hAnsi="Arial"/>
          <w:sz w:val="17"/>
          <w:szCs w:val="17"/>
          <w:b w:val="1"/>
          <w:bCs w:val="1"/>
          <w:color w:val="auto"/>
        </w:rPr>
        <w:t xml:space="preserve"> Control Agreement</w:t>
      </w:r>
      <w:r>
        <w:rPr>
          <w:rFonts w:ascii="Arial" w:cs="Arial" w:eastAsia="Arial" w:hAnsi="Arial"/>
          <w:sz w:val="17"/>
          <w:szCs w:val="17"/>
          <w:color w:val="auto"/>
        </w:rPr>
        <w:t>) in order to grant and perfect the Security Interest (as defined below) in</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pursuant to article 25 para. 1 of the Swiss Federal Intermediated Securities Act (</w:t>
      </w:r>
      <w:r>
        <w:rPr>
          <w:rFonts w:ascii="Arial" w:cs="Arial" w:eastAsia="Arial" w:hAnsi="Arial"/>
          <w:sz w:val="17"/>
          <w:szCs w:val="17"/>
          <w:b w:val="1"/>
          <w:bCs w:val="1"/>
          <w:color w:val="auto"/>
        </w:rPr>
        <w:t>FISA</w:t>
      </w:r>
      <w:r>
        <w:rPr>
          <w:rFonts w:ascii="Arial" w:cs="Arial" w:eastAsia="Arial" w:hAnsi="Arial"/>
          <w:sz w:val="17"/>
          <w:szCs w:val="17"/>
          <w:color w:val="auto"/>
        </w:rPr>
        <w:t>) in favor of the Lender.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the Parties hereto agree as follows:</w:t>
      </w:r>
    </w:p>
    <w:p>
      <w:pPr>
        <w:spacing w:after="0" w:line="242"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6"/>
          <w:szCs w:val="16"/>
          <w:b w:val="1"/>
          <w:bCs w:val="1"/>
          <w:color w:val="auto"/>
        </w:rPr>
        <w:t>Definitions</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Unless defined hereinafter and except to the extent that the context requires otherwise, capitalized terms used in this Security Agreement shall have the meaning assigned to them in the Facility Agreement.</w:t>
      </w:r>
    </w:p>
    <w:p>
      <w:pPr>
        <w:spacing w:after="0" w:line="196" w:lineRule="exact"/>
        <w:rPr>
          <w:sz w:val="20"/>
          <w:szCs w:val="20"/>
          <w:color w:val="auto"/>
        </w:rPr>
      </w:pPr>
    </w:p>
    <w:p>
      <w:pPr>
        <w:jc w:val="both"/>
        <w:ind w:left="180"/>
        <w:spacing w:after="0" w:line="243"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shall have the meaning as set forth in the Facility Agreement, whereby for the purposes of this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days on which commercial banks in Zurich are open for normal business transactions shall also be considered to be Business Days.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 xml:space="preserve">CO </w:t>
      </w:r>
      <w:r>
        <w:rPr>
          <w:rFonts w:ascii="Arial" w:cs="Arial" w:eastAsia="Arial" w:hAnsi="Arial"/>
          <w:sz w:val="19"/>
          <w:szCs w:val="19"/>
          <w:color w:val="auto"/>
        </w:rPr>
        <w:t>shall mean the Swiss Code of Obligations (</w:t>
      </w:r>
      <w:r>
        <w:rPr>
          <w:rFonts w:ascii="Arial" w:cs="Arial" w:eastAsia="Arial" w:hAnsi="Arial"/>
          <w:sz w:val="19"/>
          <w:szCs w:val="19"/>
          <w:i w:val="1"/>
          <w:iCs w:val="1"/>
          <w:color w:val="auto"/>
        </w:rPr>
        <w:t>Schweizerisches Obligationenrecht, OR</w:t>
      </w:r>
      <w:r>
        <w:rPr>
          <w:rFonts w:ascii="Arial" w:cs="Arial" w:eastAsia="Arial" w:hAnsi="Arial"/>
          <w:sz w:val="19"/>
          <w:szCs w:val="19"/>
          <w:color w:val="auto"/>
        </w:rPr>
        <w:t>), as amended from time to time.</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 xml:space="preserve">Control Agreement </w:t>
      </w:r>
      <w:r>
        <w:rPr>
          <w:rFonts w:ascii="Arial" w:cs="Arial" w:eastAsia="Arial" w:hAnsi="Arial"/>
          <w:sz w:val="22"/>
          <w:szCs w:val="22"/>
          <w:color w:val="auto"/>
        </w:rPr>
        <w:t>shall have the meaning as set forth in Recital C, as amended from time to time.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Custodian </w:t>
      </w:r>
      <w:r>
        <w:rPr>
          <w:rFonts w:ascii="Arial" w:cs="Arial" w:eastAsia="Arial" w:hAnsi="Arial"/>
          <w:sz w:val="22"/>
          <w:szCs w:val="22"/>
          <w:color w:val="auto"/>
        </w:rPr>
        <w:t>shall have the meaning as set forth in Recital C.</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DEBA </w:t>
      </w:r>
      <w:r>
        <w:rPr>
          <w:rFonts w:ascii="Arial" w:cs="Arial" w:eastAsia="Arial" w:hAnsi="Arial"/>
          <w:sz w:val="22"/>
          <w:szCs w:val="22"/>
          <w:color w:val="auto"/>
        </w:rPr>
        <w:t>shall mean the Swiss Federal Debt Enforcement and Bankruptcy Act (</w:t>
      </w:r>
      <w:r>
        <w:rPr>
          <w:rFonts w:ascii="Arial" w:cs="Arial" w:eastAsia="Arial" w:hAnsi="Arial"/>
          <w:sz w:val="22"/>
          <w:szCs w:val="22"/>
          <w:i w:val="1"/>
          <w:iCs w:val="1"/>
          <w:color w:val="auto"/>
        </w:rPr>
        <w:t>Bundesgesetz über Schuldbetreibung und</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Konkurs, SchKG)</w:t>
      </w:r>
      <w:r>
        <w:rPr>
          <w:rFonts w:ascii="Arial" w:cs="Arial" w:eastAsia="Arial" w:hAnsi="Arial"/>
          <w:sz w:val="22"/>
          <w:szCs w:val="22"/>
          <w:color w:val="auto"/>
        </w:rPr>
        <w:t>, as amended from time to time.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shall mean all kinds of dividends whether in cash or</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in specie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e.g.</w:t>
      </w:r>
      <w:r>
        <w:rPr>
          <w:rFonts w:ascii="Arial" w:cs="Arial" w:eastAsia="Arial" w:hAnsi="Arial"/>
          <w:sz w:val="22"/>
          <w:szCs w:val="22"/>
          <w:color w:val="auto"/>
        </w:rPr>
        <w:t>, in form of additional Shares, participation rights</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Event of Default </w:t>
      </w:r>
      <w:r>
        <w:rPr>
          <w:rFonts w:ascii="Arial" w:cs="Arial" w:eastAsia="Arial" w:hAnsi="Arial"/>
          <w:sz w:val="22"/>
          <w:szCs w:val="22"/>
          <w:color w:val="auto"/>
        </w:rPr>
        <w:t>shall have the meaning as set forth in the Facility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Facility Agreement </w:t>
      </w:r>
      <w:r>
        <w:rPr>
          <w:rFonts w:ascii="Arial" w:cs="Arial" w:eastAsia="Arial" w:hAnsi="Arial"/>
          <w:sz w:val="22"/>
          <w:szCs w:val="22"/>
          <w:color w:val="auto"/>
        </w:rPr>
        <w:t>shall have the meaning as set forth in Recital A, as amended from time to time.</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FISA </w:t>
      </w:r>
      <w:r>
        <w:rPr>
          <w:rFonts w:ascii="Arial" w:cs="Arial" w:eastAsia="Arial" w:hAnsi="Arial"/>
          <w:sz w:val="22"/>
          <w:szCs w:val="22"/>
          <w:color w:val="auto"/>
        </w:rPr>
        <w:t>shall mean the Swiss Federal Intermediated Securities Act (</w:t>
      </w:r>
      <w:r>
        <w:rPr>
          <w:rFonts w:ascii="Arial" w:cs="Arial" w:eastAsia="Arial" w:hAnsi="Arial"/>
          <w:sz w:val="22"/>
          <w:szCs w:val="22"/>
          <w:i w:val="1"/>
          <w:iCs w:val="1"/>
          <w:color w:val="auto"/>
        </w:rPr>
        <w:t>Bundesgesetz über Bucheffekten, BEG</w:t>
      </w:r>
      <w:r>
        <w:rPr>
          <w:rFonts w:ascii="Arial" w:cs="Arial" w:eastAsia="Arial" w:hAnsi="Arial"/>
          <w:sz w:val="22"/>
          <w:szCs w:val="22"/>
          <w:color w:val="auto"/>
        </w:rPr>
        <w:t>), as amended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Lender </w:t>
      </w:r>
      <w:r>
        <w:rPr>
          <w:rFonts w:ascii="Arial" w:cs="Arial" w:eastAsia="Arial" w:hAnsi="Arial"/>
          <w:sz w:val="22"/>
          <w:szCs w:val="22"/>
          <w:color w:val="auto"/>
        </w:rPr>
        <w:t>shall have the meaning as set forth on the front page of this Security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Parties </w:t>
      </w:r>
      <w:r>
        <w:rPr>
          <w:rFonts w:ascii="Arial" w:cs="Arial" w:eastAsia="Arial" w:hAnsi="Arial"/>
          <w:sz w:val="22"/>
          <w:szCs w:val="22"/>
          <w:color w:val="auto"/>
        </w:rPr>
        <w:t>and</w:t>
      </w:r>
      <w:r>
        <w:rPr>
          <w:rFonts w:ascii="Arial" w:cs="Arial" w:eastAsia="Arial" w:hAnsi="Arial"/>
          <w:sz w:val="22"/>
          <w:szCs w:val="22"/>
          <w:b w:val="1"/>
          <w:bCs w:val="1"/>
          <w:color w:val="auto"/>
        </w:rPr>
        <w:t xml:space="preserve"> Party </w:t>
      </w:r>
      <w:r>
        <w:rPr>
          <w:rFonts w:ascii="Arial" w:cs="Arial" w:eastAsia="Arial" w:hAnsi="Arial"/>
          <w:sz w:val="22"/>
          <w:szCs w:val="22"/>
          <w:color w:val="auto"/>
        </w:rPr>
        <w:t>shall have the meaning as set forth on the front page of this Security Agreement.</w:t>
      </w:r>
    </w:p>
    <w:p>
      <w:pPr>
        <w:spacing w:after="0" w:line="23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Related Rights </w:t>
      </w:r>
      <w:r>
        <w:rPr>
          <w:rFonts w:ascii="Arial" w:cs="Arial" w:eastAsia="Arial" w:hAnsi="Arial"/>
          <w:sz w:val="22"/>
          <w:szCs w:val="22"/>
          <w:color w:val="auto"/>
        </w:rPr>
        <w:t>mean all moneys payable and any and all other accessory or other rights, benefits and proceeds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their assignability is not precluded by mandatory law) in respect of, or derived from, the Securities, whether present or future and whether by way of capital reduction, redemption, substitution, exchange, bonus or preference, conversion or otherwise, including Subscription Rights</w:t>
      </w:r>
      <w:r>
        <w:rPr>
          <w:rFonts w:ascii="Arial" w:cs="Arial" w:eastAsia="Arial" w:hAnsi="Arial"/>
          <w:sz w:val="22"/>
          <w:szCs w:val="22"/>
          <w:i w:val="1"/>
          <w:iCs w:val="1"/>
          <w:color w:val="auto"/>
        </w:rPr>
        <w:t>,</w:t>
      </w:r>
      <w:r>
        <w:rPr>
          <w:rFonts w:ascii="Arial" w:cs="Arial" w:eastAsia="Arial" w:hAnsi="Arial"/>
          <w:sz w:val="22"/>
          <w:szCs w:val="22"/>
          <w:color w:val="auto"/>
        </w:rPr>
        <w:t xml:space="preserve"> Dividends, option rights, liquidation proceeds upon liquidation of the issuer of the shares underlying the Securities, and Voting Rights.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w:t>
      </w:r>
      <w:r>
        <w:rPr>
          <w:rFonts w:ascii="Arial" w:cs="Arial" w:eastAsia="Arial" w:hAnsi="Arial"/>
          <w:sz w:val="22"/>
          <w:szCs w:val="22"/>
          <w:color w:val="auto"/>
        </w:rPr>
        <w:t>shall mean a section of this Security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Secured Obligations </w:t>
      </w:r>
      <w:r>
        <w:rPr>
          <w:rFonts w:ascii="Arial" w:cs="Arial" w:eastAsia="Arial" w:hAnsi="Arial"/>
          <w:sz w:val="22"/>
          <w:szCs w:val="22"/>
          <w:color w:val="auto"/>
        </w:rPr>
        <w:t>shall have the meaning as set forth in Section 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Securities </w:t>
      </w:r>
      <w:r>
        <w:rPr>
          <w:rFonts w:ascii="Arial" w:cs="Arial" w:eastAsia="Arial" w:hAnsi="Arial"/>
          <w:sz w:val="22"/>
          <w:szCs w:val="22"/>
          <w:color w:val="auto"/>
        </w:rPr>
        <w:t>shall have the meaning as set forth in Section 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Securities Account </w:t>
      </w:r>
      <w:r>
        <w:rPr>
          <w:rFonts w:ascii="Arial" w:cs="Arial" w:eastAsia="Arial" w:hAnsi="Arial"/>
          <w:sz w:val="22"/>
          <w:szCs w:val="22"/>
          <w:color w:val="auto"/>
        </w:rPr>
        <w:t>shall mean the Security Provider's securities account no. [***] held with the Custodian.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Security Agreement </w:t>
      </w:r>
      <w:r>
        <w:rPr>
          <w:rFonts w:ascii="Arial" w:cs="Arial" w:eastAsia="Arial" w:hAnsi="Arial"/>
          <w:sz w:val="22"/>
          <w:szCs w:val="22"/>
          <w:color w:val="auto"/>
        </w:rPr>
        <w:t>shall have the meaning as set forth in the Introduction.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Security Interest </w:t>
      </w:r>
      <w:r>
        <w:rPr>
          <w:rFonts w:ascii="Arial" w:cs="Arial" w:eastAsia="Arial" w:hAnsi="Arial"/>
          <w:sz w:val="22"/>
          <w:szCs w:val="22"/>
          <w:color w:val="auto"/>
        </w:rPr>
        <w:t>shall have the meaning as set forth in Section 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Security Provider </w:t>
      </w:r>
      <w:r>
        <w:rPr>
          <w:rFonts w:ascii="Arial" w:cs="Arial" w:eastAsia="Arial" w:hAnsi="Arial"/>
          <w:sz w:val="22"/>
          <w:szCs w:val="22"/>
          <w:color w:val="auto"/>
        </w:rPr>
        <w:t>shall have the meaning as set forth on the front page of this Security Agreement.</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841" w:right="339" w:bottom="1440" w:gutter="0" w:footer="0" w:header="0"/>
        </w:sectPr>
      </w:pPr>
    </w:p>
    <w:bookmarkStart w:id="15" w:name="page16"/>
    <w:bookmarkEnd w:id="15"/>
    <w:p>
      <w:pPr>
        <w:ind w:left="180"/>
        <w:spacing w:after="0" w:line="256" w:lineRule="auto"/>
        <w:rPr>
          <w:sz w:val="20"/>
          <w:szCs w:val="20"/>
          <w:color w:val="auto"/>
        </w:rPr>
      </w:pPr>
      <w:r>
        <w:rPr>
          <w:rFonts w:ascii="Arial" w:cs="Arial" w:eastAsia="Arial" w:hAnsi="Arial"/>
          <w:sz w:val="22"/>
          <w:szCs w:val="22"/>
          <w:b w:val="1"/>
          <w:bCs w:val="1"/>
          <w:color w:val="auto"/>
        </w:rPr>
        <w:t xml:space="preserve">Shares </w:t>
      </w:r>
      <w:r>
        <w:rPr>
          <w:rFonts w:ascii="Arial" w:cs="Arial" w:eastAsia="Arial" w:hAnsi="Arial"/>
          <w:sz w:val="22"/>
          <w:szCs w:val="22"/>
          <w:color w:val="auto"/>
        </w:rPr>
        <w:t>shall mean any kind of existing and future shares collectively in the relevant company and any additional shares upon</w:t>
      </w:r>
      <w:r>
        <w:rPr>
          <w:rFonts w:ascii="Arial" w:cs="Arial" w:eastAsia="Arial" w:hAnsi="Arial"/>
          <w:sz w:val="22"/>
          <w:szCs w:val="22"/>
          <w:b w:val="1"/>
          <w:bCs w:val="1"/>
          <w:color w:val="auto"/>
        </w:rPr>
        <w:t xml:space="preserve"> </w:t>
      </w:r>
      <w:r>
        <w:rPr>
          <w:rFonts w:ascii="Arial" w:cs="Arial" w:eastAsia="Arial" w:hAnsi="Arial"/>
          <w:sz w:val="22"/>
          <w:szCs w:val="22"/>
          <w:color w:val="auto"/>
        </w:rPr>
        <w:t>their accrual, offer or issue owned by the Security Provider.</w:t>
      </w:r>
    </w:p>
    <w:p>
      <w:pPr>
        <w:spacing w:after="0" w:line="189" w:lineRule="exact"/>
        <w:rPr>
          <w:sz w:val="20"/>
          <w:szCs w:val="20"/>
          <w:color w:val="auto"/>
        </w:rPr>
      </w:pPr>
    </w:p>
    <w:p>
      <w:pPr>
        <w:ind w:left="180"/>
        <w:spacing w:after="0" w:line="256" w:lineRule="auto"/>
        <w:rPr>
          <w:sz w:val="20"/>
          <w:szCs w:val="20"/>
          <w:color w:val="auto"/>
        </w:rPr>
      </w:pPr>
      <w:r>
        <w:rPr>
          <w:rFonts w:ascii="Arial" w:cs="Arial" w:eastAsia="Arial" w:hAnsi="Arial"/>
          <w:sz w:val="22"/>
          <w:szCs w:val="22"/>
          <w:b w:val="1"/>
          <w:bCs w:val="1"/>
          <w:color w:val="auto"/>
        </w:rPr>
        <w:t xml:space="preserve">Subscription Rights </w:t>
      </w:r>
      <w:r>
        <w:rPr>
          <w:rFonts w:ascii="Arial" w:cs="Arial" w:eastAsia="Arial" w:hAnsi="Arial"/>
          <w:sz w:val="22"/>
          <w:szCs w:val="22"/>
          <w:color w:val="auto"/>
        </w:rPr>
        <w:t>means the preemptive rights and the advance subscription right of a shareholder in relation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 xml:space="preserve">Voting Rights </w:t>
      </w:r>
      <w:r>
        <w:rPr>
          <w:rFonts w:ascii="Arial" w:cs="Arial" w:eastAsia="Arial" w:hAnsi="Arial"/>
          <w:sz w:val="21"/>
          <w:szCs w:val="21"/>
          <w:color w:val="auto"/>
        </w:rPr>
        <w:t>shall mean the voting rights and any other non-monetary participation rights in relation to the Securities.</w:t>
      </w:r>
    </w:p>
    <w:p>
      <w:pPr>
        <w:spacing w:after="0" w:line="200" w:lineRule="exact"/>
        <w:rPr>
          <w:sz w:val="20"/>
          <w:szCs w:val="20"/>
          <w:color w:val="auto"/>
        </w:rPr>
      </w:pPr>
    </w:p>
    <w:p>
      <w:pPr>
        <w:spacing w:after="0" w:line="2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References</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References to any agreement or document shall be construed as references to such agreements or documents as amended, supplemented or novated from time to time.</w:t>
      </w:r>
    </w:p>
    <w:p>
      <w:pPr>
        <w:spacing w:after="0" w:line="205"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Security Interest</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Object of Security</w:t>
      </w:r>
    </w:p>
    <w:p>
      <w:pPr>
        <w:spacing w:after="0" w:line="256" w:lineRule="exact"/>
        <w:rPr>
          <w:sz w:val="20"/>
          <w:szCs w:val="20"/>
          <w:color w:val="auto"/>
        </w:rPr>
      </w:pPr>
    </w:p>
    <w:p>
      <w:pPr>
        <w:jc w:val="both"/>
        <w:ind w:left="580" w:hanging="572"/>
        <w:spacing w:after="0" w:line="291"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Security Provider agrees to grant and grants to the Lender, subject to the terms of the Facility Agreement and in connection with the securities credited in the Securities Account, a first-ranking and continuing security according to article 25 FISA in (i) the securities as set forth in </w:t>
      </w:r>
      <w:r>
        <w:rPr>
          <w:rFonts w:ascii="Arial" w:cs="Arial" w:eastAsia="Arial" w:hAnsi="Arial"/>
          <w:sz w:val="16"/>
          <w:szCs w:val="16"/>
          <w:u w:val="single" w:color="auto"/>
          <w:color w:val="auto"/>
        </w:rPr>
        <w:t>Annex 2.1</w:t>
      </w:r>
    </w:p>
    <w:p>
      <w:pPr>
        <w:ind w:left="58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 Securities to be deposited into the Securities Account: hereto and such further securities credited to the Securities Account from time to time (the </w:t>
      </w:r>
      <w:r>
        <w:rPr>
          <w:rFonts w:ascii="Arial" w:cs="Arial" w:eastAsia="Arial" w:hAnsi="Arial"/>
          <w:sz w:val="18"/>
          <w:szCs w:val="18"/>
          <w:b w:val="1"/>
          <w:bCs w:val="1"/>
          <w:color w:val="auto"/>
        </w:rPr>
        <w:t>Securities</w:t>
      </w:r>
      <w:r>
        <w:rPr>
          <w:rFonts w:ascii="Arial" w:cs="Arial" w:eastAsia="Arial" w:hAnsi="Arial"/>
          <w:sz w:val="18"/>
          <w:szCs w:val="18"/>
          <w:color w:val="auto"/>
        </w:rPr>
        <w:t>) and (ii) the Related Rights (together the</w:t>
      </w:r>
      <w:r>
        <w:rPr>
          <w:rFonts w:ascii="Arial" w:cs="Arial" w:eastAsia="Arial" w:hAnsi="Arial"/>
          <w:sz w:val="18"/>
          <w:szCs w:val="18"/>
          <w:b w:val="1"/>
          <w:bCs w:val="1"/>
          <w:color w:val="auto"/>
        </w:rPr>
        <w:t xml:space="preserve"> Security Interest</w:t>
      </w:r>
      <w:r>
        <w:rPr>
          <w:rFonts w:ascii="Arial" w:cs="Arial" w:eastAsia="Arial" w:hAnsi="Arial"/>
          <w:sz w:val="18"/>
          <w:szCs w:val="18"/>
          <w:color w:val="auto"/>
        </w:rPr>
        <w:t>).</w:t>
      </w:r>
    </w:p>
    <w:p>
      <w:pPr>
        <w:spacing w:after="0" w:line="185"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any transfer following the realization of the Security Interest, legal title of the Securities and Related Rights remains with the Security Provider.</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Security Interest of the Lender rank in the first rank.</w:t>
      </w:r>
    </w:p>
    <w:p>
      <w:pPr>
        <w:spacing w:after="0" w:line="24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Secured Obligations</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Security Interest shall serve as a first-ranking and continuing security for the Lender for the payment and discharge of any and all present or future, conditional or unconditional claims and obligations which the Lender may have against the Borrower under the Facility Agreement or any other Finance Document, all of them as amended, varied, supplemented, novated or restated from time to time, including but not limited to all interest and commissions due or to become due thereon, as well as all costs, fees and expenses, including, but not limited to, court or reasonable out-of-court costs and reasonable attorney's expenses arising in connection therewith or with the protection, preservation, or realization of the Security Interest (the </w:t>
      </w:r>
      <w:r>
        <w:rPr>
          <w:rFonts w:ascii="Arial" w:cs="Arial" w:eastAsia="Arial" w:hAnsi="Arial"/>
          <w:sz w:val="19"/>
          <w:szCs w:val="19"/>
          <w:b w:val="1"/>
          <w:bCs w:val="1"/>
          <w:color w:val="auto"/>
        </w:rPr>
        <w:t>Secured Obligations</w:t>
      </w:r>
      <w:r>
        <w:rPr>
          <w:rFonts w:ascii="Arial" w:cs="Arial" w:eastAsia="Arial" w:hAnsi="Arial"/>
          <w:sz w:val="19"/>
          <w:szCs w:val="19"/>
          <w:color w:val="auto"/>
        </w:rPr>
        <w:t>), irrespective of any intermediate discharge of any but not all of the Secured Obligations.</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No Disposals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Security Provider is not permitted to substitute Securities or dispose of Securities.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 w:name="page17"/>
    <w:bookmarkEnd w:id="16"/>
    <w:p>
      <w:pPr>
        <w:spacing w:after="0"/>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Perfection</w:t>
      </w:r>
    </w:p>
    <w:p>
      <w:pPr>
        <w:spacing w:after="0" w:line="24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Security Interest is perfected by the execution of the Control Agreement by the Security Provider, the Lender, acting in its own name and in the name and on behalf of the Lender, and the Custodian.</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Instructions</w:t>
      </w:r>
    </w:p>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Subject to Section 4.3 below, as of the date of and for as long as this Security Agreement remains in effect, the Security Provider shall not be entitled to give any instructions to the Custodian in respect of the Securities, the Securities Account and the Related Rights and only the Lender shall be entitled to give such instructions in accordance with the terms of the Control Agreement.</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Until the occurrence of an Event of Default (as defined in the Facility Agreement) which is continuing, the Lender shall not be allowed to transfer the Securities credited to the Securities Account to any other account or to any third party without the Security Provider's prior consent.</w:t>
      </w:r>
    </w:p>
    <w:p>
      <w:pPr>
        <w:spacing w:after="0" w:line="216"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Additional Documents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Concurrently with the execution of this Security Agreement, the Security Provider shall deliver to the Lender:</w:t>
      </w:r>
    </w:p>
    <w:p>
      <w:pPr>
        <w:spacing w:after="0" w:line="240" w:lineRule="exact"/>
        <w:rPr>
          <w:sz w:val="20"/>
          <w:szCs w:val="20"/>
          <w:color w:val="auto"/>
        </w:rPr>
      </w:pPr>
    </w:p>
    <w:p>
      <w:pPr>
        <w:ind w:left="640" w:hanging="632"/>
        <w:spacing w:after="0" w:line="308"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copy of the necessary corporate resolutions or other corporate acts pursuant to the applicable law approving the Security Provider's entry into this Security Agreement, the Control Agreement and the granting of the Security Interest as provided in this Security Agreement;</w:t>
      </w:r>
    </w:p>
    <w:p>
      <w:pPr>
        <w:spacing w:after="0" w:line="173" w:lineRule="exact"/>
        <w:rPr>
          <w:rFonts w:ascii="Arial" w:cs="Arial" w:eastAsia="Arial" w:hAnsi="Arial"/>
          <w:sz w:val="17"/>
          <w:szCs w:val="17"/>
          <w:color w:val="auto"/>
        </w:rPr>
      </w:pPr>
    </w:p>
    <w:p>
      <w:pPr>
        <w:jc w:val="both"/>
        <w:ind w:left="640" w:hanging="632"/>
        <w:spacing w:after="0" w:line="263"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evidence that the Securities Account has been opened with the Custodian including bank account opening documentation (</w:t>
      </w:r>
      <w:r>
        <w:rPr>
          <w:rFonts w:ascii="Arial" w:cs="Arial" w:eastAsia="Arial" w:hAnsi="Arial"/>
          <w:sz w:val="18"/>
          <w:szCs w:val="18"/>
          <w:i w:val="1"/>
          <w:iCs w:val="1"/>
          <w:color w:val="auto"/>
        </w:rPr>
        <w:t>Kontoeröffnungsunterlagen</w:t>
      </w:r>
      <w:r>
        <w:rPr>
          <w:rFonts w:ascii="Arial" w:cs="Arial" w:eastAsia="Arial" w:hAnsi="Arial"/>
          <w:sz w:val="18"/>
          <w:szCs w:val="18"/>
          <w:color w:val="auto"/>
        </w:rPr>
        <w:t>) for the Securities Account, or in relation to a pre-existing Securities Account, confirmation by the Custodian that the Securities Account has not been terminated and remains open;</w:t>
      </w:r>
    </w:p>
    <w:p>
      <w:pPr>
        <w:spacing w:after="0" w:line="210" w:lineRule="exact"/>
        <w:rPr>
          <w:rFonts w:ascii="Arial" w:cs="Arial" w:eastAsia="Arial" w:hAnsi="Arial"/>
          <w:sz w:val="18"/>
          <w:szCs w:val="18"/>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copy of the Control Agreement duly executed by the Security Provider and the Custodian.</w:t>
      </w:r>
    </w:p>
    <w:p>
      <w:pPr>
        <w:spacing w:after="0" w:line="248"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Rights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5"/>
          <w:szCs w:val="15"/>
          <w:b w:val="1"/>
          <w:bCs w:val="1"/>
          <w:color w:val="auto"/>
        </w:rPr>
        <w:t>Subscription Rights</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Until the occurrence of an Event of Default which is continuing, any Subscription Rights shall remain with the Security Provider, provided, however, that a Security Interest pursuant to Section 2.1 shall be deemed to be created over all Shares and other rights and interests acquired by the Security Provider upon exercise of such Subscription Rights.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case the Security Provider does not intend to exercise the Subscription Rights, the Security Provider (i) shall transfer such Subscription Rights to the Lender or any affiliate of the Lender or nominee as directed by the Lender free of charge, and the Lender, such affiliate or nominee shall be entitled to exercise such Subscription Rights in their its own respective name but for the benefit of the Lender, and (ii) undertakes to do all acts and things and to permit all acts and things to be done which are necessary to enable the Lender, any affiliate of the Lender or any nominee to exercise or sell such Subscription Rights. Any Shares and other rights and interests acquired by the Lender, an affiliate of the Lender or a nominee upon exercise of the Subscription Rights shall be credited to the Securities Account and become subject to the Security Interest.</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7" w:name="page18"/>
    <w:bookmarkEnd w:id="17"/>
    <w:p>
      <w:pPr>
        <w:jc w:val="both"/>
        <w:spacing w:after="0"/>
        <w:rPr>
          <w:sz w:val="20"/>
          <w:szCs w:val="20"/>
          <w:color w:val="auto"/>
        </w:rPr>
      </w:pPr>
      <w:r>
        <w:rPr>
          <w:rFonts w:ascii="Arial" w:cs="Arial" w:eastAsia="Arial" w:hAnsi="Arial"/>
          <w:sz w:val="22"/>
          <w:szCs w:val="22"/>
          <w:color w:val="auto"/>
        </w:rPr>
        <w:t>The Security Provider shall notify the Lender promptly of any grant of Subscription Rights and undertakes to notify the Lender of any intention not to exercise Subscription Rights not less than ten (10) Business Days prior to expiration of the right to exercise such Subscription Rights.</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Upon the occurrence of an Event of Default which is continuing, any Subscription Rights shall directly fall to the benefit of the Lender and the Lender shall be entitled, but not obligated, to exercise, or to authorize any of its affiliates or a nominee to exercise, the Subscription Rights in its own name or in the name of such affiliate or nominee, but for the benefit of the Lender. Any Subscription Rights, or Shares and other rights and interests acquired by the Lender or its affiliate or nominee upon exercise of the Subscription Rights shall be credited to the Securities Account and become subject to the Security Interest pursuant to the terms of Section 8 below.</w:t>
      </w: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Dividends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Until the occurrence of an Event of Default which is continuing, the Security Provider shall be entitled to receive and freely use all Dividends.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Upon the occurrence of an Event of Default which is continuing, the Lender shall be entitled to receive and retain as pledged security all Dividends in relation to the Securities, including Dividends that were approved and became due but have not been paid out prior to the occurrence of an Event of Default which is continuing.</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Voting Rights</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long as no Event of Default has occurred which is continuing, all Voting Rights in the Securities shall remain with the Security Provider and the Security Provider shall remain entitled to give direct instructions to the Custodian as to the exercise of Voting Rights. The Security Provider shall exercise its Voting Rights related to the Securities in a manner consistent with the Facility Agreement and this Security Agreement and in a manner that will not (i) lead to deterioration in the value of, or the assets underlying the Securities, (ii) cause an Event of Default to occur.</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Upon or after the occurrence of an Event of Default which is continuing, the Security Provider shall no longer exercise its Voting Rights related to the Securities and give instructions to the Custodian as to the exercise of Voting Rights without the prior written consent of the Lender, and the Lender shall have the right to exercise the Voting Rights at its sole discretion, and for the avoidance of doubt, without notice to the Security Provider. For that purpose, the Security Provider shall promptly (i) execute any and all proxies in favor of the Lender and (ii) do all acts and things and permit all acts and things to be done which are necessary or expedient for the Lender to exercise the Voting Rights relating to the Securities.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Security Provider shall promptly forward copies to the Lender of all notices and resolutions received by the Security Provider in connection with the Securities.</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21"/>
          <w:szCs w:val="21"/>
          <w:color w:val="auto"/>
        </w:rPr>
        <w:t>The Lender shall not incur any liability whatsoever towards the Security Provider for damages caused to the Security Provider by the Lender exercising any or all of the Voting Rights at discretion of the Lender or the Lender not exercising some or all of the Voting Rights unless acting on willful misconduct (</w:t>
      </w:r>
      <w:r>
        <w:rPr>
          <w:rFonts w:ascii="Arial" w:cs="Arial" w:eastAsia="Arial" w:hAnsi="Arial"/>
          <w:sz w:val="21"/>
          <w:szCs w:val="21"/>
          <w:i w:val="1"/>
          <w:iCs w:val="1"/>
          <w:color w:val="auto"/>
        </w:rPr>
        <w:t>Absicht</w:t>
      </w:r>
      <w:r>
        <w:rPr>
          <w:rFonts w:ascii="Arial" w:cs="Arial" w:eastAsia="Arial" w:hAnsi="Arial"/>
          <w:sz w:val="21"/>
          <w:szCs w:val="21"/>
          <w:color w:val="auto"/>
        </w:rPr>
        <w:t>) or gross negligence (</w:t>
      </w:r>
      <w:r>
        <w:rPr>
          <w:rFonts w:ascii="Arial" w:cs="Arial" w:eastAsia="Arial" w:hAnsi="Arial"/>
          <w:sz w:val="21"/>
          <w:szCs w:val="21"/>
          <w:i w:val="1"/>
          <w:iCs w:val="1"/>
          <w:color w:val="auto"/>
        </w:rPr>
        <w:t>grobe Fahrlässigkeit</w:t>
      </w:r>
      <w:r>
        <w:rPr>
          <w:rFonts w:ascii="Arial" w:cs="Arial" w:eastAsia="Arial" w:hAnsi="Arial"/>
          <w:sz w:val="21"/>
          <w:szCs w:val="21"/>
          <w:color w:val="auto"/>
        </w:rPr>
        <w:t>).</w:t>
      </w:r>
    </w:p>
    <w:p>
      <w:pPr>
        <w:spacing w:after="0" w:line="199"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Security Provider hereby represents and warrants to the Lender that as of the date of this Security Agreement and for each day whilst this Security Agreement remains in effect and the obligations owed by it pursuant to the Facility Agreement and the Finance Documents remain outstanding:</w:t>
      </w:r>
    </w:p>
    <w:p>
      <w:pPr>
        <w:spacing w:after="0" w:line="220" w:lineRule="exact"/>
        <w:rPr>
          <w:sz w:val="20"/>
          <w:szCs w:val="20"/>
          <w:color w:val="auto"/>
        </w:rPr>
      </w:pPr>
    </w:p>
    <w:p>
      <w:pPr>
        <w:ind w:left="580" w:right="20" w:hanging="572"/>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Security Provider is duly incorporated and organized and validly existing under the laws of its jurisdiction of incorporation and has the full corporate power and authority to own and use its assets and properties and to conduct its business as presently conducted;</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Security Provider has the necessary power and authority to enable it to enter into, an perform its obligations under, this Security Agreement;</w:t>
      </w:r>
    </w:p>
    <w:p>
      <w:pPr>
        <w:spacing w:after="0" w:line="248" w:lineRule="exact"/>
        <w:rPr>
          <w:rFonts w:ascii="Arial" w:cs="Arial" w:eastAsia="Arial" w:hAnsi="Arial"/>
          <w:sz w:val="16"/>
          <w:szCs w:val="16"/>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Security Provider is neither insolvent nor subject to any composition or bankruptcy proceedings;</w:t>
      </w:r>
    </w:p>
    <w:p>
      <w:pPr>
        <w:spacing w:after="0" w:line="225"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consents, approvals and authorizations have been duly obtained and corporate resolutions duly passed to enable the Security Provider to enter into, and perform its obligations under, this Security Agreement, and the validity and enforceability of this Agreement or any obligations of the Security Provider thereunder is not subject to any restriction of kind, consent or other (legal or non-legal) requirement or condition that has not been satisfied;</w:t>
      </w:r>
    </w:p>
    <w:p>
      <w:pPr>
        <w:spacing w:after="0" w:line="186"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Security Agreement (i) constitutes legal and valid obligations binding on the Security Provider, (ii) creates (together with the Control Agreement) an effective and perfected first-ranking continuing security over the Securities and the respective Related Rights, and (iii) is enforceable against the Security Provider in accordance with its terms;</w:t>
      </w:r>
    </w:p>
    <w:p>
      <w:pPr>
        <w:spacing w:after="0" w:line="183"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no agreements between the Security Provider and any third party whatsoever relating to the Securities and the respective Related Rights that are opposed to the obligations of the Security Provider and the rights of the Lender and the Lender under this Security Agreement or the realization or the proceeds of enforcement of the Securities and the respective Related Rights;</w:t>
      </w:r>
    </w:p>
    <w:p>
      <w:pPr>
        <w:spacing w:after="0" w:line="183"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documents referred to in Sections 3(b) and 3(c) are accurate, complete and up-to-date;</w:t>
      </w:r>
    </w:p>
    <w:p>
      <w:pPr>
        <w:spacing w:after="0" w:line="22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resolutions and|or corporate acts referred to in Section 3(a) have been duly passed in meetings duly convened, accurately reflect the resolutions and other matters reflected therein and are in full force and effect and have not been revoked or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9" w:name="page20"/>
    <w:bookmarkEnd w:id="19"/>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Security Provider disposes over its own professional treasury services and is a qualified investor in the sense of FISA;</w:t>
      </w:r>
    </w:p>
    <w:p>
      <w:pPr>
        <w:spacing w:after="0" w:line="225" w:lineRule="exact"/>
        <w:rPr>
          <w:rFonts w:ascii="Arial" w:cs="Arial" w:eastAsia="Arial" w:hAnsi="Arial"/>
          <w:sz w:val="18"/>
          <w:szCs w:val="18"/>
          <w:color w:val="auto"/>
        </w:rPr>
      </w:pPr>
    </w:p>
    <w:p>
      <w:pPr>
        <w:jc w:val="both"/>
        <w:ind w:left="580" w:hanging="572"/>
        <w:spacing w:after="0" w:line="279"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the Security Provider is the sole legal and beneficial owner of the Securities and the Related Rights and the Securities and the Related Rights are free and clear of any security interest, pledges, liens, encumbrance, or other interests or third party right of any nature (whether </w:t>
      </w:r>
      <w:r>
        <w:rPr>
          <w:rFonts w:ascii="Arial" w:cs="Arial" w:eastAsia="Arial" w:hAnsi="Arial"/>
          <w:sz w:val="17"/>
          <w:szCs w:val="17"/>
          <w:i w:val="1"/>
          <w:iCs w:val="1"/>
          <w:color w:val="auto"/>
        </w:rPr>
        <w:t>in rem</w:t>
      </w:r>
      <w:r>
        <w:rPr>
          <w:rFonts w:ascii="Arial" w:cs="Arial" w:eastAsia="Arial" w:hAnsi="Arial"/>
          <w:sz w:val="17"/>
          <w:szCs w:val="17"/>
          <w:color w:val="auto"/>
        </w:rPr>
        <w:t xml:space="preserve"> or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personam</w:t>
      </w:r>
      <w:r>
        <w:rPr>
          <w:rFonts w:ascii="Arial" w:cs="Arial" w:eastAsia="Arial" w:hAnsi="Arial"/>
          <w:sz w:val="17"/>
          <w:szCs w:val="17"/>
          <w:color w:val="auto"/>
        </w:rPr>
        <w:t>), including any option or purchase rights, except as explicitly otherwise stated or provided for in this Security Agreement, and neither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nor the Related Rights are subject to any proceedings, controversy, dispute or litigation with or claim by any third party;</w:t>
      </w:r>
    </w:p>
    <w:p>
      <w:pPr>
        <w:spacing w:after="0" w:line="171"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Security Provider has not assigned, transferred or otherwise disposed of any of its rights, title and interest in the Securities and the Related Rights;</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Securities are fully fungible, credited to the Securities Account, listed on a regulated exchange and transferable by way of instruction to the account keeping bank or securities dealer and crediting to the transferee's securities account;</w:t>
      </w:r>
    </w:p>
    <w:p>
      <w:pPr>
        <w:spacing w:after="0" w:line="170" w:lineRule="exact"/>
        <w:rPr>
          <w:rFonts w:ascii="Arial" w:cs="Arial" w:eastAsia="Arial" w:hAnsi="Arial"/>
          <w:sz w:val="18"/>
          <w:szCs w:val="18"/>
          <w:color w:val="auto"/>
        </w:rPr>
      </w:pPr>
    </w:p>
    <w:p>
      <w:pPr>
        <w:ind w:left="580" w:hanging="572"/>
        <w:spacing w:after="0" w:line="342"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execution and delivery of, and performance of its obligations under, this Security Agreement by the Security Provider has been duly authorized by all necessary corporate action on behalf of the Security Provider and is not in breach of the corporate powers of the Security Provider;</w:t>
      </w:r>
    </w:p>
    <w:p>
      <w:pPr>
        <w:spacing w:after="0" w:line="123" w:lineRule="exact"/>
        <w:rPr>
          <w:rFonts w:ascii="Arial" w:cs="Arial" w:eastAsia="Arial" w:hAnsi="Arial"/>
          <w:sz w:val="16"/>
          <w:szCs w:val="16"/>
          <w:color w:val="auto"/>
        </w:rPr>
      </w:pPr>
    </w:p>
    <w:p>
      <w:pPr>
        <w:jc w:val="both"/>
        <w:ind w:left="580" w:hanging="572"/>
        <w:spacing w:after="0" w:line="301"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execution of, and performance of its obligations under this Security Agreement by the Security Provider does not contravene or violate any Swiss or foreign law, authorization or order applicable to the Security Provider, or conflict with, result in a breach of the terms and provisions of, or constitute a default or require any consent under, any material agreement to which the Security Provider is a party or by which it is bound which would have material adverse effect or result in the creation of imposition of the Security Interest other than permitted herein; and</w:t>
      </w:r>
    </w:p>
    <w:p>
      <w:pPr>
        <w:spacing w:after="0" w:line="157" w:lineRule="exact"/>
        <w:rPr>
          <w:rFonts w:ascii="Arial" w:cs="Arial" w:eastAsia="Arial" w:hAnsi="Arial"/>
          <w:sz w:val="16"/>
          <w:szCs w:val="16"/>
          <w:color w:val="auto"/>
        </w:rPr>
      </w:pPr>
    </w:p>
    <w:p>
      <w:pPr>
        <w:jc w:val="both"/>
        <w:ind w:left="580" w:hanging="572"/>
        <w:spacing w:after="0" w:line="263"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agreements relating to the Securities have been made, and no shareholders' meeting or board meeting of the Security Provider has been held, is called for or planned in which resolutions were, or are proposed to be, passed or approved which could negatively affect the Security Interest or any other right or discretion of the Security Agent or the of the Lender under this Security Agreement.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These representations and warranties are deemed to be repeated by the Security Provider on each date on which the Repeating Representations are repeated under the Facility Agreement, in each case with reference to the facts and circumstances then existing.</w:t>
      </w:r>
    </w:p>
    <w:p>
      <w:pPr>
        <w:spacing w:after="0" w:line="216"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Further Covenants of the Security Provider</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Except in accordance with the terms of the Facility Agreement, the Security Provider hereby undertakes for as long as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Security Interest remains in effect:</w:t>
      </w:r>
    </w:p>
    <w:p>
      <w:pPr>
        <w:spacing w:after="0" w:line="222"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to cause or approve the board resolutions or corporate actions referred to in Section 3(a) to be revoked or amended;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0" w:name="page21"/>
    <w:bookmarkEnd w:id="20"/>
    <w:p>
      <w:pPr>
        <w:ind w:left="58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consent that the Custodian provides the Lender with a statement of account concerning the Securities Account on a regular basis, and not to close the Securities Account, except with the prior written consent of the Lender;</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take all action required to constitute a valid and binding first-ranking continuing security over the Securities pursuant to the terms of this Security Agreement;</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to enter into any legal instrument relating to, or granting any lien, encumbrance, or other interest or third party right over, or dispose of, or assign the Securities or take any other action with respect to the Securities, including the exercise of any Voting Rights;</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promptly execute such further documents and do such further acts which the Lender or any Lender may reasonably require in connection with the creation, perfection, protection, maintenance or realization of the Security Interest;</w:t>
      </w:r>
    </w:p>
    <w:p>
      <w:pPr>
        <w:spacing w:after="0" w:line="170"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procure that the Securities and the respective Related Rights remain free and clear of any security interest, lien, pledge, mortgage, charge, assignment, hypothecation encumbrance, or other interest or third party right of any nature, except for the Security Interest created under this Security Agreement;</w:t>
      </w:r>
    </w:p>
    <w:p>
      <w:pPr>
        <w:spacing w:after="0" w:line="18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enter into and to procure the perfection of additional security agreements with regard to the Securities and the Related Rights, if and to the extent that, as a matter of law, the execution and perfection of a specific agreement is required to create and maintain a valid Security Interest in any of the Securities and the Related Rights and to the extent that pursuant to the Facility Agreement a relevant security interest must be created, including, but not limited, to cases where any or all Securities cease to qualify as intermediated securities under FISA and the execution of a pledge or other new security agreement is required in order to create a security interest in respect of such assets;</w:t>
      </w:r>
    </w:p>
    <w:p>
      <w:pPr>
        <w:spacing w:after="0" w:line="176" w:lineRule="exact"/>
        <w:rPr>
          <w:rFonts w:ascii="Arial" w:cs="Arial" w:eastAsia="Arial" w:hAnsi="Arial"/>
          <w:sz w:val="17"/>
          <w:szCs w:val="17"/>
          <w:color w:val="auto"/>
        </w:rPr>
      </w:pPr>
    </w:p>
    <w:p>
      <w:pPr>
        <w:jc w:val="both"/>
        <w:ind w:left="580" w:right="20" w:hanging="572"/>
        <w:spacing w:after="0" w:line="263"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case of the realization of the Security Interest to do all acts and things necessary, and to procure that all acts and things be done to properly effect any transfer of the Securities or the Related Rights to a new owner, free of any security interest, lien, encumbrance or other interest or third party right of any nature in any of the Securities or the Related Rights so transferred;</w:t>
      </w:r>
    </w:p>
    <w:p>
      <w:pPr>
        <w:spacing w:after="0" w:line="183"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give its consent that the Custodian provides the Lender with a statement of account concerning the Securities Account on a regular basis; and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procure that the Custodian acts in accordance with the Control Agreement and follows the instructions of the Lender.</w:t>
      </w:r>
    </w:p>
    <w:p>
      <w:pPr>
        <w:spacing w:after="0" w:line="248"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Realization of Security Interest</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event that an Event of Default has occurred which is continuing, the Lender has the right, but not the obligation, to realize, without giving notice to the Security Provider (provided, however, that the Lender shall use reasonable endeavors to inform the Security Provider of any exercise of its rights under this Section 6 prior to or after such exercise), the Security Interest, at its discretion either by:</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1" w:name="page22"/>
    <w:bookmarkEnd w:id="21"/>
    <w:p>
      <w:pPr>
        <w:ind w:left="580" w:hanging="572"/>
        <w:spacing w:after="0" w:line="308"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private enforcement (</w:t>
      </w:r>
      <w:r>
        <w:rPr>
          <w:rFonts w:ascii="Arial" w:cs="Arial" w:eastAsia="Arial" w:hAnsi="Arial"/>
          <w:sz w:val="17"/>
          <w:szCs w:val="17"/>
          <w:i w:val="1"/>
          <w:iCs w:val="1"/>
          <w:color w:val="auto"/>
        </w:rPr>
        <w:t>Private Verwertung</w:t>
      </w:r>
      <w:r>
        <w:rPr>
          <w:rFonts w:ascii="Arial" w:cs="Arial" w:eastAsia="Arial" w:hAnsi="Arial"/>
          <w:sz w:val="17"/>
          <w:szCs w:val="17"/>
          <w:color w:val="auto"/>
        </w:rPr>
        <w:t>) in accordance with Art. 31 FISA, including, but not limited to, acquisition of the Securities for the Lender's account (</w:t>
      </w:r>
      <w:r>
        <w:rPr>
          <w:rFonts w:ascii="Arial" w:cs="Arial" w:eastAsia="Arial" w:hAnsi="Arial"/>
          <w:sz w:val="17"/>
          <w:szCs w:val="17"/>
          <w:i w:val="1"/>
          <w:iCs w:val="1"/>
          <w:color w:val="auto"/>
        </w:rPr>
        <w:t>Selbsteintritt</w:t>
      </w:r>
      <w:r>
        <w:rPr>
          <w:rFonts w:ascii="Arial" w:cs="Arial" w:eastAsia="Arial" w:hAnsi="Arial"/>
          <w:sz w:val="17"/>
          <w:szCs w:val="17"/>
          <w:color w:val="auto"/>
        </w:rPr>
        <w:t xml:space="preserve">), irrespective of whether or not the Securities are traded on a representative market </w:t>
      </w:r>
      <w:r>
        <w:rPr>
          <w:rFonts w:ascii="Arial" w:cs="Arial" w:eastAsia="Arial" w:hAnsi="Arial"/>
          <w:sz w:val="17"/>
          <w:szCs w:val="17"/>
          <w:i w:val="1"/>
          <w:iCs w:val="1"/>
          <w:color w:val="auto"/>
        </w:rPr>
        <w:t>(repräsentativer Markt)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enforcement proceedings pursuant to the DEBA; and|or</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enforcement proceedings pursuant to other applicable laws.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With regard to private enforcement (</w:t>
      </w:r>
      <w:r>
        <w:rPr>
          <w:rFonts w:ascii="Arial" w:cs="Arial" w:eastAsia="Arial" w:hAnsi="Arial"/>
          <w:sz w:val="22"/>
          <w:szCs w:val="22"/>
          <w:i w:val="1"/>
          <w:iCs w:val="1"/>
          <w:color w:val="auto"/>
        </w:rPr>
        <w:t>Private Verwertung</w:t>
      </w:r>
      <w:r>
        <w:rPr>
          <w:rFonts w:ascii="Arial" w:cs="Arial" w:eastAsia="Arial" w:hAnsi="Arial"/>
          <w:sz w:val="22"/>
          <w:szCs w:val="22"/>
          <w:color w:val="auto"/>
        </w:rPr>
        <w:t>), the Security Provider hereby authorizes the Lender to act as its attorney and, in the Security Provider's name and on its behalf to execute, deliver and perfect all documents and to do all things that are required or expedient in this respect.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Parties agree in advance that a sale according to article 130 DEBA (</w:t>
      </w:r>
      <w:r>
        <w:rPr>
          <w:rFonts w:ascii="Arial" w:cs="Arial" w:eastAsia="Arial" w:hAnsi="Arial"/>
          <w:sz w:val="22"/>
          <w:szCs w:val="22"/>
          <w:i w:val="1"/>
          <w:iCs w:val="1"/>
          <w:color w:val="auto"/>
        </w:rPr>
        <w:t>Freihandverkauf)</w:t>
      </w:r>
      <w:r>
        <w:rPr>
          <w:rFonts w:ascii="Arial" w:cs="Arial" w:eastAsia="Arial" w:hAnsi="Arial"/>
          <w:sz w:val="22"/>
          <w:szCs w:val="22"/>
          <w:color w:val="auto"/>
        </w:rPr>
        <w:t xml:space="preserve"> shall be admissible.</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Notwithstanding the foregoing and notwithstanding the provision of article 41 DEBA, if applicable, the Lender shall be at liberty to institute or pursue ordinary enforcement proceedings for the recovery of debt without having first realized the Security Interest or institute proceedings for the realization of the Security Interest (waiver of the </w:t>
      </w:r>
      <w:r>
        <w:rPr>
          <w:rFonts w:ascii="Arial" w:cs="Arial" w:eastAsia="Arial" w:hAnsi="Arial"/>
          <w:sz w:val="19"/>
          <w:szCs w:val="19"/>
          <w:i w:val="1"/>
          <w:iCs w:val="1"/>
          <w:color w:val="auto"/>
        </w:rPr>
        <w:t>beneficium excussionis realis</w:t>
      </w:r>
      <w:r>
        <w:rPr>
          <w:rFonts w:ascii="Arial" w:cs="Arial" w:eastAsia="Arial" w:hAnsi="Arial"/>
          <w:sz w:val="19"/>
          <w:szCs w:val="19"/>
          <w:color w:val="auto"/>
        </w:rPr>
        <w:t>).</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 failure on the part of the Lender to exercise, or delay on their part in exercising, any right under this Security Agreement shall operate as a waiver thereof, nor shall any single or partial exercise of a right under this Security Agreement preclude any further or other exercise of that or any other such right.</w:t>
      </w:r>
    </w:p>
    <w:p>
      <w:pPr>
        <w:spacing w:after="0" w:line="216"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Proceeds</w:t>
      </w:r>
    </w:p>
    <w:p>
      <w:pPr>
        <w:spacing w:after="0" w:line="24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Any proceeds received by the Lender under this Security Agreement, in particular in connection with the enforcement of the Securities or the Related Rights, shall be applied to the Secured Obligations in accordance with the Facility Agreement.</w:t>
      </w:r>
    </w:p>
    <w:p>
      <w:pPr>
        <w:spacing w:after="0" w:line="135"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Securities and Related Rights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Securities and Related Rights or, in case of realization of some but not all of the Securities and Related Rights, the remainder thereof, shall be released by the Lender from the Security Interest if and when all Secured Obligations (other than any contingent obligations not then due and payable) have been irrevocably paid and discharged in full in accordance with the terms of the Facility Agreement or the other Finance Documents and no further Secured Obligations are capable of arising, and for that purpose the Lender shall immediately take all actions to terminate the Control Agreement.</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Upon request by the Security Provider, the Lender shall provide the Security Provider with a certificate confirming full satisfaction of the Secured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Any costs in relation to the release of the Securities and Related Rights shall be borne by the Security Provider.</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2" w:name="page23"/>
    <w:bookmarkEnd w:id="22"/>
    <w:p>
      <w:pPr>
        <w:spacing w:after="0" w:line="250" w:lineRule="auto"/>
        <w:rPr>
          <w:sz w:val="20"/>
          <w:szCs w:val="20"/>
          <w:color w:val="auto"/>
        </w:rPr>
      </w:pPr>
      <w:r>
        <w:rPr>
          <w:rFonts w:ascii="Arial" w:cs="Arial" w:eastAsia="Arial" w:hAnsi="Arial"/>
          <w:sz w:val="22"/>
          <w:szCs w:val="22"/>
          <w:color w:val="auto"/>
        </w:rPr>
        <w:t>The Lender will not, and shall not be deemed to have made, any representation or warranty, whether express or implied, with respect to any Securities and Related Rights released.</w:t>
      </w:r>
    </w:p>
    <w:p>
      <w:pPr>
        <w:spacing w:after="0" w:line="205"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Reinstatement</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Where any discharge in respect of the Secured Obligations is made, in whole or in part, and any amount paid pursuant to any such discharge must be repaid, the Lender will have or continue to have a Secured Obligation and, in case the Securities and Related Rights have been released from the Security Interest, the Security Provider shall undertake all actions that are necessary for the reinstatement of such Security Interest. In particular, the Security Provider shall, if necessary for the perfection of the Security Interest, enter into an agreement with the Custodian which in form and content corresponds to the Control Agreement. Such reinstatement shall, to the extent required, include a reinstatement of this Security Agreement and the Security Interest shall continue as if there had been no discharge.</w:t>
      </w:r>
    </w:p>
    <w:p>
      <w:pPr>
        <w:spacing w:after="0" w:line="214"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Security Provider shall hold any of the Lender harmless of, and indemnify each Lender against, any losses, damages, claims, costs or expenses (including legal fees) which any of the Lender may suffer in connection with (i) a breach of any representation, warranty or undertaking contained in this Security Agreement, and|or (ii) the enforcement of the Security Interest, unless the respective Lender acts in willful misconduct (</w:t>
      </w:r>
      <w:r>
        <w:rPr>
          <w:rFonts w:ascii="Arial" w:cs="Arial" w:eastAsia="Arial" w:hAnsi="Arial"/>
          <w:sz w:val="19"/>
          <w:szCs w:val="19"/>
          <w:i w:val="1"/>
          <w:iCs w:val="1"/>
          <w:color w:val="auto"/>
        </w:rPr>
        <w:t>Absicht</w:t>
      </w:r>
      <w:r>
        <w:rPr>
          <w:rFonts w:ascii="Arial" w:cs="Arial" w:eastAsia="Arial" w:hAnsi="Arial"/>
          <w:sz w:val="19"/>
          <w:szCs w:val="19"/>
          <w:color w:val="auto"/>
        </w:rPr>
        <w:t>) or gross negligence (</w:t>
      </w:r>
      <w:r>
        <w:rPr>
          <w:rFonts w:ascii="Arial" w:cs="Arial" w:eastAsia="Arial" w:hAnsi="Arial"/>
          <w:sz w:val="19"/>
          <w:szCs w:val="19"/>
          <w:i w:val="1"/>
          <w:iCs w:val="1"/>
          <w:color w:val="auto"/>
        </w:rPr>
        <w:t>grobe Fahrlässigkeit</w:t>
      </w:r>
      <w:r>
        <w:rPr>
          <w:rFonts w:ascii="Arial" w:cs="Arial" w:eastAsia="Arial" w:hAnsi="Arial"/>
          <w:sz w:val="19"/>
          <w:szCs w:val="19"/>
          <w:color w:val="auto"/>
        </w:rPr>
        <w:t>).</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Parties acknowledge that the Lender shall be entitled to indemnification in accordance with the terms of the Facility Agreement, in particular, clause 14 (</w:t>
      </w:r>
      <w:r>
        <w:rPr>
          <w:rFonts w:ascii="Arial" w:cs="Arial" w:eastAsia="Arial" w:hAnsi="Arial"/>
          <w:sz w:val="22"/>
          <w:szCs w:val="22"/>
          <w:i w:val="1"/>
          <w:iCs w:val="1"/>
          <w:color w:val="auto"/>
        </w:rPr>
        <w:t>Other indemnities</w:t>
      </w:r>
      <w:r>
        <w:rPr>
          <w:rFonts w:ascii="Arial" w:cs="Arial" w:eastAsia="Arial" w:hAnsi="Arial"/>
          <w:sz w:val="22"/>
          <w:szCs w:val="22"/>
          <w:color w:val="auto"/>
        </w:rPr>
        <w:t>) of the Facility Agreement. There shall be no additional indemnification obligations of the Security Provider under this Agreement.</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Lender shall not be liable for any loss or damage suffered by the Security Provider save in respect of such loss or damage which is suffered as a result of the willful misconduct (</w:t>
      </w:r>
      <w:r>
        <w:rPr>
          <w:rFonts w:ascii="Arial" w:cs="Arial" w:eastAsia="Arial" w:hAnsi="Arial"/>
          <w:sz w:val="22"/>
          <w:szCs w:val="22"/>
          <w:i w:val="1"/>
          <w:iCs w:val="1"/>
          <w:color w:val="auto"/>
        </w:rPr>
        <w:t>Absicht</w:t>
      </w:r>
      <w:r>
        <w:rPr>
          <w:rFonts w:ascii="Arial" w:cs="Arial" w:eastAsia="Arial" w:hAnsi="Arial"/>
          <w:sz w:val="22"/>
          <w:szCs w:val="22"/>
          <w:color w:val="auto"/>
        </w:rPr>
        <w:t>) or gross negligence (</w:t>
      </w:r>
      <w:r>
        <w:rPr>
          <w:rFonts w:ascii="Arial" w:cs="Arial" w:eastAsia="Arial" w:hAnsi="Arial"/>
          <w:sz w:val="22"/>
          <w:szCs w:val="22"/>
          <w:i w:val="1"/>
          <w:iCs w:val="1"/>
          <w:color w:val="auto"/>
        </w:rPr>
        <w:t>grobe Fahrlässigkeit</w:t>
      </w:r>
      <w:r>
        <w:rPr>
          <w:rFonts w:ascii="Arial" w:cs="Arial" w:eastAsia="Arial" w:hAnsi="Arial"/>
          <w:sz w:val="22"/>
          <w:szCs w:val="22"/>
          <w:color w:val="auto"/>
        </w:rPr>
        <w:t>) of the Lender or any other Lender. In such case, only the respective Party acting in willful misconduct (</w:t>
      </w:r>
      <w:r>
        <w:rPr>
          <w:rFonts w:ascii="Arial" w:cs="Arial" w:eastAsia="Arial" w:hAnsi="Arial"/>
          <w:sz w:val="22"/>
          <w:szCs w:val="22"/>
          <w:i w:val="1"/>
          <w:iCs w:val="1"/>
          <w:color w:val="auto"/>
        </w:rPr>
        <w:t>Absicht</w:t>
      </w:r>
      <w:r>
        <w:rPr>
          <w:rFonts w:ascii="Arial" w:cs="Arial" w:eastAsia="Arial" w:hAnsi="Arial"/>
          <w:sz w:val="22"/>
          <w:szCs w:val="22"/>
          <w:color w:val="auto"/>
        </w:rPr>
        <w:t>) or gross negligence (</w:t>
      </w:r>
      <w:r>
        <w:rPr>
          <w:rFonts w:ascii="Arial" w:cs="Arial" w:eastAsia="Arial" w:hAnsi="Arial"/>
          <w:sz w:val="22"/>
          <w:szCs w:val="22"/>
          <w:i w:val="1"/>
          <w:iCs w:val="1"/>
          <w:color w:val="auto"/>
        </w:rPr>
        <w:t>grobe</w:t>
      </w:r>
      <w:r>
        <w:rPr>
          <w:rFonts w:ascii="Arial" w:cs="Arial" w:eastAsia="Arial" w:hAnsi="Arial"/>
          <w:sz w:val="22"/>
          <w:szCs w:val="22"/>
          <w:color w:val="auto"/>
        </w:rPr>
        <w:t xml:space="preserve"> </w:t>
      </w:r>
      <w:r>
        <w:rPr>
          <w:rFonts w:ascii="Arial" w:cs="Arial" w:eastAsia="Arial" w:hAnsi="Arial"/>
          <w:sz w:val="22"/>
          <w:szCs w:val="22"/>
          <w:i w:val="1"/>
          <w:iCs w:val="1"/>
          <w:color w:val="auto"/>
        </w:rPr>
        <w:t>Fahrlässigkeit</w:t>
      </w:r>
      <w:r>
        <w:rPr>
          <w:rFonts w:ascii="Arial" w:cs="Arial" w:eastAsia="Arial" w:hAnsi="Arial"/>
          <w:sz w:val="22"/>
          <w:szCs w:val="22"/>
          <w:color w:val="auto"/>
        </w:rPr>
        <w:t>) shall be liable.</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Notwithstanding anything to the contrary herein, any liability of each of the Lender or any other Lender towards the Security Provider under this Security Agreement shall not be joint and several (</w:t>
      </w:r>
      <w:r>
        <w:rPr>
          <w:rFonts w:ascii="Arial" w:cs="Arial" w:eastAsia="Arial" w:hAnsi="Arial"/>
          <w:sz w:val="19"/>
          <w:szCs w:val="19"/>
          <w:i w:val="1"/>
          <w:iCs w:val="1"/>
          <w:color w:val="auto"/>
        </w:rPr>
        <w:t>nicht solidarisch</w:t>
      </w:r>
      <w:r>
        <w:rPr>
          <w:rFonts w:ascii="Arial" w:cs="Arial" w:eastAsia="Arial" w:hAnsi="Arial"/>
          <w:sz w:val="19"/>
          <w:szCs w:val="19"/>
          <w:color w:val="auto"/>
        </w:rPr>
        <w:t>) but separate and independent.</w:t>
      </w:r>
    </w:p>
    <w:p>
      <w:pPr>
        <w:spacing w:after="0" w:line="135"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Bank Secrecy Waiver</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Security Provider explicitly authorizes the Lender to request from the Custodian and the Custodian to provide the Lender and|or the other Lender with, any data regarding the Securities Account, the Securities and the Related Rights and the Security Provider hereby explicitly waives its banking secrecy and data protection rights in this regard.</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3" w:name="page24"/>
    <w:bookmarkEnd w:id="23"/>
    <w:p>
      <w:pPr>
        <w:ind w:left="640" w:hanging="632"/>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 by the Security Provider</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Security Provider, at its own expense, shall promptly do all things and execute all documents that are required or useful for the purpose of creating or perfecting or protecting the security created or pupated to be created pursuant to this Security Agreement, or otherwise implementing this Security Agreement including enabling the Lender to exercise its rights and remedies hereunder and facilitating the realization of the security on and after of an Event of Default which is continuing.</w:t>
      </w:r>
    </w:p>
    <w:p>
      <w:pPr>
        <w:spacing w:after="0" w:line="173"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14.1    Miscellaneous</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 failure or delay by the Parties in exercising any right, power or privilege granted under this Security Agreement shall operate as a waiver thereof nor shall any single or partial exercise of any right, power or privilege preclude any other or further exercise thereof or the exercise of any other right, power or privilege.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color w:val="auto"/>
        </w:rPr>
        <w:t>Taxes, Costs, Expenses</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All taxes, costs and expenses (including but not limited to legal, audit, valuation and notarial fees, registration fees and translation costs) arising out of or in connection with (i) the negotiation, preparation and execution of this Security Agreement and any related documents (including any amendments thereof and any release of security) and (ii) the perfection, maintenance, protection and enforcement of the Security Interest or the exercise of the Lender' rights granted under this Security Agreement, or any related document shall be borne by the Security Provider.</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Notices</w:t>
      </w:r>
    </w:p>
    <w:p>
      <w:pPr>
        <w:spacing w:after="0" w:line="24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All notices or other communications to be given under or in connection with this Security Agreement shall be made pursuant to and in accordance with the relevant form of the Facility Agreement, in particular clause 29 (</w:t>
      </w:r>
      <w:r>
        <w:rPr>
          <w:rFonts w:ascii="Arial" w:cs="Arial" w:eastAsia="Arial" w:hAnsi="Arial"/>
          <w:sz w:val="19"/>
          <w:szCs w:val="19"/>
          <w:i w:val="1"/>
          <w:iCs w:val="1"/>
          <w:color w:val="auto"/>
        </w:rPr>
        <w:t>Notices</w:t>
      </w:r>
      <w:r>
        <w:rPr>
          <w:rFonts w:ascii="Arial" w:cs="Arial" w:eastAsia="Arial" w:hAnsi="Arial"/>
          <w:sz w:val="19"/>
          <w:szCs w:val="19"/>
          <w:color w:val="auto"/>
        </w:rPr>
        <w:t>) of the Facility Agreement.</w:t>
      </w:r>
    </w:p>
    <w:p>
      <w:pPr>
        <w:spacing w:after="0" w:line="13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Entire Agreement</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Security Agreement, including the Annex, the Control Agreement and any other documents referred to herein, constitute the entire agreement and understanding among the Parties with respect to the Security Interest, and shall supersede all prior oral and written agreements or understandings of the Parties relating to the Security Interest and the Securities. All references to this Security Agreement shall be deemed to include the Annex hereto.</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Amendments and Waivers</w:t>
      </w:r>
    </w:p>
    <w:p>
      <w:pPr>
        <w:spacing w:after="0" w:line="249"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This Security Agreement may only be modified or amended by a document signed by all Parties. Any provision contained in this Security Agreement may only be waived by a document signed by the Party waiving such provision.</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4" w:name="page25"/>
    <w:bookmarkEnd w:id="24"/>
    <w:p>
      <w:pPr>
        <w:spacing w:after="0"/>
        <w:tabs>
          <w:tab w:leader="none" w:pos="62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Transfer of Rights and Obligations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Security Provider may not transfer or assign this Security Agreement or any rights or obligations hereunder without prior written consent of the Lender.</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Lender may transfer and assign this Security Agreement or any rights or obligations hereunder without the consent of the Security Provider or any other person to any third party in case of an assignment of any or all the Lender's rights or obligations under the Facility Agreement to such third party.</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Severability</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Should any part or provision of this Security Agreement be held to be invalid or unenforceable by any competent arbitral tribunal, court, governmental or administrative authority having jurisdiction, the other provisions of this Security Agreement shall nonetheless remain valid. In this case, the Parties shall endeavor to negotiate a substitute provision that best reflects the economic intentions of the Parties without being unenforceable, and shall execute all agreements and documents required in this connection.</w:t>
      </w:r>
    </w:p>
    <w:p>
      <w:pPr>
        <w:spacing w:after="0" w:line="217" w:lineRule="exact"/>
        <w:rPr>
          <w:sz w:val="20"/>
          <w:szCs w:val="20"/>
          <w:color w:val="auto"/>
        </w:rPr>
      </w:pPr>
    </w:p>
    <w:p>
      <w:pPr>
        <w:ind w:right="8100" w:firstLine="8"/>
        <w:spacing w:after="0" w:line="530" w:lineRule="auto"/>
        <w:tabs>
          <w:tab w:leader="none" w:pos="63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 15.1 Governing Law</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Security Agreement and the Security Interest (including all matters of its creation and perfection) shall be governed by and construed in accordance with the laws of Switzerland , excluding Swiss conflict of laws rules.</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Place of Jurisdiction</w:t>
      </w:r>
    </w:p>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All disputes arising out of or in connection with this Security Agreement, including disputes on its conclusion, binding effect, amendment and termination, shall be resolved exclusively by the courts of the city of Zurich, venue being Zurich 1. Where the law permits, the Commercial Court of Zurich (</w:t>
      </w:r>
      <w:r>
        <w:rPr>
          <w:rFonts w:ascii="Arial" w:cs="Arial" w:eastAsia="Arial" w:hAnsi="Arial"/>
          <w:sz w:val="19"/>
          <w:szCs w:val="19"/>
          <w:i w:val="1"/>
          <w:iCs w:val="1"/>
          <w:color w:val="auto"/>
        </w:rPr>
        <w:t>Handelsgericht des Kantons Zürich</w:t>
      </w:r>
      <w:r>
        <w:rPr>
          <w:rFonts w:ascii="Arial" w:cs="Arial" w:eastAsia="Arial" w:hAnsi="Arial"/>
          <w:sz w:val="19"/>
          <w:szCs w:val="19"/>
          <w:color w:val="auto"/>
        </w:rPr>
        <w:t>) shall have exclusive matter jurisdictions.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on next page]</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Blenheim Holdings Ltd.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Athanasios Thanopoulos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72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37255" cy="17145"/>
                    </a:xfrm>
                    <a:prstGeom prst="rect">
                      <a:avLst/>
                    </a:prstGeom>
                    <a:noFill/>
                  </pic:spPr>
                </pic:pic>
              </a:graphicData>
            </a:graphic>
          </wp:anchor>
        </w:drawing>
      </w:r>
    </w:p>
    <w:p>
      <w:pPr>
        <w:spacing w:after="0" w:line="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Athanasios Thanopoulos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Function:Attorney In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Citibank, N.A., London Branch</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Vassilios Maroulis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372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37255" cy="17145"/>
                    </a:xfrm>
                    <a:prstGeom prst="rect">
                      <a:avLst/>
                    </a:prstGeom>
                    <a:noFill/>
                  </pic:spPr>
                </pic:pic>
              </a:graphicData>
            </a:graphic>
          </wp:anchor>
        </w:drawing>
      </w:r>
    </w:p>
    <w:p>
      <w:pPr>
        <w:spacing w:after="0" w:line="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Vassilios Maroulis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Function:Authorised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16/16</w:t>
      </w:r>
    </w:p>
    <w:p>
      <w:pPr>
        <w:sectPr>
          <w:pgSz w:w="11900" w:h="16838" w:orient="portrait"/>
          <w:cols w:equalWidth="0" w:num="1">
            <w:col w:w="11240"/>
          </w:cols>
          <w:pgMar w:left="320" w:top="1093"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b w:val="1"/>
          <w:bCs w:val="1"/>
          <w:color w:val="auto"/>
        </w:rPr>
        <w:t>Exhibit 2</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Credit Suisse (Schweiz) AG</w:t>
      </w:r>
    </w:p>
    <w:p>
      <w:pPr>
        <w:jc w:val="right"/>
        <w:spacing w:after="0"/>
        <w:rPr>
          <w:sz w:val="20"/>
          <w:szCs w:val="20"/>
          <w:color w:val="auto"/>
        </w:rPr>
      </w:pPr>
      <w:r>
        <w:rPr>
          <w:rFonts w:ascii="Arial" w:cs="Arial" w:eastAsia="Arial" w:hAnsi="Arial"/>
          <w:sz w:val="14"/>
          <w:szCs w:val="14"/>
          <w:color w:val="auto"/>
        </w:rPr>
        <w:t>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990600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580"/>
        <w:spacing w:after="0"/>
        <w:rPr>
          <w:sz w:val="20"/>
          <w:szCs w:val="20"/>
          <w:color w:val="auto"/>
        </w:rPr>
      </w:pPr>
      <w:r>
        <w:rPr>
          <w:rFonts w:ascii="Arial" w:cs="Arial" w:eastAsia="Arial" w:hAnsi="Arial"/>
          <w:sz w:val="32"/>
          <w:szCs w:val="32"/>
          <w:b w:val="1"/>
          <w:bCs w:val="1"/>
          <w:color w:val="auto"/>
        </w:rPr>
        <w:t>CONTROL AGREEMENT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60"/>
        <w:spacing w:after="0"/>
        <w:rPr>
          <w:sz w:val="20"/>
          <w:szCs w:val="20"/>
          <w:color w:val="auto"/>
        </w:rPr>
      </w:pPr>
      <w:r>
        <w:rPr>
          <w:rFonts w:ascii="Arial" w:cs="Arial" w:eastAsia="Arial" w:hAnsi="Arial"/>
          <w:sz w:val="32"/>
          <w:szCs w:val="32"/>
          <w:color w:val="auto"/>
        </w:rPr>
        <w:t>Regarding the Security Agreement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40"/>
        <w:spacing w:after="0"/>
        <w:rPr>
          <w:sz w:val="20"/>
          <w:szCs w:val="20"/>
          <w:color w:val="auto"/>
        </w:rPr>
      </w:pPr>
      <w:r>
        <w:rPr>
          <w:rFonts w:ascii="Arial" w:cs="Arial" w:eastAsia="Arial" w:hAnsi="Arial"/>
          <w:sz w:val="32"/>
          <w:szCs w:val="32"/>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747395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60" w:hanging="952"/>
        <w:spacing w:after="0"/>
        <w:tabs>
          <w:tab w:leader="none" w:pos="9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Blenheim Holdings Ltd.</w:t>
      </w:r>
    </w:p>
    <w:p>
      <w:pPr>
        <w:spacing w:after="0" w:line="229" w:lineRule="exact"/>
        <w:rPr>
          <w:rFonts w:ascii="Arial" w:cs="Arial" w:eastAsia="Arial" w:hAnsi="Arial"/>
          <w:sz w:val="18"/>
          <w:szCs w:val="18"/>
          <w:b w:val="1"/>
          <w:bCs w:val="1"/>
          <w:color w:val="auto"/>
        </w:rPr>
      </w:pPr>
    </w:p>
    <w:p>
      <w:pPr>
        <w:ind w:left="960"/>
        <w:spacing w:after="0"/>
        <w:rPr>
          <w:rFonts w:ascii="Arial" w:cs="Arial" w:eastAsia="Arial" w:hAnsi="Arial"/>
          <w:sz w:val="18"/>
          <w:szCs w:val="18"/>
          <w:b w:val="1"/>
          <w:bCs w:val="1"/>
          <w:color w:val="auto"/>
        </w:rPr>
      </w:pPr>
      <w:r>
        <w:rPr>
          <w:rFonts w:ascii="Arial" w:cs="Arial" w:eastAsia="Arial" w:hAnsi="Arial"/>
          <w:sz w:val="18"/>
          <w:szCs w:val="18"/>
          <w:color w:val="auto"/>
        </w:rPr>
        <w:t>Clarendon House, 2 Church Street, Hamilton HM 11, Bermuda</w:t>
      </w:r>
    </w:p>
    <w:p>
      <w:pPr>
        <w:spacing w:after="0" w:line="239" w:lineRule="exact"/>
        <w:rPr>
          <w:sz w:val="20"/>
          <w:szCs w:val="20"/>
          <w:color w:val="auto"/>
        </w:rPr>
      </w:pPr>
    </w:p>
    <w:p>
      <w:pPr>
        <w:ind w:left="9140"/>
        <w:spacing w:after="0"/>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Security Provider</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60" w:hanging="952"/>
        <w:spacing w:after="0"/>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w:t>
      </w:r>
    </w:p>
    <w:p>
      <w:pPr>
        <w:spacing w:after="0" w:line="229" w:lineRule="exact"/>
        <w:rPr>
          <w:rFonts w:ascii="Arial" w:cs="Arial" w:eastAsia="Arial" w:hAnsi="Arial"/>
          <w:sz w:val="18"/>
          <w:szCs w:val="18"/>
          <w:b w:val="1"/>
          <w:bCs w:val="1"/>
          <w:color w:val="auto"/>
        </w:rPr>
      </w:pPr>
    </w:p>
    <w:p>
      <w:pPr>
        <w:ind w:left="960"/>
        <w:spacing w:after="0"/>
        <w:rPr>
          <w:rFonts w:ascii="Arial" w:cs="Arial" w:eastAsia="Arial" w:hAnsi="Arial"/>
          <w:sz w:val="18"/>
          <w:szCs w:val="18"/>
          <w:b w:val="1"/>
          <w:bCs w:val="1"/>
          <w:color w:val="auto"/>
        </w:rPr>
      </w:pPr>
      <w:r>
        <w:rPr>
          <w:rFonts w:ascii="Arial" w:cs="Arial" w:eastAsia="Arial" w:hAnsi="Arial"/>
          <w:sz w:val="18"/>
          <w:szCs w:val="18"/>
          <w:color w:val="auto"/>
        </w:rPr>
        <w:t>Citigroup Centre, 33 Canada Square, Canary Wharf, London E14 5LB, United Kingdom</w:t>
      </w:r>
    </w:p>
    <w:p>
      <w:pPr>
        <w:spacing w:after="0" w:line="239" w:lineRule="exact"/>
        <w:rPr>
          <w:sz w:val="20"/>
          <w:szCs w:val="20"/>
          <w:color w:val="auto"/>
        </w:rPr>
      </w:pPr>
    </w:p>
    <w:p>
      <w:pPr>
        <w:ind w:left="9460"/>
        <w:spacing w:after="0"/>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Secured Party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Page 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40" w:hanging="932"/>
        <w:spacing w:after="0"/>
        <w:tabs>
          <w:tab w:leader="none" w:pos="9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Credit Suisse (Schweiz) AG</w:t>
      </w:r>
    </w:p>
    <w:p>
      <w:pPr>
        <w:spacing w:after="0" w:line="229"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color w:val="auto"/>
        </w:rPr>
        <w:t>Paradeplatz 8, P.O. Box 500, 8070 Zurich, Switzerland</w:t>
      </w:r>
    </w:p>
    <w:p>
      <w:pPr>
        <w:spacing w:after="0" w:line="239" w:lineRule="exact"/>
        <w:rPr>
          <w:sz w:val="20"/>
          <w:szCs w:val="20"/>
          <w:color w:val="auto"/>
        </w:rPr>
      </w:pPr>
    </w:p>
    <w:p>
      <w:pPr>
        <w:ind w:left="9820"/>
        <w:spacing w:after="0"/>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Custodian</w:t>
      </w:r>
      <w:r>
        <w:rPr>
          <w:rFonts w:ascii="Arial" w:cs="Arial" w:eastAsia="Arial" w:hAnsi="Arial"/>
          <w:sz w:val="19"/>
          <w:szCs w:val="19"/>
          <w:color w:val="auto"/>
        </w:rPr>
        <w:t>)</w:t>
      </w:r>
    </w:p>
    <w:p>
      <w:pPr>
        <w:spacing w:after="0" w:line="268"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 xml:space="preserve">(the Security Provider, the Custodian and the Secured Party collectively the </w:t>
      </w:r>
      <w:r>
        <w:rPr>
          <w:rFonts w:ascii="Arial" w:cs="Arial" w:eastAsia="Arial" w:hAnsi="Arial"/>
          <w:sz w:val="19"/>
          <w:szCs w:val="19"/>
          <w:b w:val="1"/>
          <w:bCs w:val="1"/>
          <w:color w:val="auto"/>
        </w:rPr>
        <w:t>Parties</w:t>
      </w:r>
      <w:r>
        <w:rPr>
          <w:rFonts w:ascii="Arial" w:cs="Arial" w:eastAsia="Arial" w:hAnsi="Arial"/>
          <w:sz w:val="19"/>
          <w:szCs w:val="19"/>
          <w:color w:val="auto"/>
        </w:rPr>
        <w:t xml:space="preserve"> and each individually a </w:t>
      </w:r>
      <w:r>
        <w:rPr>
          <w:rFonts w:ascii="Arial" w:cs="Arial" w:eastAsia="Arial" w:hAnsi="Arial"/>
          <w:sz w:val="19"/>
          <w:szCs w:val="19"/>
          <w:b w:val="1"/>
          <w:bCs w:val="1"/>
          <w:color w:val="auto"/>
        </w:rPr>
        <w:t>Party</w:t>
      </w:r>
      <w:r>
        <w:rPr>
          <w:rFonts w:ascii="Arial" w:cs="Arial" w:eastAsia="Arial" w:hAnsi="Arial"/>
          <w:sz w:val="19"/>
          <w:szCs w:val="19"/>
          <w:color w:val="auto"/>
        </w:rPr>
        <w:t>)</w:t>
      </w:r>
    </w:p>
    <w:p>
      <w:pPr>
        <w:spacing w:after="0" w:line="222"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Page 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22"/>
                <w:szCs w:val="22"/>
                <w:color w:val="auto"/>
              </w:rPr>
              <w:t>Credit Suisse (Schweiz) AG</w:t>
            </w:r>
          </w:p>
        </w:tc>
      </w:tr>
      <w:tr>
        <w:trPr>
          <w:trHeight w:val="274"/>
        </w:trPr>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4160" w:type="dxa"/>
            <w:vAlign w:val="bottom"/>
          </w:tcPr>
          <w:p>
            <w:pPr>
              <w:jc w:val="right"/>
              <w:spacing w:after="0"/>
              <w:rPr>
                <w:sz w:val="20"/>
                <w:szCs w:val="20"/>
                <w:color w:val="auto"/>
              </w:rPr>
            </w:pPr>
            <w:r>
              <w:rPr>
                <w:rFonts w:ascii="Arial" w:cs="Arial" w:eastAsia="Arial" w:hAnsi="Arial"/>
                <w:sz w:val="22"/>
                <w:szCs w:val="22"/>
                <w:color w:val="auto"/>
              </w:rPr>
              <w:t>Control Agreement</w:t>
            </w:r>
          </w:p>
        </w:tc>
      </w:tr>
      <w:tr>
        <w:trPr>
          <w:trHeight w:val="905"/>
        </w:trPr>
        <w:tc>
          <w:tcPr>
            <w:tcW w:w="400" w:type="dxa"/>
            <w:vAlign w:val="bottom"/>
          </w:tcPr>
          <w:p>
            <w:pPr>
              <w:spacing w:after="0"/>
              <w:rPr>
                <w:sz w:val="24"/>
                <w:szCs w:val="24"/>
                <w:color w:val="auto"/>
              </w:rPr>
            </w:pPr>
          </w:p>
        </w:tc>
        <w:tc>
          <w:tcPr>
            <w:tcW w:w="6680" w:type="dxa"/>
            <w:vAlign w:val="bottom"/>
            <w:gridSpan w:val="2"/>
          </w:tcPr>
          <w:p>
            <w:pPr>
              <w:ind w:left="180"/>
              <w:spacing w:after="0"/>
              <w:rPr>
                <w:sz w:val="20"/>
                <w:szCs w:val="20"/>
                <w:color w:val="auto"/>
              </w:rPr>
            </w:pPr>
            <w:r>
              <w:rPr>
                <w:rFonts w:ascii="Arial" w:cs="Arial" w:eastAsia="Arial" w:hAnsi="Arial"/>
                <w:sz w:val="22"/>
                <w:szCs w:val="22"/>
                <w:b w:val="1"/>
                <w:bCs w:val="1"/>
                <w:color w:val="auto"/>
              </w:rPr>
              <w:t>Table of Contents</w:t>
            </w:r>
          </w:p>
        </w:tc>
        <w:tc>
          <w:tcPr>
            <w:tcW w:w="4160" w:type="dxa"/>
            <w:vAlign w:val="bottom"/>
          </w:tcPr>
          <w:p>
            <w:pPr>
              <w:spacing w:after="0"/>
              <w:rPr>
                <w:sz w:val="24"/>
                <w:szCs w:val="24"/>
                <w:color w:val="auto"/>
              </w:rPr>
            </w:pPr>
          </w:p>
        </w:tc>
      </w:tr>
      <w:tr>
        <w:trPr>
          <w:trHeight w:val="422"/>
        </w:trPr>
        <w:tc>
          <w:tcPr>
            <w:tcW w:w="400" w:type="dxa"/>
            <w:vAlign w:val="bottom"/>
          </w:tcPr>
          <w:p>
            <w:pPr>
              <w:spacing w:after="0"/>
              <w:rPr>
                <w:sz w:val="20"/>
                <w:szCs w:val="20"/>
                <w:color w:val="auto"/>
              </w:rPr>
            </w:pPr>
            <w:r>
              <w:rPr>
                <w:rFonts w:ascii="Arial" w:cs="Arial" w:eastAsia="Arial" w:hAnsi="Arial"/>
                <w:sz w:val="18"/>
                <w:szCs w:val="18"/>
                <w:b w:val="1"/>
                <w:bCs w:val="1"/>
                <w:color w:val="auto"/>
              </w:rPr>
              <w:t>1.</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Definitions and References</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32"/>
        </w:trPr>
        <w:tc>
          <w:tcPr>
            <w:tcW w:w="40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1.1</w:t>
            </w:r>
          </w:p>
        </w:tc>
        <w:tc>
          <w:tcPr>
            <w:tcW w:w="5940" w:type="dxa"/>
            <w:vAlign w:val="bottom"/>
          </w:tcPr>
          <w:p>
            <w:pPr>
              <w:spacing w:after="0"/>
              <w:rPr>
                <w:sz w:val="20"/>
                <w:szCs w:val="20"/>
                <w:color w:val="auto"/>
              </w:rPr>
            </w:pPr>
            <w:r>
              <w:rPr>
                <w:rFonts w:ascii="Arial" w:cs="Arial" w:eastAsia="Arial" w:hAnsi="Arial"/>
                <w:sz w:val="18"/>
                <w:szCs w:val="18"/>
                <w:color w:val="auto"/>
              </w:rPr>
              <w:t>Definitions</w:t>
            </w:r>
          </w:p>
        </w:tc>
        <w:tc>
          <w:tcPr>
            <w:tcW w:w="4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40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1.2</w:t>
            </w:r>
          </w:p>
        </w:tc>
        <w:tc>
          <w:tcPr>
            <w:tcW w:w="5940" w:type="dxa"/>
            <w:vAlign w:val="bottom"/>
          </w:tcPr>
          <w:p>
            <w:pPr>
              <w:spacing w:after="0"/>
              <w:rPr>
                <w:sz w:val="20"/>
                <w:szCs w:val="20"/>
                <w:color w:val="auto"/>
              </w:rPr>
            </w:pPr>
            <w:r>
              <w:rPr>
                <w:rFonts w:ascii="Arial" w:cs="Arial" w:eastAsia="Arial" w:hAnsi="Arial"/>
                <w:sz w:val="18"/>
                <w:szCs w:val="18"/>
                <w:color w:val="auto"/>
              </w:rPr>
              <w:t>Construction</w:t>
            </w:r>
          </w:p>
        </w:tc>
        <w:tc>
          <w:tcPr>
            <w:tcW w:w="4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0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1.3</w:t>
            </w:r>
          </w:p>
        </w:tc>
        <w:tc>
          <w:tcPr>
            <w:tcW w:w="5940" w:type="dxa"/>
            <w:vAlign w:val="bottom"/>
          </w:tcPr>
          <w:p>
            <w:pPr>
              <w:spacing w:after="0"/>
              <w:rPr>
                <w:sz w:val="20"/>
                <w:szCs w:val="20"/>
                <w:color w:val="auto"/>
              </w:rPr>
            </w:pPr>
            <w:r>
              <w:rPr>
                <w:rFonts w:ascii="Arial" w:cs="Arial" w:eastAsia="Arial" w:hAnsi="Arial"/>
                <w:sz w:val="18"/>
                <w:szCs w:val="18"/>
                <w:color w:val="auto"/>
              </w:rPr>
              <w:t>References</w:t>
            </w:r>
          </w:p>
        </w:tc>
        <w:tc>
          <w:tcPr>
            <w:tcW w:w="4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2.</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Perfection of the Security Interest</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Notification of the Security Interest</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Absence of other Control Agreement and Pending Instructions</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Irrevocable Instruction of the Custodian</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Transfer Instructions</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7.</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No Right of Delivery</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8.</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Rights and Duties of the Custodian</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9.</w:t>
            </w: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w w:val="91"/>
              </w:rPr>
              <w:t>Waiver</w:t>
            </w:r>
          </w:p>
        </w:tc>
        <w:tc>
          <w:tcPr>
            <w:tcW w:w="5940" w:type="dxa"/>
            <w:vAlign w:val="bottom"/>
          </w:tcPr>
          <w:p>
            <w:pPr>
              <w:spacing w:after="0"/>
              <w:rPr>
                <w:sz w:val="24"/>
                <w:szCs w:val="24"/>
                <w:color w:val="auto"/>
              </w:rPr>
            </w:pP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Representations and warranties</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Undertakings</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Fees/Costs</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13.</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Role of the Custodian</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14.</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Indemnity</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15.</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Duration, Termination</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Bank Secrecy Waiver</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17.</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Further Assurances by the Security Provider</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18.</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General Provisions</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32"/>
        </w:trPr>
        <w:tc>
          <w:tcPr>
            <w:tcW w:w="40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18.1</w:t>
            </w:r>
          </w:p>
        </w:tc>
        <w:tc>
          <w:tcPr>
            <w:tcW w:w="5940" w:type="dxa"/>
            <w:vAlign w:val="bottom"/>
          </w:tcPr>
          <w:p>
            <w:pPr>
              <w:spacing w:after="0"/>
              <w:rPr>
                <w:sz w:val="20"/>
                <w:szCs w:val="20"/>
                <w:color w:val="auto"/>
              </w:rPr>
            </w:pPr>
            <w:r>
              <w:rPr>
                <w:rFonts w:ascii="Arial" w:cs="Arial" w:eastAsia="Arial" w:hAnsi="Arial"/>
                <w:sz w:val="18"/>
                <w:szCs w:val="18"/>
                <w:color w:val="auto"/>
              </w:rPr>
              <w:t>No Waiver</w:t>
            </w:r>
          </w:p>
        </w:tc>
        <w:tc>
          <w:tcPr>
            <w:tcW w:w="4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40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18.2</w:t>
            </w:r>
          </w:p>
        </w:tc>
        <w:tc>
          <w:tcPr>
            <w:tcW w:w="5940" w:type="dxa"/>
            <w:vAlign w:val="bottom"/>
          </w:tcPr>
          <w:p>
            <w:pPr>
              <w:spacing w:after="0"/>
              <w:rPr>
                <w:sz w:val="20"/>
                <w:szCs w:val="20"/>
                <w:color w:val="auto"/>
              </w:rPr>
            </w:pPr>
            <w:r>
              <w:rPr>
                <w:rFonts w:ascii="Arial" w:cs="Arial" w:eastAsia="Arial" w:hAnsi="Arial"/>
                <w:sz w:val="18"/>
                <w:szCs w:val="18"/>
                <w:color w:val="auto"/>
              </w:rPr>
              <w:t>Taxes, Costs, Expenses</w:t>
            </w:r>
          </w:p>
        </w:tc>
        <w:tc>
          <w:tcPr>
            <w:tcW w:w="4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40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18.3</w:t>
            </w:r>
          </w:p>
        </w:tc>
        <w:tc>
          <w:tcPr>
            <w:tcW w:w="5940" w:type="dxa"/>
            <w:vAlign w:val="bottom"/>
          </w:tcPr>
          <w:p>
            <w:pPr>
              <w:spacing w:after="0"/>
              <w:rPr>
                <w:sz w:val="20"/>
                <w:szCs w:val="20"/>
                <w:color w:val="auto"/>
              </w:rPr>
            </w:pPr>
            <w:r>
              <w:rPr>
                <w:rFonts w:ascii="Arial" w:cs="Arial" w:eastAsia="Arial" w:hAnsi="Arial"/>
                <w:sz w:val="18"/>
                <w:szCs w:val="18"/>
                <w:color w:val="auto"/>
              </w:rPr>
              <w:t>Notices</w:t>
            </w:r>
          </w:p>
        </w:tc>
        <w:tc>
          <w:tcPr>
            <w:tcW w:w="41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13"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Page 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5020" w:type="dxa"/>
            <w:vAlign w:val="bottom"/>
          </w:tcPr>
          <w:p>
            <w:pPr>
              <w:jc w:val="right"/>
              <w:spacing w:after="0"/>
              <w:rPr>
                <w:sz w:val="20"/>
                <w:szCs w:val="20"/>
                <w:color w:val="auto"/>
              </w:rPr>
            </w:pPr>
            <w:r>
              <w:rPr>
                <w:rFonts w:ascii="Arial" w:cs="Arial" w:eastAsia="Arial" w:hAnsi="Arial"/>
                <w:sz w:val="22"/>
                <w:szCs w:val="22"/>
                <w:color w:val="auto"/>
              </w:rPr>
              <w:t>Credit Suisse (Schweiz) AG</w:t>
            </w:r>
          </w:p>
        </w:tc>
      </w:tr>
      <w:tr>
        <w:trPr>
          <w:trHeight w:val="274"/>
        </w:trPr>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5020" w:type="dxa"/>
            <w:vAlign w:val="bottom"/>
          </w:tcPr>
          <w:p>
            <w:pPr>
              <w:jc w:val="right"/>
              <w:spacing w:after="0"/>
              <w:rPr>
                <w:sz w:val="20"/>
                <w:szCs w:val="20"/>
                <w:color w:val="auto"/>
              </w:rPr>
            </w:pPr>
            <w:r>
              <w:rPr>
                <w:rFonts w:ascii="Arial" w:cs="Arial" w:eastAsia="Arial" w:hAnsi="Arial"/>
                <w:sz w:val="22"/>
                <w:szCs w:val="22"/>
                <w:color w:val="auto"/>
              </w:rPr>
              <w:t>Control Agreement</w:t>
            </w:r>
          </w:p>
        </w:tc>
      </w:tr>
      <w:tr>
        <w:trPr>
          <w:trHeight w:val="868"/>
        </w:trPr>
        <w:tc>
          <w:tcPr>
            <w:tcW w:w="4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18.4</w:t>
            </w:r>
          </w:p>
        </w:tc>
        <w:tc>
          <w:tcPr>
            <w:tcW w:w="520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5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4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18.5</w:t>
            </w:r>
          </w:p>
        </w:tc>
        <w:tc>
          <w:tcPr>
            <w:tcW w:w="5200" w:type="dxa"/>
            <w:vAlign w:val="bottom"/>
          </w:tcPr>
          <w:p>
            <w:pPr>
              <w:ind w:left="120"/>
              <w:spacing w:after="0"/>
              <w:rPr>
                <w:sz w:val="20"/>
                <w:szCs w:val="20"/>
                <w:color w:val="auto"/>
              </w:rPr>
            </w:pPr>
            <w:r>
              <w:rPr>
                <w:rFonts w:ascii="Arial" w:cs="Arial" w:eastAsia="Arial" w:hAnsi="Arial"/>
                <w:sz w:val="18"/>
                <w:szCs w:val="18"/>
                <w:color w:val="auto"/>
              </w:rPr>
              <w:t>Amendments and Waivers</w:t>
            </w:r>
          </w:p>
        </w:tc>
        <w:tc>
          <w:tcPr>
            <w:tcW w:w="5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4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18.6</w:t>
            </w:r>
          </w:p>
        </w:tc>
        <w:tc>
          <w:tcPr>
            <w:tcW w:w="5200" w:type="dxa"/>
            <w:vAlign w:val="bottom"/>
          </w:tcPr>
          <w:p>
            <w:pPr>
              <w:ind w:left="120"/>
              <w:spacing w:after="0"/>
              <w:rPr>
                <w:sz w:val="20"/>
                <w:szCs w:val="20"/>
                <w:color w:val="auto"/>
              </w:rPr>
            </w:pPr>
            <w:r>
              <w:rPr>
                <w:rFonts w:ascii="Arial" w:cs="Arial" w:eastAsia="Arial" w:hAnsi="Arial"/>
                <w:sz w:val="18"/>
                <w:szCs w:val="18"/>
                <w:color w:val="auto"/>
              </w:rPr>
              <w:t>Transfer of Rights and Obligations</w:t>
            </w:r>
          </w:p>
        </w:tc>
        <w:tc>
          <w:tcPr>
            <w:tcW w:w="5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4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18.7</w:t>
            </w:r>
          </w:p>
        </w:tc>
        <w:tc>
          <w:tcPr>
            <w:tcW w:w="520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5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19.</w:t>
            </w:r>
          </w:p>
        </w:tc>
        <w:tc>
          <w:tcPr>
            <w:tcW w:w="5820" w:type="dxa"/>
            <w:vAlign w:val="bottom"/>
            <w:gridSpan w:val="2"/>
          </w:tcPr>
          <w:p>
            <w:pPr>
              <w:ind w:left="180"/>
              <w:spacing w:after="0"/>
              <w:rPr>
                <w:sz w:val="20"/>
                <w:szCs w:val="20"/>
                <w:color w:val="auto"/>
              </w:rPr>
            </w:pPr>
            <w:r>
              <w:rPr>
                <w:rFonts w:ascii="Arial" w:cs="Arial" w:eastAsia="Arial" w:hAnsi="Arial"/>
                <w:sz w:val="18"/>
                <w:szCs w:val="18"/>
                <w:b w:val="1"/>
                <w:bCs w:val="1"/>
                <w:color w:val="auto"/>
              </w:rPr>
              <w:t>Governing Law and Jurisdiction</w:t>
            </w:r>
          </w:p>
        </w:tc>
        <w:tc>
          <w:tcPr>
            <w:tcW w:w="50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432"/>
        </w:trPr>
        <w:tc>
          <w:tcPr>
            <w:tcW w:w="4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19.1</w:t>
            </w:r>
          </w:p>
        </w:tc>
        <w:tc>
          <w:tcPr>
            <w:tcW w:w="520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5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4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19.2</w:t>
            </w:r>
          </w:p>
        </w:tc>
        <w:tc>
          <w:tcPr>
            <w:tcW w:w="5200" w:type="dxa"/>
            <w:vAlign w:val="bottom"/>
          </w:tcPr>
          <w:p>
            <w:pPr>
              <w:ind w:left="120"/>
              <w:spacing w:after="0"/>
              <w:rPr>
                <w:sz w:val="20"/>
                <w:szCs w:val="20"/>
                <w:color w:val="auto"/>
              </w:rPr>
            </w:pPr>
            <w:r>
              <w:rPr>
                <w:rFonts w:ascii="Arial" w:cs="Arial" w:eastAsia="Arial" w:hAnsi="Arial"/>
                <w:sz w:val="18"/>
                <w:szCs w:val="18"/>
                <w:color w:val="auto"/>
              </w:rPr>
              <w:t>Place of Jurisdiction</w:t>
            </w:r>
          </w:p>
        </w:tc>
        <w:tc>
          <w:tcPr>
            <w:tcW w:w="5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20.</w:t>
            </w:r>
          </w:p>
        </w:tc>
        <w:tc>
          <w:tcPr>
            <w:tcW w:w="5820" w:type="dxa"/>
            <w:vAlign w:val="bottom"/>
            <w:gridSpan w:val="2"/>
          </w:tcPr>
          <w:p>
            <w:pPr>
              <w:ind w:left="180"/>
              <w:spacing w:after="0"/>
              <w:rPr>
                <w:sz w:val="20"/>
                <w:szCs w:val="20"/>
                <w:color w:val="auto"/>
              </w:rPr>
            </w:pPr>
            <w:r>
              <w:rPr>
                <w:rFonts w:ascii="Arial" w:cs="Arial" w:eastAsia="Arial" w:hAnsi="Arial"/>
                <w:sz w:val="18"/>
                <w:szCs w:val="18"/>
                <w:b w:val="1"/>
                <w:bCs w:val="1"/>
                <w:color w:val="auto"/>
              </w:rPr>
              <w:t>Counterparts</w:t>
            </w:r>
          </w:p>
        </w:tc>
        <w:tc>
          <w:tcPr>
            <w:tcW w:w="50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459"/>
        </w:trPr>
        <w:tc>
          <w:tcPr>
            <w:tcW w:w="1020" w:type="dxa"/>
            <w:vAlign w:val="bottom"/>
            <w:gridSpan w:val="2"/>
          </w:tcPr>
          <w:p>
            <w:pPr>
              <w:spacing w:after="0"/>
              <w:rPr>
                <w:sz w:val="20"/>
                <w:szCs w:val="20"/>
                <w:color w:val="auto"/>
              </w:rPr>
            </w:pPr>
            <w:r>
              <w:rPr>
                <w:rFonts w:ascii="Arial" w:cs="Arial" w:eastAsia="Arial" w:hAnsi="Arial"/>
                <w:sz w:val="18"/>
                <w:szCs w:val="18"/>
                <w:color w:val="auto"/>
              </w:rPr>
              <w:t>Annex 1</w:t>
            </w:r>
          </w:p>
        </w:tc>
        <w:tc>
          <w:tcPr>
            <w:tcW w:w="520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Annex 2</w:t>
            </w:r>
          </w:p>
        </w:tc>
        <w:tc>
          <w:tcPr>
            <w:tcW w:w="520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Annex 3</w:t>
            </w:r>
          </w:p>
        </w:tc>
        <w:tc>
          <w:tcPr>
            <w:tcW w:w="520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Annex 4</w:t>
            </w:r>
          </w:p>
        </w:tc>
        <w:tc>
          <w:tcPr>
            <w:tcW w:w="520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Annex 5</w:t>
            </w:r>
          </w:p>
        </w:tc>
        <w:tc>
          <w:tcPr>
            <w:tcW w:w="520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53"/>
        </w:trPr>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4"/>
                <w:szCs w:val="14"/>
                <w:color w:val="auto"/>
              </w:rPr>
              <w:t>Page 5 of 32</w:t>
            </w:r>
          </w:p>
        </w:tc>
      </w:tr>
      <w:tr>
        <w:trPr>
          <w:trHeight w:val="46"/>
        </w:trPr>
        <w:tc>
          <w:tcPr>
            <w:tcW w:w="400" w:type="dxa"/>
            <w:vAlign w:val="bottom"/>
            <w:tcBorders>
              <w:bottom w:val="single" w:sz="8" w:color="BFBFBF"/>
            </w:tcBorders>
          </w:tcPr>
          <w:p>
            <w:pPr>
              <w:spacing w:after="0"/>
              <w:rPr>
                <w:sz w:val="4"/>
                <w:szCs w:val="4"/>
                <w:color w:val="auto"/>
              </w:rPr>
            </w:pPr>
          </w:p>
        </w:tc>
        <w:tc>
          <w:tcPr>
            <w:tcW w:w="620" w:type="dxa"/>
            <w:vAlign w:val="bottom"/>
            <w:tcBorders>
              <w:bottom w:val="single" w:sz="8" w:color="BFBFBF"/>
            </w:tcBorders>
          </w:tcPr>
          <w:p>
            <w:pPr>
              <w:spacing w:after="0"/>
              <w:rPr>
                <w:sz w:val="4"/>
                <w:szCs w:val="4"/>
                <w:color w:val="auto"/>
              </w:rPr>
            </w:pPr>
          </w:p>
        </w:tc>
        <w:tc>
          <w:tcPr>
            <w:tcW w:w="5200" w:type="dxa"/>
            <w:vAlign w:val="bottom"/>
            <w:tcBorders>
              <w:bottom w:val="single" w:sz="8" w:color="BFBFBF"/>
            </w:tcBorders>
          </w:tcPr>
          <w:p>
            <w:pPr>
              <w:spacing w:after="0"/>
              <w:rPr>
                <w:sz w:val="4"/>
                <w:szCs w:val="4"/>
                <w:color w:val="auto"/>
              </w:rPr>
            </w:pPr>
          </w:p>
        </w:tc>
        <w:tc>
          <w:tcPr>
            <w:tcW w:w="5020" w:type="dxa"/>
            <w:vAlign w:val="bottom"/>
            <w:tcBorders>
              <w:bottom w:val="single" w:sz="8" w:color="BFBFBF"/>
            </w:tcBorders>
          </w:tcPr>
          <w:p>
            <w:pPr>
              <w:spacing w:after="0"/>
              <w:rPr>
                <w:sz w:val="4"/>
                <w:szCs w:val="4"/>
                <w:color w:val="auto"/>
              </w:rPr>
            </w:pPr>
          </w:p>
        </w:tc>
      </w:tr>
    </w:tbl>
    <w:p>
      <w:pPr>
        <w:sectPr>
          <w:pgSz w:w="11900" w:h="16838" w:orient="portrait"/>
          <w:cols w:equalWidth="0" w:num="1">
            <w:col w:w="11240"/>
          </w:cols>
          <w:pgMar w:left="320" w:top="108"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This control agreement (the </w:t>
      </w:r>
      <w:r>
        <w:rPr>
          <w:rFonts w:ascii="Arial" w:cs="Arial" w:eastAsia="Arial" w:hAnsi="Arial"/>
          <w:sz w:val="22"/>
          <w:szCs w:val="22"/>
          <w:b w:val="1"/>
          <w:bCs w:val="1"/>
          <w:color w:val="auto"/>
        </w:rPr>
        <w:t>Control Agreement</w:t>
      </w:r>
      <w:r>
        <w:rPr>
          <w:rFonts w:ascii="Arial" w:cs="Arial" w:eastAsia="Arial" w:hAnsi="Arial"/>
          <w:sz w:val="22"/>
          <w:szCs w:val="22"/>
          <w:color w:val="auto"/>
        </w:rPr>
        <w:t>) is made as of December 31, 2020 by and between the Security Provider, the Custodian and the Secured Party.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42" w:lineRule="exact"/>
        <w:rPr>
          <w:sz w:val="20"/>
          <w:szCs w:val="20"/>
          <w:color w:val="auto"/>
        </w:rPr>
      </w:pPr>
    </w:p>
    <w:p>
      <w:pPr>
        <w:jc w:val="both"/>
        <w:ind w:left="500" w:hanging="492"/>
        <w:spacing w:after="0" w:line="266"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Pursuant to a facility agreement originally dated as of October 31, 2017 (the </w:t>
      </w:r>
      <w:r>
        <w:rPr>
          <w:rFonts w:ascii="Arial" w:cs="Arial" w:eastAsia="Arial" w:hAnsi="Arial"/>
          <w:sz w:val="18"/>
          <w:szCs w:val="18"/>
          <w:b w:val="1"/>
          <w:bCs w:val="1"/>
          <w:color w:val="auto"/>
        </w:rPr>
        <w:t>Original Facility Agreement</w:t>
      </w:r>
      <w:r>
        <w:rPr>
          <w:rFonts w:ascii="Arial" w:cs="Arial" w:eastAsia="Arial" w:hAnsi="Arial"/>
          <w:sz w:val="18"/>
          <w:szCs w:val="18"/>
          <w:color w:val="auto"/>
        </w:rPr>
        <w:t xml:space="preserve">), made between Blenheim Holdings Ltd. as borrower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and Citibank, N.A., London Branch, as lender (the </w:t>
      </w:r>
      <w:r>
        <w:rPr>
          <w:rFonts w:ascii="Arial" w:cs="Arial" w:eastAsia="Arial" w:hAnsi="Arial"/>
          <w:sz w:val="18"/>
          <w:szCs w:val="18"/>
          <w:b w:val="1"/>
          <w:bCs w:val="1"/>
          <w:color w:val="auto"/>
        </w:rPr>
        <w:t>Lender</w:t>
      </w:r>
      <w:r>
        <w:rPr>
          <w:rFonts w:ascii="Arial" w:cs="Arial" w:eastAsia="Arial" w:hAnsi="Arial"/>
          <w:sz w:val="18"/>
          <w:szCs w:val="18"/>
          <w:color w:val="auto"/>
        </w:rPr>
        <w:t>), the Lender agreed to make available to the Borrower a revolving credit facility in the aggregate amount of USD 150,000,000.</w:t>
      </w:r>
    </w:p>
    <w:p>
      <w:pPr>
        <w:spacing w:after="0" w:line="202" w:lineRule="exact"/>
        <w:rPr>
          <w:rFonts w:ascii="Arial" w:cs="Arial" w:eastAsia="Arial" w:hAnsi="Arial"/>
          <w:sz w:val="18"/>
          <w:szCs w:val="18"/>
          <w:color w:val="auto"/>
        </w:rPr>
      </w:pPr>
    </w:p>
    <w:p>
      <w:pPr>
        <w:jc w:val="both"/>
        <w:ind w:left="500" w:hanging="492"/>
        <w:spacing w:after="0" w:line="266"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On or around the date hereof, the Original Facility Agreement shall be amended and restated pursuant to a first supplemental agreement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Supplemental Agreement</w:t>
      </w:r>
      <w:r>
        <w:rPr>
          <w:rFonts w:ascii="Arial" w:cs="Arial" w:eastAsia="Arial" w:hAnsi="Arial"/>
          <w:sz w:val="18"/>
          <w:szCs w:val="18"/>
          <w:color w:val="auto"/>
        </w:rPr>
        <w:t>), made between the Borrower as borrower and the Lender as lender (the Original Facility Agreement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restated by the First Supplemental Agreement, the </w:t>
      </w:r>
      <w:r>
        <w:rPr>
          <w:rFonts w:ascii="Arial" w:cs="Arial" w:eastAsia="Arial" w:hAnsi="Arial"/>
          <w:sz w:val="18"/>
          <w:szCs w:val="18"/>
          <w:b w:val="1"/>
          <w:bCs w:val="1"/>
          <w:color w:val="auto"/>
        </w:rPr>
        <w:t>Facility Agreement</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 order to satisfy certain conditions precedent pursuant to the Facility Agreement and in order to provide security for the Secured Party, concurrently with this Control Agreement the Security Provider and Secured Party will enter into a security agreement according to article 25 FISA (the </w:t>
      </w:r>
      <w:r>
        <w:rPr>
          <w:rFonts w:ascii="Arial" w:cs="Arial" w:eastAsia="Arial" w:hAnsi="Arial"/>
          <w:sz w:val="18"/>
          <w:szCs w:val="18"/>
          <w:b w:val="1"/>
          <w:bCs w:val="1"/>
          <w:color w:val="auto"/>
        </w:rPr>
        <w:t>Security Agreement</w:t>
      </w:r>
      <w:r>
        <w:rPr>
          <w:rFonts w:ascii="Arial" w:cs="Arial" w:eastAsia="Arial" w:hAnsi="Arial"/>
          <w:sz w:val="18"/>
          <w:szCs w:val="18"/>
          <w:color w:val="auto"/>
        </w:rPr>
        <w:t>) regarding the Security Interest (as defined below).</w:t>
      </w:r>
    </w:p>
    <w:p>
      <w:pPr>
        <w:spacing w:after="0" w:line="210"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Security Provider wishes to grant the Security Interest in certain assets it holds with the Custodian pursuant to article 25 FISA.</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this purpose, the Security Provider wishes to irrevocably instruct the Custodian to accept and execute instructions in relation to the Securities Account exclusively from the Secured Party, without the need of any prior approval by, or consent of, the Security Provider.</w:t>
      </w:r>
    </w:p>
    <w:p>
      <w:pPr>
        <w:spacing w:after="0" w:line="139"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Page 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the Parties hereto agree as follows:</w:t>
      </w:r>
    </w:p>
    <w:p>
      <w:pPr>
        <w:spacing w:after="0" w:line="23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References</w:t>
      </w:r>
    </w:p>
    <w:p>
      <w:pPr>
        <w:spacing w:after="0" w:line="2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243" w:lineRule="exact"/>
        <w:rPr>
          <w:sz w:val="20"/>
          <w:szCs w:val="20"/>
          <w:color w:val="auto"/>
        </w:rPr>
      </w:pPr>
    </w:p>
    <w:p>
      <w:pPr>
        <w:ind w:left="740" w:right="20"/>
        <w:spacing w:after="0" w:line="256"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means any day other than a Saturday, Sunday or public holiday on which commercial banks in Zurich,</w:t>
      </w:r>
      <w:r>
        <w:rPr>
          <w:rFonts w:ascii="Arial" w:cs="Arial" w:eastAsia="Arial" w:hAnsi="Arial"/>
          <w:sz w:val="22"/>
          <w:szCs w:val="22"/>
          <w:b w:val="1"/>
          <w:bCs w:val="1"/>
          <w:color w:val="auto"/>
        </w:rPr>
        <w:t xml:space="preserve"> </w:t>
      </w:r>
      <w:r>
        <w:rPr>
          <w:rFonts w:ascii="Arial" w:cs="Arial" w:eastAsia="Arial" w:hAnsi="Arial"/>
          <w:sz w:val="22"/>
          <w:szCs w:val="22"/>
          <w:color w:val="auto"/>
        </w:rPr>
        <w:t>Switzerland are open for general business.</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 xml:space="preserve">CO </w:t>
      </w:r>
      <w:r>
        <w:rPr>
          <w:rFonts w:ascii="Arial" w:cs="Arial" w:eastAsia="Arial" w:hAnsi="Arial"/>
          <w:sz w:val="19"/>
          <w:szCs w:val="19"/>
          <w:color w:val="auto"/>
        </w:rPr>
        <w:t>shall mean the Swiss Code of Obligations (</w:t>
      </w:r>
      <w:r>
        <w:rPr>
          <w:rFonts w:ascii="Arial" w:cs="Arial" w:eastAsia="Arial" w:hAnsi="Arial"/>
          <w:sz w:val="19"/>
          <w:szCs w:val="19"/>
          <w:i w:val="1"/>
          <w:iCs w:val="1"/>
          <w:color w:val="auto"/>
        </w:rPr>
        <w:t>Schweizerisches Obligationenrecht, OR</w:t>
      </w:r>
      <w:r>
        <w:rPr>
          <w:rFonts w:ascii="Arial" w:cs="Arial" w:eastAsia="Arial" w:hAnsi="Arial"/>
          <w:sz w:val="19"/>
          <w:szCs w:val="19"/>
          <w:color w:val="auto"/>
        </w:rPr>
        <w:t>), as amended from time to time.</w:t>
      </w:r>
    </w:p>
    <w:p>
      <w:pPr>
        <w:spacing w:after="0" w:line="268"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Control Agreement </w:t>
      </w:r>
      <w:r>
        <w:rPr>
          <w:rFonts w:ascii="Arial" w:cs="Arial" w:eastAsia="Arial" w:hAnsi="Arial"/>
          <w:sz w:val="22"/>
          <w:szCs w:val="22"/>
          <w:color w:val="auto"/>
        </w:rPr>
        <w:t>shall have the meaning as set forth in the Introduction of this Control Agreement.</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Custodian </w:t>
      </w:r>
      <w:r>
        <w:rPr>
          <w:rFonts w:ascii="Arial" w:cs="Arial" w:eastAsia="Arial" w:hAnsi="Arial"/>
          <w:sz w:val="22"/>
          <w:szCs w:val="22"/>
          <w:color w:val="auto"/>
        </w:rPr>
        <w:t>shall have the meaning as set forth on page 2 of this Control Agreement.</w:t>
      </w:r>
    </w:p>
    <w:p>
      <w:pPr>
        <w:spacing w:after="0" w:line="233" w:lineRule="exact"/>
        <w:rPr>
          <w:sz w:val="20"/>
          <w:szCs w:val="20"/>
          <w:color w:val="auto"/>
        </w:rPr>
      </w:pPr>
    </w:p>
    <w:p>
      <w:pPr>
        <w:ind w:left="740"/>
        <w:spacing w:after="0" w:line="256" w:lineRule="auto"/>
        <w:rPr>
          <w:sz w:val="20"/>
          <w:szCs w:val="20"/>
          <w:color w:val="auto"/>
        </w:rPr>
      </w:pPr>
      <w:r>
        <w:rPr>
          <w:rFonts w:ascii="Arial" w:cs="Arial" w:eastAsia="Arial" w:hAnsi="Arial"/>
          <w:sz w:val="22"/>
          <w:szCs w:val="22"/>
          <w:b w:val="1"/>
          <w:bCs w:val="1"/>
          <w:color w:val="auto"/>
        </w:rPr>
        <w:t xml:space="preserve">DEBA </w:t>
      </w:r>
      <w:r>
        <w:rPr>
          <w:rFonts w:ascii="Arial" w:cs="Arial" w:eastAsia="Arial" w:hAnsi="Arial"/>
          <w:sz w:val="22"/>
          <w:szCs w:val="22"/>
          <w:color w:val="auto"/>
        </w:rPr>
        <w:t>shall mean the Swiss Federal Debt Enforcement and Bankruptcy Act (</w:t>
      </w:r>
      <w:r>
        <w:rPr>
          <w:rFonts w:ascii="Arial" w:cs="Arial" w:eastAsia="Arial" w:hAnsi="Arial"/>
          <w:sz w:val="22"/>
          <w:szCs w:val="22"/>
          <w:i w:val="1"/>
          <w:iCs w:val="1"/>
          <w:color w:val="auto"/>
        </w:rPr>
        <w:t>Bundesgesetz über Schuldbetreibung und</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Konkurs, SchKG)</w:t>
      </w:r>
      <w:r>
        <w:rPr>
          <w:rFonts w:ascii="Arial" w:cs="Arial" w:eastAsia="Arial" w:hAnsi="Arial"/>
          <w:sz w:val="22"/>
          <w:szCs w:val="22"/>
          <w:color w:val="auto"/>
        </w:rPr>
        <w:t>, as amended from time to time.</w:t>
      </w:r>
    </w:p>
    <w:p>
      <w:pPr>
        <w:spacing w:after="0" w:line="189" w:lineRule="exact"/>
        <w:rPr>
          <w:sz w:val="20"/>
          <w:szCs w:val="20"/>
          <w:color w:val="auto"/>
        </w:rPr>
      </w:pPr>
    </w:p>
    <w:p>
      <w:pPr>
        <w:ind w:left="740"/>
        <w:spacing w:after="0" w:line="256" w:lineRule="auto"/>
        <w:rPr>
          <w:sz w:val="20"/>
          <w:szCs w:val="20"/>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shall mean all kinds of dividend whether in cash or in kind, e.g., in form of additional Shares, participation</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or other securities.</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Event of Default </w:t>
      </w:r>
      <w:r>
        <w:rPr>
          <w:rFonts w:ascii="Arial" w:cs="Arial" w:eastAsia="Arial" w:hAnsi="Arial"/>
          <w:sz w:val="22"/>
          <w:szCs w:val="22"/>
          <w:color w:val="auto"/>
        </w:rPr>
        <w:t>means an Event of Default as defined in the Facility Agreement.</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Facility Agreement </w:t>
      </w:r>
      <w:r>
        <w:rPr>
          <w:rFonts w:ascii="Arial" w:cs="Arial" w:eastAsia="Arial" w:hAnsi="Arial"/>
          <w:sz w:val="22"/>
          <w:szCs w:val="22"/>
          <w:color w:val="auto"/>
        </w:rPr>
        <w:t>shall have the meaning as set forth in Recital (a) of this Control Agreement.</w:t>
      </w:r>
    </w:p>
    <w:p>
      <w:pPr>
        <w:spacing w:after="0" w:line="233" w:lineRule="exact"/>
        <w:rPr>
          <w:sz w:val="20"/>
          <w:szCs w:val="20"/>
          <w:color w:val="auto"/>
        </w:rPr>
      </w:pPr>
    </w:p>
    <w:p>
      <w:pPr>
        <w:ind w:left="740" w:right="20"/>
        <w:spacing w:after="0" w:line="256" w:lineRule="auto"/>
        <w:rPr>
          <w:sz w:val="20"/>
          <w:szCs w:val="20"/>
          <w:color w:val="auto"/>
        </w:rPr>
      </w:pPr>
      <w:r>
        <w:rPr>
          <w:rFonts w:ascii="Arial" w:cs="Arial" w:eastAsia="Arial" w:hAnsi="Arial"/>
          <w:sz w:val="22"/>
          <w:szCs w:val="22"/>
          <w:b w:val="1"/>
          <w:bCs w:val="1"/>
          <w:color w:val="auto"/>
        </w:rPr>
        <w:t xml:space="preserve">FISA </w:t>
      </w:r>
      <w:r>
        <w:rPr>
          <w:rFonts w:ascii="Arial" w:cs="Arial" w:eastAsia="Arial" w:hAnsi="Arial"/>
          <w:sz w:val="22"/>
          <w:szCs w:val="22"/>
          <w:color w:val="auto"/>
        </w:rPr>
        <w:t>shall mean the Swiss Federal Intermediated Securities Act (</w:t>
      </w:r>
      <w:r>
        <w:rPr>
          <w:rFonts w:ascii="Arial" w:cs="Arial" w:eastAsia="Arial" w:hAnsi="Arial"/>
          <w:sz w:val="22"/>
          <w:szCs w:val="22"/>
          <w:i w:val="1"/>
          <w:iCs w:val="1"/>
          <w:color w:val="auto"/>
        </w:rPr>
        <w:t>Bundesgesetz über Bucheffekten, BEG</w:t>
      </w:r>
      <w:r>
        <w:rPr>
          <w:rFonts w:ascii="Arial" w:cs="Arial" w:eastAsia="Arial" w:hAnsi="Arial"/>
          <w:sz w:val="22"/>
          <w:szCs w:val="22"/>
          <w:color w:val="auto"/>
        </w:rPr>
        <w:t>), as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w:t>
      </w:r>
    </w:p>
    <w:p>
      <w:pPr>
        <w:spacing w:after="0" w:line="144"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Page 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Notice of Default </w:t>
      </w:r>
      <w:r>
        <w:rPr>
          <w:rFonts w:ascii="Arial" w:cs="Arial" w:eastAsia="Arial" w:hAnsi="Arial"/>
          <w:sz w:val="22"/>
          <w:szCs w:val="22"/>
          <w:color w:val="auto"/>
        </w:rPr>
        <w:t>shall have the meaning as set forth in Section 5(b) and Annex 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Parties </w:t>
      </w:r>
      <w:r>
        <w:rPr>
          <w:rFonts w:ascii="Arial" w:cs="Arial" w:eastAsia="Arial" w:hAnsi="Arial"/>
          <w:sz w:val="22"/>
          <w:szCs w:val="22"/>
          <w:color w:val="auto"/>
        </w:rPr>
        <w:t>and</w:t>
      </w:r>
      <w:r>
        <w:rPr>
          <w:rFonts w:ascii="Arial" w:cs="Arial" w:eastAsia="Arial" w:hAnsi="Arial"/>
          <w:sz w:val="22"/>
          <w:szCs w:val="22"/>
          <w:b w:val="1"/>
          <w:bCs w:val="1"/>
          <w:color w:val="auto"/>
        </w:rPr>
        <w:t xml:space="preserve"> Party </w:t>
      </w:r>
      <w:r>
        <w:rPr>
          <w:rFonts w:ascii="Arial" w:cs="Arial" w:eastAsia="Arial" w:hAnsi="Arial"/>
          <w:sz w:val="22"/>
          <w:szCs w:val="22"/>
          <w:color w:val="auto"/>
        </w:rPr>
        <w:t>shall have the meaning as set forth on page 3 of this Control Agreement.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Related Rights </w:t>
      </w:r>
      <w:r>
        <w:rPr>
          <w:rFonts w:ascii="Arial" w:cs="Arial" w:eastAsia="Arial" w:hAnsi="Arial"/>
          <w:sz w:val="21"/>
          <w:szCs w:val="21"/>
          <w:color w:val="auto"/>
        </w:rPr>
        <w:t>shall mean all moneys payable and any and all other accessory or other rights, benefits and proceeds (to</w:t>
      </w:r>
      <w:r>
        <w:rPr>
          <w:rFonts w:ascii="Arial" w:cs="Arial" w:eastAsia="Arial" w:hAnsi="Arial"/>
          <w:sz w:val="21"/>
          <w:szCs w:val="21"/>
          <w:b w:val="1"/>
          <w:bCs w:val="1"/>
          <w:color w:val="auto"/>
        </w:rPr>
        <w:t xml:space="preserve"> </w:t>
      </w:r>
      <w:r>
        <w:rPr>
          <w:rFonts w:ascii="Arial" w:cs="Arial" w:eastAsia="Arial" w:hAnsi="Arial"/>
          <w:sz w:val="21"/>
          <w:szCs w:val="21"/>
          <w:color w:val="auto"/>
        </w:rPr>
        <w:t>the extent their assignability is not precluded by mandatory law) in respect of, or derived from, the Securities, whether present or future and whether by way of capital reduction, redemption, substitution, exchange, bonus or preference, conversion or otherwise, including Subscription Rights, Dividends, option rights, liquidation proceeds upon liquidation of the issuer of the shares underlying the Securities, and Voting Rights.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Relevant Event </w:t>
      </w:r>
      <w:r>
        <w:rPr>
          <w:rFonts w:ascii="Arial" w:cs="Arial" w:eastAsia="Arial" w:hAnsi="Arial"/>
          <w:sz w:val="22"/>
          <w:szCs w:val="22"/>
          <w:color w:val="auto"/>
        </w:rPr>
        <w:t>shall have the meaning as set forth in Section 15(c).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w:t>
      </w:r>
      <w:r>
        <w:rPr>
          <w:rFonts w:ascii="Arial" w:cs="Arial" w:eastAsia="Arial" w:hAnsi="Arial"/>
          <w:sz w:val="22"/>
          <w:szCs w:val="22"/>
          <w:color w:val="auto"/>
        </w:rPr>
        <w:t>shall mean a section of this Control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Secured Party </w:t>
      </w:r>
      <w:r>
        <w:rPr>
          <w:rFonts w:ascii="Arial" w:cs="Arial" w:eastAsia="Arial" w:hAnsi="Arial"/>
          <w:sz w:val="22"/>
          <w:szCs w:val="22"/>
          <w:color w:val="auto"/>
        </w:rPr>
        <w:t>shall have the meaning as set forth on page 2 of this Control Agreement.</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w:t>
      </w:r>
      <w:r>
        <w:rPr>
          <w:rFonts w:ascii="Arial" w:cs="Arial" w:eastAsia="Arial" w:hAnsi="Arial"/>
          <w:sz w:val="22"/>
          <w:szCs w:val="22"/>
          <w:color w:val="auto"/>
        </w:rPr>
        <w:t>shall mean the securities as set forth in Annex 4 hereto and such further securities credited to the Securities</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from 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Securities Account </w:t>
      </w:r>
      <w:r>
        <w:rPr>
          <w:rFonts w:ascii="Arial" w:cs="Arial" w:eastAsia="Arial" w:hAnsi="Arial"/>
          <w:sz w:val="22"/>
          <w:szCs w:val="22"/>
          <w:color w:val="auto"/>
        </w:rPr>
        <w:t>shall mean the Security Provider's securities account [***] held with the Custodian.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Securities Account Documents </w:t>
      </w:r>
      <w:r>
        <w:rPr>
          <w:rFonts w:ascii="Arial" w:cs="Arial" w:eastAsia="Arial" w:hAnsi="Arial"/>
          <w:sz w:val="22"/>
          <w:szCs w:val="22"/>
          <w:color w:val="auto"/>
        </w:rPr>
        <w:t>shall have the meaning set forth in Section 18.4.</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Security Agreement </w:t>
      </w:r>
      <w:r>
        <w:rPr>
          <w:rFonts w:ascii="Arial" w:cs="Arial" w:eastAsia="Arial" w:hAnsi="Arial"/>
          <w:sz w:val="22"/>
          <w:szCs w:val="22"/>
          <w:color w:val="auto"/>
        </w:rPr>
        <w:t>shall have the meaning set forth in Recital (c) of this Control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Security Interest </w:t>
      </w:r>
      <w:r>
        <w:rPr>
          <w:rFonts w:ascii="Arial" w:cs="Arial" w:eastAsia="Arial" w:hAnsi="Arial"/>
          <w:sz w:val="22"/>
          <w:szCs w:val="22"/>
          <w:color w:val="auto"/>
        </w:rPr>
        <w:t>shall have the meaning set forth in Section 2.</w:t>
      </w:r>
    </w:p>
    <w:p>
      <w:pPr>
        <w:spacing w:after="0" w:line="188" w:lineRule="exact"/>
        <w:rPr>
          <w:sz w:val="20"/>
          <w:szCs w:val="20"/>
          <w:color w:val="auto"/>
        </w:rPr>
      </w:pPr>
    </w:p>
    <w:p>
      <w:pPr>
        <w:ind w:left="9780"/>
        <w:spacing w:after="0"/>
        <w:rPr>
          <w:sz w:val="20"/>
          <w:szCs w:val="20"/>
          <w:color w:val="auto"/>
        </w:rPr>
      </w:pPr>
      <w:r>
        <w:rPr>
          <w:rFonts w:ascii="Arial" w:cs="Arial" w:eastAsia="Arial" w:hAnsi="Arial"/>
          <w:sz w:val="12"/>
          <w:szCs w:val="12"/>
          <w:color w:val="auto"/>
        </w:rPr>
        <w:t>Page 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52705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11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Security Provider </w:t>
      </w:r>
      <w:r>
        <w:rPr>
          <w:rFonts w:ascii="Arial" w:cs="Arial" w:eastAsia="Arial" w:hAnsi="Arial"/>
          <w:sz w:val="22"/>
          <w:szCs w:val="22"/>
          <w:color w:val="auto"/>
        </w:rPr>
        <w:t>shall have the meaning as set forth on page 2 of this Control Agreement.</w:t>
      </w:r>
    </w:p>
    <w:p>
      <w:pPr>
        <w:spacing w:after="0" w:line="233" w:lineRule="exact"/>
        <w:rPr>
          <w:sz w:val="20"/>
          <w:szCs w:val="20"/>
          <w:color w:val="auto"/>
        </w:rPr>
      </w:pPr>
    </w:p>
    <w:p>
      <w:pPr>
        <w:ind w:left="740" w:right="20"/>
        <w:spacing w:after="0" w:line="256" w:lineRule="auto"/>
        <w:rPr>
          <w:sz w:val="20"/>
          <w:szCs w:val="20"/>
          <w:color w:val="auto"/>
        </w:rPr>
      </w:pPr>
      <w:r>
        <w:rPr>
          <w:rFonts w:ascii="Arial" w:cs="Arial" w:eastAsia="Arial" w:hAnsi="Arial"/>
          <w:sz w:val="22"/>
          <w:szCs w:val="22"/>
          <w:b w:val="1"/>
          <w:bCs w:val="1"/>
          <w:color w:val="auto"/>
        </w:rPr>
        <w:t xml:space="preserve">Shares </w:t>
      </w:r>
      <w:r>
        <w:rPr>
          <w:rFonts w:ascii="Arial" w:cs="Arial" w:eastAsia="Arial" w:hAnsi="Arial"/>
          <w:sz w:val="22"/>
          <w:szCs w:val="22"/>
          <w:color w:val="auto"/>
        </w:rPr>
        <w:t>shall mean any kind of existing and future shares collectively (</w:t>
      </w:r>
      <w:r>
        <w:rPr>
          <w:rFonts w:ascii="Arial" w:cs="Arial" w:eastAsia="Arial" w:hAnsi="Arial"/>
          <w:sz w:val="22"/>
          <w:szCs w:val="22"/>
          <w:i w:val="1"/>
          <w:iCs w:val="1"/>
          <w:color w:val="auto"/>
        </w:rPr>
        <w:t>Aktien</w:t>
      </w:r>
      <w:r>
        <w:rPr>
          <w:rFonts w:ascii="Arial" w:cs="Arial" w:eastAsia="Arial" w:hAnsi="Arial"/>
          <w:sz w:val="22"/>
          <w:szCs w:val="22"/>
          <w:color w:val="auto"/>
        </w:rPr>
        <w:t>) in the relevant company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shares upon their accrual, offer or issue owned by the Security Provider.</w:t>
      </w:r>
    </w:p>
    <w:p>
      <w:pPr>
        <w:spacing w:after="0" w:line="189" w:lineRule="exact"/>
        <w:rPr>
          <w:sz w:val="20"/>
          <w:szCs w:val="20"/>
          <w:color w:val="auto"/>
        </w:rPr>
      </w:pPr>
    </w:p>
    <w:p>
      <w:pPr>
        <w:ind w:left="740"/>
        <w:spacing w:after="0" w:line="256" w:lineRule="auto"/>
        <w:rPr>
          <w:sz w:val="20"/>
          <w:szCs w:val="20"/>
          <w:color w:val="auto"/>
        </w:rPr>
      </w:pPr>
      <w:r>
        <w:rPr>
          <w:rFonts w:ascii="Arial" w:cs="Arial" w:eastAsia="Arial" w:hAnsi="Arial"/>
          <w:sz w:val="22"/>
          <w:szCs w:val="22"/>
          <w:b w:val="1"/>
          <w:bCs w:val="1"/>
          <w:color w:val="auto"/>
        </w:rPr>
        <w:t xml:space="preserve">Subscription Rights </w:t>
      </w:r>
      <w:r>
        <w:rPr>
          <w:rFonts w:ascii="Arial" w:cs="Arial" w:eastAsia="Arial" w:hAnsi="Arial"/>
          <w:sz w:val="22"/>
          <w:szCs w:val="22"/>
          <w:color w:val="auto"/>
        </w:rPr>
        <w:t>means any preemptive right and any advance subscription right of the Security Provider in relation</w:t>
      </w:r>
      <w:r>
        <w:rPr>
          <w:rFonts w:ascii="Arial" w:cs="Arial" w:eastAsia="Arial" w:hAnsi="Arial"/>
          <w:sz w:val="22"/>
          <w:szCs w:val="22"/>
          <w:b w:val="1"/>
          <w:bCs w:val="1"/>
          <w:color w:val="auto"/>
        </w:rPr>
        <w:t xml:space="preserve"> </w:t>
      </w:r>
      <w:r>
        <w:rPr>
          <w:rFonts w:ascii="Arial" w:cs="Arial" w:eastAsia="Arial" w:hAnsi="Arial"/>
          <w:sz w:val="22"/>
          <w:szCs w:val="22"/>
          <w:color w:val="auto"/>
        </w:rPr>
        <w:t>to the Securities.</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Termination </w:t>
      </w:r>
      <w:r>
        <w:rPr>
          <w:rFonts w:ascii="Arial" w:cs="Arial" w:eastAsia="Arial" w:hAnsi="Arial"/>
          <w:sz w:val="22"/>
          <w:szCs w:val="22"/>
          <w:color w:val="auto"/>
        </w:rPr>
        <w:t>shall have the meaning as set forth in Section 15(a).</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Transfer Notice </w:t>
      </w:r>
      <w:r>
        <w:rPr>
          <w:rFonts w:ascii="Arial" w:cs="Arial" w:eastAsia="Arial" w:hAnsi="Arial"/>
          <w:sz w:val="22"/>
          <w:szCs w:val="22"/>
          <w:color w:val="auto"/>
        </w:rPr>
        <w:t>shall have the meaning as set forth in Section 5 (e) and Annex 1.</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 xml:space="preserve">Voting Rights </w:t>
      </w:r>
      <w:r>
        <w:rPr>
          <w:rFonts w:ascii="Arial" w:cs="Arial" w:eastAsia="Arial" w:hAnsi="Arial"/>
          <w:sz w:val="19"/>
          <w:szCs w:val="19"/>
          <w:color w:val="auto"/>
        </w:rPr>
        <w:t>shall mean the voting rights and any other non-monetary participation rights in relation to the Securities.</w:t>
      </w:r>
    </w:p>
    <w:p>
      <w:pPr>
        <w:spacing w:after="0" w:line="2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256"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reference to a Party includes a reference to its successors in title, permitted transferees, designees and assigns.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reference to any agreement includes such agreement as amended, restated, supplemented or otherwise modified from time to time in accordance with its terms.</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Words denoting the singular shall include the plural and vice versa, and words denoting any gender shall include all genders, in each case, unless context requires otherwise.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words “include” and “including” shall be deemed to be qualified by reference “without limitation”.</w:t>
      </w:r>
    </w:p>
    <w:p>
      <w:pPr>
        <w:spacing w:after="0" w:line="194"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Page 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References</w:t>
      </w:r>
    </w:p>
    <w:p>
      <w:pPr>
        <w:spacing w:after="0" w:line="249"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References to any agreement or document shall be construed as references to such agreements or documents as amended, supplemented or novated from time to time.</w:t>
      </w:r>
    </w:p>
    <w:p>
      <w:pPr>
        <w:spacing w:after="0" w:line="19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Perfection of the Security Interest</w:t>
      </w:r>
    </w:p>
    <w:p>
      <w:pPr>
        <w:spacing w:after="0" w:line="239" w:lineRule="exact"/>
        <w:rPr>
          <w:rFonts w:ascii="Arial" w:cs="Arial" w:eastAsia="Arial" w:hAnsi="Arial"/>
          <w:sz w:val="22"/>
          <w:szCs w:val="22"/>
          <w:b w:val="1"/>
          <w:bCs w:val="1"/>
          <w:color w:val="auto"/>
        </w:rPr>
      </w:pPr>
    </w:p>
    <w:p>
      <w:pPr>
        <w:jc w:val="both"/>
        <w:ind w:left="660"/>
        <w:spacing w:after="0" w:line="273" w:lineRule="auto"/>
        <w:rPr>
          <w:rFonts w:ascii="Arial" w:cs="Arial" w:eastAsia="Arial" w:hAnsi="Arial"/>
          <w:sz w:val="22"/>
          <w:szCs w:val="22"/>
          <w:b w:val="1"/>
          <w:bCs w:val="1"/>
          <w:color w:val="auto"/>
        </w:rPr>
      </w:pPr>
      <w:r>
        <w:rPr>
          <w:rFonts w:ascii="Arial" w:cs="Arial" w:eastAsia="Arial" w:hAnsi="Arial"/>
          <w:sz w:val="19"/>
          <w:szCs w:val="19"/>
          <w:color w:val="auto"/>
        </w:rPr>
        <w:t>By virtue of the irrevocable instruction to the Custodian as set forth in Section 5(a) below and subject to Section 9 below and in connection with the securities credited in the Securities Account, the Security Provider agrees to grant and hereby grants to the Secured Party a first-ranking and continuing security (i) according to article 25 FISA in the Securities and</w:t>
      </w:r>
    </w:p>
    <w:p>
      <w:pPr>
        <w:spacing w:after="0" w:line="1" w:lineRule="exact"/>
        <w:rPr>
          <w:rFonts w:ascii="Arial" w:cs="Arial" w:eastAsia="Arial" w:hAnsi="Arial"/>
          <w:sz w:val="22"/>
          <w:szCs w:val="22"/>
          <w:b w:val="1"/>
          <w:bCs w:val="1"/>
          <w:color w:val="auto"/>
        </w:rPr>
      </w:pPr>
    </w:p>
    <w:p>
      <w:pPr>
        <w:ind w:left="660" w:hanging="4"/>
        <w:spacing w:after="0" w:line="256" w:lineRule="auto"/>
        <w:tabs>
          <w:tab w:leader="none" w:pos="993" w:val="left"/>
        </w:tabs>
        <w:numPr>
          <w:ilvl w:val="1"/>
          <w:numId w:val="42"/>
        </w:numPr>
        <w:rPr>
          <w:rFonts w:ascii="Arial" w:cs="Arial" w:eastAsia="Arial" w:hAnsi="Arial"/>
          <w:sz w:val="21"/>
          <w:szCs w:val="21"/>
          <w:color w:val="auto"/>
        </w:rPr>
      </w:pPr>
      <w:r>
        <w:rPr>
          <w:rFonts w:ascii="Arial" w:cs="Arial" w:eastAsia="Arial" w:hAnsi="Arial"/>
          <w:sz w:val="21"/>
          <w:szCs w:val="21"/>
          <w:color w:val="auto"/>
        </w:rPr>
        <w:t xml:space="preserve">in the Related Rights (together the </w:t>
      </w:r>
      <w:r>
        <w:rPr>
          <w:rFonts w:ascii="Arial" w:cs="Arial" w:eastAsia="Arial" w:hAnsi="Arial"/>
          <w:sz w:val="21"/>
          <w:szCs w:val="21"/>
          <w:b w:val="1"/>
          <w:bCs w:val="1"/>
          <w:color w:val="auto"/>
        </w:rPr>
        <w:t>Security Interest</w:t>
      </w:r>
      <w:r>
        <w:rPr>
          <w:rFonts w:ascii="Arial" w:cs="Arial" w:eastAsia="Arial" w:hAnsi="Arial"/>
          <w:sz w:val="21"/>
          <w:szCs w:val="21"/>
          <w:color w:val="auto"/>
        </w:rPr>
        <w:t>), free and clear of any pledges, liens, rights of set-off or other third party rights of any nature (including, subject to Section 9, any such rights in favor of the Custodian).</w:t>
      </w:r>
    </w:p>
    <w:p>
      <w:pPr>
        <w:spacing w:after="0" w:line="189" w:lineRule="exact"/>
        <w:rPr>
          <w:rFonts w:ascii="Arial" w:cs="Arial" w:eastAsia="Arial" w:hAnsi="Arial"/>
          <w:sz w:val="21"/>
          <w:szCs w:val="21"/>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Notification of the Security Interest</w:t>
      </w:r>
    </w:p>
    <w:p>
      <w:pPr>
        <w:spacing w:after="0" w:line="246" w:lineRule="exact"/>
        <w:rPr>
          <w:rFonts w:ascii="Arial" w:cs="Arial" w:eastAsia="Arial" w:hAnsi="Arial"/>
          <w:sz w:val="22"/>
          <w:szCs w:val="22"/>
          <w:b w:val="1"/>
          <w:bCs w:val="1"/>
          <w:color w:val="auto"/>
        </w:rPr>
      </w:pPr>
    </w:p>
    <w:p>
      <w:pPr>
        <w:ind w:left="1300" w:hanging="644"/>
        <w:spacing w:after="0"/>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Custodian takes note that the Security Provider agreed to grant to the Secured Party the Security Interest and will maintain the</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Security Interest in the Secured Party's favour, subject to the provisions hereafter.</w:t>
      </w:r>
    </w:p>
    <w:p>
      <w:pPr>
        <w:spacing w:after="0" w:line="238" w:lineRule="exact"/>
        <w:rPr>
          <w:sz w:val="20"/>
          <w:szCs w:val="20"/>
          <w:color w:val="auto"/>
        </w:rPr>
      </w:pPr>
    </w:p>
    <w:p>
      <w:pPr>
        <w:ind w:left="1300" w:hanging="644"/>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Custodian is authorized to indicate the Security Interest on the respective account statements and advices.</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Absence of other Control Agreement and Pending Instructions</w:t>
      </w:r>
    </w:p>
    <w:p>
      <w:pPr>
        <w:spacing w:after="0" w:line="239" w:lineRule="exact"/>
        <w:rPr>
          <w:rFonts w:ascii="Arial" w:cs="Arial" w:eastAsia="Arial" w:hAnsi="Arial"/>
          <w:sz w:val="22"/>
          <w:szCs w:val="22"/>
          <w:b w:val="1"/>
          <w:bCs w:val="1"/>
          <w:color w:val="auto"/>
        </w:rPr>
      </w:pPr>
    </w:p>
    <w:p>
      <w:pPr>
        <w:jc w:val="both"/>
        <w:ind w:left="660"/>
        <w:spacing w:after="0"/>
        <w:rPr>
          <w:rFonts w:ascii="Arial" w:cs="Arial" w:eastAsia="Arial" w:hAnsi="Arial"/>
          <w:sz w:val="22"/>
          <w:szCs w:val="22"/>
          <w:b w:val="1"/>
          <w:bCs w:val="1"/>
          <w:color w:val="auto"/>
        </w:rPr>
      </w:pPr>
      <w:r>
        <w:rPr>
          <w:rFonts w:ascii="Arial" w:cs="Arial" w:eastAsia="Arial" w:hAnsi="Arial"/>
          <w:sz w:val="22"/>
          <w:szCs w:val="22"/>
          <w:color w:val="auto"/>
        </w:rPr>
        <w:t>The Custodian confirms (i) that it is not a party to any other control agreement (within the meaning of article 25 FISA) related to the Securities and (ii) that there are no pending instructions (</w:t>
      </w:r>
      <w:r>
        <w:rPr>
          <w:rFonts w:ascii="Arial" w:cs="Arial" w:eastAsia="Arial" w:hAnsi="Arial"/>
          <w:sz w:val="22"/>
          <w:szCs w:val="22"/>
          <w:i w:val="1"/>
          <w:iCs w:val="1"/>
          <w:color w:val="auto"/>
        </w:rPr>
        <w:t>Weisungen</w:t>
      </w:r>
      <w:r>
        <w:rPr>
          <w:rFonts w:ascii="Arial" w:cs="Arial" w:eastAsia="Arial" w:hAnsi="Arial"/>
          <w:sz w:val="22"/>
          <w:szCs w:val="22"/>
          <w:color w:val="auto"/>
        </w:rPr>
        <w:t>) from the Security Provider in relation to the Securities Account and/or the Securities.</w:t>
      </w:r>
    </w:p>
    <w:p>
      <w:pPr>
        <w:spacing w:after="0" w:line="162"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10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Irrevocable Instruction of the Custodian</w:t>
      </w:r>
    </w:p>
    <w:p>
      <w:pPr>
        <w:spacing w:after="0" w:line="246" w:lineRule="exact"/>
        <w:rPr>
          <w:rFonts w:ascii="Arial" w:cs="Arial" w:eastAsia="Arial" w:hAnsi="Arial"/>
          <w:sz w:val="22"/>
          <w:szCs w:val="22"/>
          <w:b w:val="1"/>
          <w:bCs w:val="1"/>
          <w:color w:val="auto"/>
        </w:rPr>
      </w:pPr>
    </w:p>
    <w:p>
      <w:pPr>
        <w:jc w:val="both"/>
        <w:ind w:left="1300" w:hanging="644"/>
        <w:spacing w:after="0" w:line="301"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Security Provider agrees to instruct and herewith irrevocably instructs the Custodian, and the Custodian herewith agrees, as of the date of this Control Agreement, to accept and execute instructions (</w:t>
      </w:r>
      <w:r>
        <w:rPr>
          <w:rFonts w:ascii="Arial" w:cs="Arial" w:eastAsia="Arial" w:hAnsi="Arial"/>
          <w:sz w:val="16"/>
          <w:szCs w:val="16"/>
          <w:i w:val="1"/>
          <w:iCs w:val="1"/>
          <w:color w:val="auto"/>
        </w:rPr>
        <w:t>Weisungen</w:t>
      </w:r>
      <w:r>
        <w:rPr>
          <w:rFonts w:ascii="Arial" w:cs="Arial" w:eastAsia="Arial" w:hAnsi="Arial"/>
          <w:sz w:val="16"/>
          <w:szCs w:val="16"/>
          <w:color w:val="auto"/>
        </w:rPr>
        <w:t>) in relation to the Securities Account, the Securities and the Related Rights exclusively from the Secured Party, without the need of any prior approval by, or consent of, the Security Provider. Such instruction by the Secured Party shall, for the avoidance of doubt, prevail over any previous instructions by the Security Provider.</w:t>
      </w:r>
    </w:p>
    <w:p>
      <w:pPr>
        <w:spacing w:after="0" w:line="180" w:lineRule="exact"/>
        <w:rPr>
          <w:rFonts w:ascii="Arial" w:cs="Arial" w:eastAsia="Arial" w:hAnsi="Arial"/>
          <w:sz w:val="16"/>
          <w:szCs w:val="16"/>
          <w:color w:val="auto"/>
        </w:rPr>
      </w:pPr>
    </w:p>
    <w:p>
      <w:pPr>
        <w:jc w:val="both"/>
        <w:ind w:left="1300" w:hanging="644"/>
        <w:spacing w:after="0" w:line="271"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Unless and until a notice in the form as set forth in </w:t>
      </w:r>
      <w:r>
        <w:rPr>
          <w:rFonts w:ascii="Arial" w:cs="Arial" w:eastAsia="Arial" w:hAnsi="Arial"/>
          <w:sz w:val="17"/>
          <w:szCs w:val="17"/>
          <w:u w:val="single" w:color="auto"/>
          <w:color w:val="auto"/>
        </w:rPr>
        <w:t>Annex 5</w:t>
      </w:r>
      <w:r>
        <w:rPr>
          <w:rFonts w:ascii="Arial" w:cs="Arial" w:eastAsia="Arial" w:hAnsi="Arial"/>
          <w:sz w:val="17"/>
          <w:szCs w:val="17"/>
          <w:color w:val="auto"/>
        </w:rPr>
        <w:t xml:space="preserve"> (a </w:t>
      </w:r>
      <w:r>
        <w:rPr>
          <w:rFonts w:ascii="Arial" w:cs="Arial" w:eastAsia="Arial" w:hAnsi="Arial"/>
          <w:sz w:val="17"/>
          <w:szCs w:val="17"/>
          <w:b w:val="1"/>
          <w:bCs w:val="1"/>
          <w:color w:val="auto"/>
        </w:rPr>
        <w:t>Notice of Default</w:t>
      </w:r>
      <w:r>
        <w:rPr>
          <w:rFonts w:ascii="Arial" w:cs="Arial" w:eastAsia="Arial" w:hAnsi="Arial"/>
          <w:sz w:val="17"/>
          <w:szCs w:val="17"/>
          <w:color w:val="auto"/>
        </w:rPr>
        <w:t>) is given by the Secured Party to the Custodian informing the Custodian that an Event of Default (as defined in the Facility Agreement) has occurred, the Security Provider shall remain entitled to give instructions to the Custodian, without consent of the Secured Party, as to (i) actions enabling the exercise of Voting Rights, (ii) the execution of Subscription Rights and (iii), for the avoidance of doubt, the disposal, transfer and use of Dividends from the Securities. The Custodian is neither obliged nor entitled to verify the legal grounds of such Notice of Default. For the avoidance of doubt, as long as the Custodian has not received a Notice of Default from the Secured Party, the Custodian may accept and execute any instructions from the Security Provider as to the exercise of Voting Rights, the execution of Subscription Rights and the disposal, transfer and use of Dividends from the Securities. Upon receipt of a Notice of Default from the Secured Party, the Custodian will comply with the instructions given by the Secured Party.</w:t>
      </w:r>
    </w:p>
    <w:p>
      <w:pPr>
        <w:spacing w:after="0" w:line="204" w:lineRule="exact"/>
        <w:rPr>
          <w:rFonts w:ascii="Arial" w:cs="Arial" w:eastAsia="Arial" w:hAnsi="Arial"/>
          <w:sz w:val="17"/>
          <w:szCs w:val="17"/>
          <w:color w:val="auto"/>
        </w:rPr>
      </w:pPr>
    </w:p>
    <w:p>
      <w:pPr>
        <w:jc w:val="both"/>
        <w:ind w:left="1300" w:hanging="644"/>
        <w:spacing w:after="0" w:line="279"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Except in accordance with paragraph (b) above in connection with the exercise of Voting Rights, the execution of Subscription Rights and the disposal, transfer and use of Dividends from the Securities, as of the date of and for as long as this Control Agreement remains in effect, the Security Provider shall not be entitled to give any instructions as to the Securities Account, the Securities and the Related Rights and the Custodian shall not accept and execute any instructions from the Security Provider.</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98" w:lineRule="exact"/>
        <w:rPr>
          <w:sz w:val="20"/>
          <w:szCs w:val="20"/>
          <w:color w:val="auto"/>
        </w:rPr>
      </w:pPr>
    </w:p>
    <w:p>
      <w:pPr>
        <w:jc w:val="both"/>
        <w:ind w:left="644" w:hanging="644"/>
        <w:spacing w:after="0" w:line="257" w:lineRule="auto"/>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Security Provider agrees to instruct and herewith irrevocably instructs the Custodian, and the Custodian herewith agrees, as of the date of this Control Agreement, subject to the receipt of a Notice of Default and upon obtaining a transfer notice as per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(the </w:t>
      </w:r>
      <w:r>
        <w:rPr>
          <w:rFonts w:ascii="Arial" w:cs="Arial" w:eastAsia="Arial" w:hAnsi="Arial"/>
          <w:sz w:val="18"/>
          <w:szCs w:val="18"/>
          <w:b w:val="1"/>
          <w:bCs w:val="1"/>
          <w:color w:val="auto"/>
        </w:rPr>
        <w:t>Transfer Notice</w:t>
      </w:r>
      <w:r>
        <w:rPr>
          <w:rFonts w:ascii="Arial" w:cs="Arial" w:eastAsia="Arial" w:hAnsi="Arial"/>
          <w:sz w:val="18"/>
          <w:szCs w:val="18"/>
          <w:color w:val="auto"/>
        </w:rPr>
        <w:t>) from the Secured Party, the Custodian will sell and/or transfer the Security Interest, or parts thereof,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 below. The Custodian is neither obliged nor entitled to verify the legal grounds of such Transfer Notice or the instruction contained therein.</w:t>
      </w:r>
    </w:p>
    <w:p>
      <w:pPr>
        <w:spacing w:after="0" w:line="214"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Any notice and/or instruction sent by the Secured Party to the Custodian shall (i) be in writing, (ii) be validly signed by the Secured Party in accordance with the list of signatories according to </w:t>
      </w:r>
      <w:r>
        <w:rPr>
          <w:rFonts w:ascii="Arial" w:cs="Arial" w:eastAsia="Arial" w:hAnsi="Arial"/>
          <w:sz w:val="18"/>
          <w:szCs w:val="18"/>
          <w:u w:val="single" w:color="auto"/>
          <w:color w:val="auto"/>
        </w:rPr>
        <w:t>Annex 2</w:t>
      </w:r>
      <w:r>
        <w:rPr>
          <w:rFonts w:ascii="Arial" w:cs="Arial" w:eastAsia="Arial" w:hAnsi="Arial"/>
          <w:sz w:val="18"/>
          <w:szCs w:val="18"/>
          <w:color w:val="auto"/>
        </w:rPr>
        <w:t>, as amended by the Secured Party from time to time and (iii) for the Transfer Notice, contain all information necessary for the Custodian to execute such Transfer Notice in accordance with this Control Agreement.</w:t>
      </w:r>
    </w:p>
    <w:p>
      <w:pPr>
        <w:spacing w:after="0" w:line="213"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agreed that the Custodian does not have any duty or obligation to know or verify the legal grounds (e.g. an Event of Default as defined in the Facility Agreement) or the reasons of such Transfer Notice delivered by the Secured Party to the Custodian instructing the same to release, transfer or sell and transfer the sale proceeds of the Securities to the Secured Party or of any other instruction related to the Securities and the Security Interest.</w:t>
      </w:r>
    </w:p>
    <w:p>
      <w:pPr>
        <w:spacing w:after="0" w:line="398" w:lineRule="exact"/>
        <w:rPr>
          <w:sz w:val="20"/>
          <w:szCs w:val="20"/>
          <w:color w:val="auto"/>
        </w:rPr>
      </w:pPr>
    </w:p>
    <w:p>
      <w:pPr>
        <w:ind w:left="9784"/>
        <w:spacing w:after="0"/>
        <w:rPr>
          <w:sz w:val="20"/>
          <w:szCs w:val="20"/>
          <w:color w:val="auto"/>
        </w:rPr>
      </w:pPr>
      <w:r>
        <w:rPr>
          <w:rFonts w:ascii="Arial" w:cs="Arial" w:eastAsia="Arial" w:hAnsi="Arial"/>
          <w:sz w:val="12"/>
          <w:szCs w:val="12"/>
          <w:color w:val="auto"/>
        </w:rPr>
        <w:t>Page 12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52705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14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Transfer Instructions</w:t>
      </w:r>
    </w:p>
    <w:p>
      <w:pPr>
        <w:spacing w:after="0" w:line="239" w:lineRule="exact"/>
        <w:rPr>
          <w:rFonts w:ascii="Arial" w:cs="Arial" w:eastAsia="Arial" w:hAnsi="Arial"/>
          <w:sz w:val="22"/>
          <w:szCs w:val="22"/>
          <w:b w:val="1"/>
          <w:bCs w:val="1"/>
          <w:color w:val="auto"/>
        </w:rPr>
      </w:pPr>
    </w:p>
    <w:p>
      <w:pPr>
        <w:ind w:left="660"/>
        <w:spacing w:after="0" w:line="328" w:lineRule="auto"/>
        <w:rPr>
          <w:rFonts w:ascii="Arial" w:cs="Arial" w:eastAsia="Arial" w:hAnsi="Arial"/>
          <w:sz w:val="22"/>
          <w:szCs w:val="22"/>
          <w:b w:val="1"/>
          <w:bCs w:val="1"/>
          <w:color w:val="auto"/>
        </w:rPr>
      </w:pPr>
      <w:r>
        <w:rPr>
          <w:rFonts w:ascii="Arial" w:cs="Arial" w:eastAsia="Arial" w:hAnsi="Arial"/>
          <w:sz w:val="19"/>
          <w:szCs w:val="19"/>
          <w:color w:val="auto"/>
        </w:rPr>
        <w:t>All transfer/payments made by the Custodian to the Secured Party or the Security Provider, as the case may be, in accordance with the terms of this Control Agreement only, shall be made to the following safekeeping/bank accounts:</w:t>
      </w:r>
    </w:p>
    <w:p>
      <w:pPr>
        <w:spacing w:after="0" w:line="375" w:lineRule="exact"/>
        <w:rPr>
          <w:sz w:val="20"/>
          <w:szCs w:val="20"/>
          <w:color w:val="auto"/>
        </w:rPr>
      </w:pPr>
    </w:p>
    <w:p>
      <w:pPr>
        <w:ind w:left="680"/>
        <w:spacing w:after="0"/>
        <w:rPr>
          <w:sz w:val="20"/>
          <w:szCs w:val="20"/>
          <w:color w:val="auto"/>
        </w:rPr>
      </w:pPr>
      <w:r>
        <w:rPr>
          <w:rFonts w:ascii="Arial" w:cs="Arial" w:eastAsia="Arial" w:hAnsi="Arial"/>
          <w:sz w:val="22"/>
          <w:szCs w:val="22"/>
          <w:color w:val="auto"/>
        </w:rPr>
        <w:t>if to Secured Party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if to Security Provider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or to such other safekeeping/bank accounts as specified in writing by the respective Party. Upon the receipt of a Transfer Notice requesting transfer or payment to a different account, the Custodian shall conduct a verification call-back with the respective Party to the telephone number indicated in Section 18.3. For the avoidance of doubt, no joint written instructions shall be required to amend above account details.</w:t>
      </w:r>
    </w:p>
    <w:p>
      <w:pPr>
        <w:spacing w:after="0" w:line="20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No Right of Delivery</w:t>
      </w:r>
    </w:p>
    <w:p>
      <w:pPr>
        <w:spacing w:after="0" w:line="239" w:lineRule="exact"/>
        <w:rPr>
          <w:rFonts w:ascii="Arial" w:cs="Arial" w:eastAsia="Arial" w:hAnsi="Arial"/>
          <w:sz w:val="22"/>
          <w:szCs w:val="22"/>
          <w:b w:val="1"/>
          <w:bCs w:val="1"/>
          <w:color w:val="auto"/>
        </w:rPr>
      </w:pPr>
    </w:p>
    <w:p>
      <w:pPr>
        <w:ind w:left="66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The Security Provider waives its right of delivery of the Securities credited to the Securities Account including but not limited to its right according to article 8 FISA.</w:t>
      </w:r>
    </w:p>
    <w:p>
      <w:pPr>
        <w:spacing w:after="0" w:line="195" w:lineRule="exact"/>
        <w:rPr>
          <w:rFonts w:ascii="Arial" w:cs="Arial" w:eastAsia="Arial" w:hAnsi="Arial"/>
          <w:sz w:val="22"/>
          <w:szCs w:val="22"/>
          <w:b w:val="1"/>
          <w:bCs w:val="1"/>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Rights and Duties of the Custodian</w:t>
      </w:r>
    </w:p>
    <w:p>
      <w:pPr>
        <w:spacing w:after="0" w:line="246" w:lineRule="exact"/>
        <w:rPr>
          <w:rFonts w:ascii="Arial" w:cs="Arial" w:eastAsia="Arial" w:hAnsi="Arial"/>
          <w:sz w:val="22"/>
          <w:szCs w:val="22"/>
          <w:b w:val="1"/>
          <w:bCs w:val="1"/>
          <w:color w:val="auto"/>
        </w:rPr>
      </w:pPr>
    </w:p>
    <w:p>
      <w:pPr>
        <w:ind w:left="1300" w:hanging="644"/>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Security Provider hereby irrevocably authorizes the Custodian to establish any contact necessary in connection with this Control Agreement with the Secured Party or any successor, assignee or transferee of the Secured Party.</w:t>
      </w:r>
    </w:p>
    <w:p>
      <w:pPr>
        <w:spacing w:after="0" w:line="139"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13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98" w:lineRule="exact"/>
        <w:rPr>
          <w:sz w:val="20"/>
          <w:szCs w:val="20"/>
          <w:color w:val="auto"/>
        </w:rPr>
      </w:pPr>
    </w:p>
    <w:p>
      <w:pPr>
        <w:jc w:val="both"/>
        <w:ind w:left="644" w:right="20" w:hanging="644"/>
        <w:spacing w:after="0" w:line="259"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agreed that the Custodian may communicate with the Security Provider and may disclose to the Security Provider and to the Secured Party any and all information regarding the Securities Account, the Securities and Related Rights which may be required or useful for purposes of exercising and/or securing the rights of the Security Provider and the Secured Party under this Control Agreement. Section 16 applies.</w:t>
      </w:r>
    </w:p>
    <w:p>
      <w:pPr>
        <w:spacing w:after="0" w:line="213"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For the purposes of this Control Agreement, the Custodian may from time to time require an updated list of authorized signatories from the Secured Party, </w:t>
      </w:r>
      <w:r>
        <w:rPr>
          <w:rFonts w:ascii="Arial" w:cs="Arial" w:eastAsia="Arial" w:hAnsi="Arial"/>
          <w:sz w:val="18"/>
          <w:szCs w:val="18"/>
          <w:i w:val="1"/>
          <w:iCs w:val="1"/>
          <w:color w:val="auto"/>
        </w:rPr>
        <w:t>i.e.</w:t>
      </w:r>
      <w:r>
        <w:rPr>
          <w:rFonts w:ascii="Arial" w:cs="Arial" w:eastAsia="Arial" w:hAnsi="Arial"/>
          <w:sz w:val="18"/>
          <w:szCs w:val="18"/>
          <w:color w:val="auto"/>
        </w:rPr>
        <w:t xml:space="preserve">, a list of persons authorized to represent the Secured Party or any successor and to consent to or give instructions to the Custodian under this Control Agreement, and the Custodian shall be entitled to rely on such list, as amended from time to time, and accept consents to instructions or instructions from such authorized signatories, irrespective of any signatory authorities of the Secured Party entered into the commercial register or any other public records. As per the date of this Control Agreement the authorized signatories for the Secured Party are listed in </w:t>
      </w:r>
      <w:r>
        <w:rPr>
          <w:rFonts w:ascii="Arial" w:cs="Arial" w:eastAsia="Arial" w:hAnsi="Arial"/>
          <w:sz w:val="18"/>
          <w:szCs w:val="18"/>
          <w:u w:val="single" w:color="auto"/>
          <w:color w:val="auto"/>
        </w:rPr>
        <w:t>Annex 2.</w:t>
      </w:r>
    </w:p>
    <w:p>
      <w:pPr>
        <w:spacing w:after="0" w:line="219" w:lineRule="exact"/>
        <w:rPr>
          <w:rFonts w:ascii="Arial" w:cs="Arial" w:eastAsia="Arial" w:hAnsi="Arial"/>
          <w:sz w:val="18"/>
          <w:szCs w:val="18"/>
          <w:color w:val="auto"/>
        </w:rPr>
      </w:pPr>
    </w:p>
    <w:p>
      <w:pPr>
        <w:jc w:val="both"/>
        <w:ind w:left="644" w:hanging="644"/>
        <w:spacing w:after="0" w:line="279" w:lineRule="auto"/>
        <w:tabs>
          <w:tab w:leader="none" w:pos="64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Custodian shall provide the Secured Party, on the Secured Party's request, duplicates of all bank account statements in respect of the Securities Account. However, the Custodian does not undertake any obligation and responsibility other than the obligations and responsibilities explicitly contained in this Control Agreement. In particular, it makes no representation in relation to the Securities and has no obligation to monitor the value of the Securities and waives any such responsibility and liability.</w:t>
      </w:r>
    </w:p>
    <w:p>
      <w:pPr>
        <w:spacing w:after="0" w:line="198" w:lineRule="exact"/>
        <w:rPr>
          <w:rFonts w:ascii="Arial" w:cs="Arial" w:eastAsia="Arial" w:hAnsi="Arial"/>
          <w:sz w:val="17"/>
          <w:szCs w:val="17"/>
          <w:color w:val="auto"/>
        </w:rPr>
      </w:pPr>
    </w:p>
    <w:p>
      <w:pPr>
        <w:ind w:left="644" w:hanging="644"/>
        <w:spacing w:after="0"/>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Custodian is not obliged to monitor the proceeds obtained from the exercise of the Subscription Rights.</w:t>
      </w:r>
    </w:p>
    <w:p>
      <w:pPr>
        <w:spacing w:after="0" w:line="194" w:lineRule="exact"/>
        <w:rPr>
          <w:sz w:val="20"/>
          <w:szCs w:val="20"/>
          <w:color w:val="auto"/>
        </w:rPr>
      </w:pPr>
    </w:p>
    <w:p>
      <w:pPr>
        <w:ind w:left="9784"/>
        <w:spacing w:after="0"/>
        <w:rPr>
          <w:sz w:val="20"/>
          <w:szCs w:val="20"/>
          <w:color w:val="auto"/>
        </w:rPr>
      </w:pPr>
      <w:r>
        <w:rPr>
          <w:rFonts w:ascii="Arial" w:cs="Arial" w:eastAsia="Arial" w:hAnsi="Arial"/>
          <w:sz w:val="12"/>
          <w:szCs w:val="12"/>
          <w:color w:val="auto"/>
        </w:rPr>
        <w:t>Page 14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52705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98" w:lineRule="exact"/>
        <w:rPr>
          <w:sz w:val="20"/>
          <w:szCs w:val="20"/>
          <w:color w:val="auto"/>
        </w:rPr>
      </w:pPr>
    </w:p>
    <w:p>
      <w:pPr>
        <w:jc w:val="both"/>
        <w:ind w:left="644" w:hanging="644"/>
        <w:spacing w:after="0" w:line="273" w:lineRule="auto"/>
        <w:tabs>
          <w:tab w:leader="none" w:pos="644"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any case, the Custodian reserves the right not to comply with any instructions if compliance with such instructions is not permitted by law, regulation, court or administrative orders or to the extent that compliance with such instructions would be in conflict with any rule, measure or requirement of any authority which the Custodian is subject to or reasonably expected to comply with. Unless otherwise prohibited by law, regulation, court or administrative orders, the Custodian shall inform the Secured Party immediately about any such rule, measure or requirement, but waives any obligation to represent the Secured Party or any of the Secured Party's successors, assignees, transferees and/or the Security Provider before any such authority or in any proceedings.</w:t>
      </w:r>
    </w:p>
    <w:p>
      <w:pPr>
        <w:spacing w:after="0" w:line="204"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extent required by any applicable law, regulation, court or administrative orders, the Custodian shall be authorized to disclose information regarding, this Control Agreement, the Securities Account and Security Interest to any regulatory authority, any court or any competent judicial, governmental, supervisory of official body having jurisdiction over, or which is reasonably expected to be having jurisdiction over, the Custodian.</w:t>
      </w:r>
    </w:p>
    <w:p>
      <w:pPr>
        <w:spacing w:after="0" w:line="213"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to Section 15 the Custodian hereby undertakes not to close the Securities Account or to transfer the Securities Account to another custodian or bank without the Secured Party's prior explicit written consent.</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Custodian shall be:</w:t>
      </w:r>
    </w:p>
    <w:p>
      <w:pPr>
        <w:spacing w:after="0" w:line="252" w:lineRule="exact"/>
        <w:rPr>
          <w:rFonts w:ascii="Arial" w:cs="Arial" w:eastAsia="Arial" w:hAnsi="Arial"/>
          <w:sz w:val="18"/>
          <w:szCs w:val="18"/>
          <w:color w:val="auto"/>
        </w:rPr>
      </w:pPr>
    </w:p>
    <w:p>
      <w:pPr>
        <w:ind w:left="1304" w:hanging="656"/>
        <w:spacing w:after="0" w:line="342" w:lineRule="auto"/>
        <w:tabs>
          <w:tab w:leader="none" w:pos="1304" w:val="left"/>
        </w:tabs>
        <w:numPr>
          <w:ilvl w:val="1"/>
          <w:numId w:val="51"/>
        </w:numPr>
        <w:rPr>
          <w:rFonts w:ascii="Arial" w:cs="Arial" w:eastAsia="Arial" w:hAnsi="Arial"/>
          <w:sz w:val="16"/>
          <w:szCs w:val="16"/>
          <w:color w:val="auto"/>
        </w:rPr>
      </w:pPr>
      <w:r>
        <w:rPr>
          <w:rFonts w:ascii="Arial" w:cs="Arial" w:eastAsia="Arial" w:hAnsi="Arial"/>
          <w:sz w:val="16"/>
          <w:szCs w:val="16"/>
          <w:color w:val="auto"/>
        </w:rPr>
        <w:t>protected in acting upon any written instruction, notice, request, demand, waiver, consent, receipt or other paper or document furnished to the Custodian by the Secured Party and/or the Security Provider, in accordance with this Control Agreement; and</w:t>
      </w:r>
    </w:p>
    <w:p>
      <w:pPr>
        <w:spacing w:after="0" w:line="92" w:lineRule="exact"/>
        <w:rPr>
          <w:sz w:val="20"/>
          <w:szCs w:val="20"/>
          <w:color w:val="auto"/>
        </w:rPr>
      </w:pPr>
    </w:p>
    <w:p>
      <w:pPr>
        <w:ind w:left="9784"/>
        <w:spacing w:after="0"/>
        <w:rPr>
          <w:sz w:val="20"/>
          <w:szCs w:val="20"/>
          <w:color w:val="auto"/>
        </w:rPr>
      </w:pPr>
      <w:r>
        <w:rPr>
          <w:rFonts w:ascii="Arial" w:cs="Arial" w:eastAsia="Arial" w:hAnsi="Arial"/>
          <w:sz w:val="12"/>
          <w:szCs w:val="12"/>
          <w:color w:val="auto"/>
        </w:rPr>
        <w:t>Page 15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4" w:hanging="656"/>
        <w:spacing w:after="0" w:line="277" w:lineRule="auto"/>
        <w:tabs>
          <w:tab w:leader="none" w:pos="1304" w:val="left"/>
        </w:tabs>
        <w:numPr>
          <w:ilvl w:val="1"/>
          <w:numId w:val="52"/>
        </w:numPr>
        <w:rPr>
          <w:rFonts w:ascii="Arial" w:cs="Arial" w:eastAsia="Arial" w:hAnsi="Arial"/>
          <w:sz w:val="18"/>
          <w:szCs w:val="18"/>
          <w:color w:val="auto"/>
        </w:rPr>
      </w:pPr>
      <w:r>
        <w:rPr>
          <w:rFonts w:ascii="Arial" w:cs="Arial" w:eastAsia="Arial" w:hAnsi="Arial"/>
          <w:sz w:val="18"/>
          <w:szCs w:val="18"/>
          <w:color w:val="auto"/>
        </w:rPr>
        <w:t>entitled to fully rely without need for any enquiry on its part on any instruction, written notice or certification given to it by the Secured Party and/or the Security Provider in accordance with this Control Agreement.</w:t>
      </w:r>
    </w:p>
    <w:p>
      <w:pPr>
        <w:spacing w:after="0" w:line="197"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Custodian shall be entitled to refuse to act on any instructions and other notices that are unclear or ambiguous until such time as it is able to clarify such notification. The Custodian undertakes to immediately inform the Secured Party and/or the Security Provider, as applicable, in case any instructions and other notices are unclear.</w:t>
      </w:r>
    </w:p>
    <w:p>
      <w:pPr>
        <w:spacing w:after="0" w:line="210" w:lineRule="exact"/>
        <w:rPr>
          <w:rFonts w:ascii="Arial" w:cs="Arial" w:eastAsia="Arial" w:hAnsi="Arial"/>
          <w:sz w:val="18"/>
          <w:szCs w:val="18"/>
          <w:color w:val="auto"/>
        </w:rPr>
      </w:pPr>
    </w:p>
    <w:p>
      <w:pPr>
        <w:jc w:val="both"/>
        <w:ind w:left="644" w:hanging="644"/>
        <w:spacing w:after="0" w:line="311" w:lineRule="auto"/>
        <w:tabs>
          <w:tab w:leader="none" w:pos="64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Secured Party and the Security Provider agree that the Custodian has not provided or made, or will provide or make, any advice or representation with respect to tax consequences of this Control Agreement to any person. The Secured Party and the Security Provider acknowledge the recommendation of the Custodian to procure independent tax advice in respect of this Control Agreement.</w:t>
      </w:r>
    </w:p>
    <w:p>
      <w:pPr>
        <w:spacing w:after="0" w:line="175" w:lineRule="exact"/>
        <w:rPr>
          <w:rFonts w:ascii="Arial" w:cs="Arial" w:eastAsia="Arial" w:hAnsi="Arial"/>
          <w:sz w:val="16"/>
          <w:szCs w:val="16"/>
          <w:color w:val="auto"/>
        </w:rPr>
      </w:pPr>
    </w:p>
    <w:p>
      <w:pPr>
        <w:jc w:val="both"/>
        <w:ind w:left="644" w:hanging="644"/>
        <w:spacing w:after="0" w:line="271" w:lineRule="auto"/>
        <w:tabs>
          <w:tab w:leader="none" w:pos="64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Custodian reserves the right to use discretion when executing a sell instruction; in particular, the Custodian would usually – but under reservation of its own discretion – capture not more than a maximum of 10-20% of the average market volume in the Securities. Depending on the amount of Securities to be sold and the then prevailing market conditions, the selling of Securities may take place over an extensive time period. The Security Provider and the Secured Party know and accept the price risks when selling substantial volumes. The Security Provider and the Secured Party expressly release the Custodian from any liability in relation with the execution of a selling instruction. The Custodian cannot be held liable for any price movements and subsequent losses due to executing a selling instruction and will be indemnified (including for legal costs) by the Security Provider and the Secured Party for any claims made against him as a consequence of following the selling instructions.</w:t>
      </w:r>
    </w:p>
    <w:p>
      <w:pPr>
        <w:spacing w:after="0" w:line="147" w:lineRule="exact"/>
        <w:rPr>
          <w:sz w:val="20"/>
          <w:szCs w:val="20"/>
          <w:color w:val="auto"/>
        </w:rPr>
      </w:pPr>
    </w:p>
    <w:p>
      <w:pPr>
        <w:ind w:left="9784"/>
        <w:spacing w:after="0"/>
        <w:rPr>
          <w:sz w:val="20"/>
          <w:szCs w:val="20"/>
          <w:color w:val="auto"/>
        </w:rPr>
      </w:pPr>
      <w:r>
        <w:rPr>
          <w:rFonts w:ascii="Arial" w:cs="Arial" w:eastAsia="Arial" w:hAnsi="Arial"/>
          <w:sz w:val="12"/>
          <w:szCs w:val="12"/>
          <w:color w:val="auto"/>
        </w:rPr>
        <w:t>Page 16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52705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98" w:lineRule="exact"/>
        <w:rPr>
          <w:sz w:val="20"/>
          <w:szCs w:val="20"/>
          <w:color w:val="auto"/>
        </w:rPr>
      </w:pPr>
    </w:p>
    <w:p>
      <w:pPr>
        <w:jc w:val="both"/>
        <w:ind w:left="1300" w:hanging="644"/>
        <w:spacing w:after="0" w:line="259"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Secured Party and the Security Provider acknowledge that the sale and/or the transfer of certain shares might be restricted (e.g. for US Securities falling under SEC Rule 144) and only permitted if a number of conditions are met and certain authorizations have been obtained. The Security Provider and the Secured Party expressly release the Custodian from any liability for any delay or inaction pending the obtaining of such authorizations.</w:t>
      </w: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p>
    <w:p>
      <w:pPr>
        <w:spacing w:after="0" w:line="239" w:lineRule="exact"/>
        <w:rPr>
          <w:rFonts w:ascii="Arial" w:cs="Arial" w:eastAsia="Arial" w:hAnsi="Arial"/>
          <w:sz w:val="22"/>
          <w:szCs w:val="22"/>
          <w:b w:val="1"/>
          <w:bCs w:val="1"/>
          <w:color w:val="auto"/>
        </w:rPr>
      </w:pPr>
    </w:p>
    <w:p>
      <w:pPr>
        <w:jc w:val="both"/>
        <w:ind w:left="66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Subject to the terms and conditions of this Control Agreement, and for as long as this Control Agreement is effective, the Custodian waives all of its own security or preferential rights in relation to the Securities Account (for the avoidance of doubt including any assets credited to the Securities Account) and the Security Interest, including, but not limited to, any rights of lien, retention rights, rights of set-off or assignment rights the Custodian may have in relation to the Securities Account and the Security Interest, now or any time hereafter. The waiver applies exclusively for the benefit of the security provided to the Secured Party under this Control Agreement. Any security, in relation to the Securities Account granted to the Custodian by the Security Provider shall remain effective, subject to the priority security rights granted to the Secured Party under this Control Agreement.</w:t>
      </w:r>
    </w:p>
    <w:p>
      <w:pPr>
        <w:spacing w:after="0" w:line="200" w:lineRule="exact"/>
        <w:rPr>
          <w:rFonts w:ascii="Arial" w:cs="Arial" w:eastAsia="Arial" w:hAnsi="Arial"/>
          <w:sz w:val="22"/>
          <w:szCs w:val="22"/>
          <w:b w:val="1"/>
          <w:bCs w:val="1"/>
          <w:color w:val="auto"/>
        </w:rPr>
      </w:pPr>
    </w:p>
    <w:p>
      <w:pPr>
        <w:ind w:left="660" w:hanging="652"/>
        <w:spacing w:after="0"/>
        <w:tabs>
          <w:tab w:leader="none" w:pos="6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w:t>
      </w:r>
    </w:p>
    <w:p>
      <w:pPr>
        <w:spacing w:after="0" w:line="239" w:lineRule="exact"/>
        <w:rPr>
          <w:rFonts w:ascii="Arial" w:cs="Arial" w:eastAsia="Arial" w:hAnsi="Arial"/>
          <w:sz w:val="22"/>
          <w:szCs w:val="22"/>
          <w:b w:val="1"/>
          <w:bCs w:val="1"/>
          <w:color w:val="auto"/>
        </w:rPr>
      </w:pPr>
    </w:p>
    <w:p>
      <w:pPr>
        <w:ind w:left="66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The Security Provider hereby represents and warrants to the Secured Party that as of the date of this Control Agreement the Securities constitute intermediated securities (</w:t>
      </w:r>
      <w:r>
        <w:rPr>
          <w:rFonts w:ascii="Arial" w:cs="Arial" w:eastAsia="Arial" w:hAnsi="Arial"/>
          <w:sz w:val="22"/>
          <w:szCs w:val="22"/>
          <w:i w:val="1"/>
          <w:iCs w:val="1"/>
          <w:color w:val="auto"/>
        </w:rPr>
        <w:t>Bucheffekten</w:t>
      </w:r>
      <w:r>
        <w:rPr>
          <w:rFonts w:ascii="Arial" w:cs="Arial" w:eastAsia="Arial" w:hAnsi="Arial"/>
          <w:sz w:val="22"/>
          <w:szCs w:val="22"/>
          <w:color w:val="auto"/>
        </w:rPr>
        <w:t>) pursuant to the FISA.</w:t>
      </w:r>
    </w:p>
    <w:p>
      <w:pPr>
        <w:spacing w:after="0" w:line="151"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17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Undertakings</w:t>
      </w:r>
    </w:p>
    <w:p>
      <w:pPr>
        <w:spacing w:after="0" w:line="23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The Security Provider hereby undertakes to the Secured Party for as long as the Security Interest remains in effect:</w:t>
      </w:r>
    </w:p>
    <w:p>
      <w:pPr>
        <w:spacing w:after="0" w:line="274" w:lineRule="exact"/>
        <w:rPr>
          <w:rFonts w:ascii="Arial" w:cs="Arial" w:eastAsia="Arial" w:hAnsi="Arial"/>
          <w:sz w:val="22"/>
          <w:szCs w:val="22"/>
          <w:b w:val="1"/>
          <w:bCs w:val="1"/>
          <w:color w:val="auto"/>
        </w:rPr>
      </w:pPr>
    </w:p>
    <w:p>
      <w:pPr>
        <w:ind w:left="1300" w:right="20" w:hanging="644"/>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not to dispose of any or all Securities it holds at any time in the Securities Account and not to close the Securities Account, except with the prior written consent of the Secured Party;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ensure that any and all Securities qualify and will qualify as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pursuant to the FISA.</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Fees/Costs</w:t>
      </w:r>
    </w:p>
    <w:p>
      <w:pPr>
        <w:spacing w:after="0" w:line="23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The remuneration of the Custodian shall be as follows:</w:t>
      </w:r>
    </w:p>
    <w:p>
      <w:pPr>
        <w:spacing w:after="0" w:line="233" w:lineRule="exact"/>
        <w:rPr>
          <w:rFonts w:ascii="Arial" w:cs="Arial" w:eastAsia="Arial" w:hAnsi="Arial"/>
          <w:sz w:val="22"/>
          <w:szCs w:val="22"/>
          <w:b w:val="1"/>
          <w:bCs w:val="1"/>
          <w:color w:val="auto"/>
        </w:rPr>
      </w:pPr>
    </w:p>
    <w:p>
      <w:pPr>
        <w:ind w:left="660" w:right="200"/>
        <w:spacing w:after="0" w:line="461" w:lineRule="auto"/>
        <w:rPr>
          <w:rFonts w:ascii="Arial" w:cs="Arial" w:eastAsia="Arial" w:hAnsi="Arial"/>
          <w:sz w:val="22"/>
          <w:szCs w:val="22"/>
          <w:b w:val="1"/>
          <w:bCs w:val="1"/>
          <w:color w:val="auto"/>
        </w:rPr>
      </w:pPr>
      <w:r>
        <w:rPr>
          <w:rFonts w:ascii="Arial" w:cs="Arial" w:eastAsia="Arial" w:hAnsi="Arial"/>
          <w:sz w:val="22"/>
          <w:szCs w:val="22"/>
          <w:color w:val="auto"/>
        </w:rPr>
        <w:t>A one-time set-up fee in the amount of CHF 20,000 plus VAT (if applicable) to be paid upon invoiced by the Custodian; plus:</w:t>
      </w:r>
    </w:p>
    <w:p>
      <w:pPr>
        <w:ind w:left="66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an annual fee of CHF 10,000 plus VAT (if applicable) for each period of twelve (12) months from the date hereof, per annum pro rata temporis, payable annually upon invoiced by the Custodian.</w:t>
      </w:r>
    </w:p>
    <w:p>
      <w:pPr>
        <w:spacing w:after="0" w:line="201" w:lineRule="exact"/>
        <w:rPr>
          <w:rFonts w:ascii="Arial" w:cs="Arial" w:eastAsia="Arial" w:hAnsi="Arial"/>
          <w:sz w:val="22"/>
          <w:szCs w:val="22"/>
          <w:b w:val="1"/>
          <w:bCs w:val="1"/>
          <w:color w:val="auto"/>
        </w:rPr>
      </w:pPr>
    </w:p>
    <w:p>
      <w:pPr>
        <w:ind w:left="660" w:right="20"/>
        <w:spacing w:after="0" w:line="274" w:lineRule="auto"/>
        <w:rPr>
          <w:rFonts w:ascii="Arial" w:cs="Arial" w:eastAsia="Arial" w:hAnsi="Arial"/>
          <w:sz w:val="22"/>
          <w:szCs w:val="22"/>
          <w:b w:val="1"/>
          <w:bCs w:val="1"/>
          <w:color w:val="auto"/>
        </w:rPr>
      </w:pPr>
      <w:r>
        <w:rPr>
          <w:rFonts w:ascii="Arial" w:cs="Arial" w:eastAsia="Arial" w:hAnsi="Arial"/>
          <w:sz w:val="21"/>
          <w:szCs w:val="21"/>
          <w:color w:val="auto"/>
        </w:rPr>
        <w:t>Any costs and expenses (including legal fees) of the Custodian arising out of or in connection with the performance of the Custodian's obligations under this Control Agreement shall be borne by the Security Provider.</w:t>
      </w:r>
    </w:p>
    <w:p>
      <w:pPr>
        <w:spacing w:after="0" w:line="126"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18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91"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In addition, the usual banking commission and fees for the maintenance of the Securities Account (including trade orders) or similar fees as well as all costs, taxes (such as but no limited to any stamp duty, if any) or fees incurred by investing, managing or transferring the Security Interest will be charged. Such fees, costs and taxes (if any) are to be borne by the Security Provider.</w:t>
      </w:r>
    </w:p>
    <w:p>
      <w:pPr>
        <w:spacing w:after="0" w:line="212"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All commissions, taxes and fees shall be borne by the Security Provider and may be debited by the Custodian directly to an account under the banking relationship with the Security Provider.</w:t>
      </w:r>
    </w:p>
    <w:p>
      <w:pPr>
        <w:spacing w:after="0" w:line="196"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Role of the Custodian</w:t>
      </w:r>
    </w:p>
    <w:p>
      <w:pPr>
        <w:spacing w:after="0" w:line="239" w:lineRule="exact"/>
        <w:rPr>
          <w:rFonts w:ascii="Arial" w:cs="Arial" w:eastAsia="Arial" w:hAnsi="Arial"/>
          <w:sz w:val="22"/>
          <w:szCs w:val="22"/>
          <w:b w:val="1"/>
          <w:bCs w:val="1"/>
          <w:color w:val="auto"/>
        </w:rPr>
      </w:pPr>
    </w:p>
    <w:p>
      <w:pPr>
        <w:jc w:val="both"/>
        <w:ind w:left="660"/>
        <w:spacing w:after="0"/>
        <w:rPr>
          <w:rFonts w:ascii="Arial" w:cs="Arial" w:eastAsia="Arial" w:hAnsi="Arial"/>
          <w:sz w:val="22"/>
          <w:szCs w:val="22"/>
          <w:b w:val="1"/>
          <w:bCs w:val="1"/>
          <w:color w:val="auto"/>
        </w:rPr>
      </w:pPr>
      <w:r>
        <w:rPr>
          <w:rFonts w:ascii="Arial" w:cs="Arial" w:eastAsia="Arial" w:hAnsi="Arial"/>
          <w:sz w:val="22"/>
          <w:szCs w:val="22"/>
          <w:color w:val="auto"/>
        </w:rPr>
        <w:t>The Security Provider and the Secured Party take note that the Custodian is not and does not intend to be a party to the Security Agreement nor any other agreement between the Security Provider and the Secured Party other than this Control Agreement.</w:t>
      </w:r>
    </w:p>
    <w:p>
      <w:pPr>
        <w:spacing w:after="0" w:line="207" w:lineRule="exact"/>
        <w:rPr>
          <w:rFonts w:ascii="Arial" w:cs="Arial" w:eastAsia="Arial" w:hAnsi="Arial"/>
          <w:sz w:val="22"/>
          <w:szCs w:val="22"/>
          <w:b w:val="1"/>
          <w:bCs w:val="1"/>
          <w:color w:val="auto"/>
        </w:rPr>
      </w:pPr>
    </w:p>
    <w:p>
      <w:pPr>
        <w:ind w:left="660" w:hanging="652"/>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Indemnity</w:t>
      </w:r>
    </w:p>
    <w:p>
      <w:pPr>
        <w:spacing w:after="0" w:line="239" w:lineRule="exact"/>
        <w:rPr>
          <w:rFonts w:ascii="Arial" w:cs="Arial" w:eastAsia="Arial" w:hAnsi="Arial"/>
          <w:sz w:val="22"/>
          <w:szCs w:val="22"/>
          <w:b w:val="1"/>
          <w:bCs w:val="1"/>
          <w:color w:val="auto"/>
        </w:rPr>
      </w:pPr>
    </w:p>
    <w:p>
      <w:pPr>
        <w:ind w:left="660" w:right="28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The Security Provider shall hold the Custodian harmless of, and indemnify the Custodian against, any losses, damages, claims, reasonable costs or reasonable expenses (including legal fees) which the Custodian suffers in connection with anything done or omitted to be done in the due exercise of the powers contained herein or in any relating documents including the enforcement of the Security Interest, unless the Custodian acts in wilful misconduct (</w:t>
      </w:r>
      <w:r>
        <w:rPr>
          <w:rFonts w:ascii="Arial" w:cs="Arial" w:eastAsia="Arial" w:hAnsi="Arial"/>
          <w:sz w:val="22"/>
          <w:szCs w:val="22"/>
          <w:i w:val="1"/>
          <w:iCs w:val="1"/>
          <w:color w:val="auto"/>
        </w:rPr>
        <w:t>Absicht</w:t>
      </w:r>
      <w:r>
        <w:rPr>
          <w:rFonts w:ascii="Arial" w:cs="Arial" w:eastAsia="Arial" w:hAnsi="Arial"/>
          <w:sz w:val="22"/>
          <w:szCs w:val="22"/>
          <w:color w:val="auto"/>
        </w:rPr>
        <w:t>) or gross negligence (</w:t>
      </w:r>
      <w:r>
        <w:rPr>
          <w:rFonts w:ascii="Arial" w:cs="Arial" w:eastAsia="Arial" w:hAnsi="Arial"/>
          <w:sz w:val="22"/>
          <w:szCs w:val="22"/>
          <w:i w:val="1"/>
          <w:iCs w:val="1"/>
          <w:color w:val="auto"/>
        </w:rPr>
        <w:t>grobe Fahrlässigkeit</w:t>
      </w:r>
      <w:r>
        <w:rPr>
          <w:rFonts w:ascii="Arial" w:cs="Arial" w:eastAsia="Arial" w:hAnsi="Arial"/>
          <w:sz w:val="22"/>
          <w:szCs w:val="22"/>
          <w:color w:val="auto"/>
        </w:rPr>
        <w:t>).</w:t>
      </w:r>
    </w:p>
    <w:p>
      <w:pPr>
        <w:spacing w:after="0" w:line="214" w:lineRule="exact"/>
        <w:rPr>
          <w:rFonts w:ascii="Arial" w:cs="Arial" w:eastAsia="Arial" w:hAnsi="Arial"/>
          <w:sz w:val="22"/>
          <w:szCs w:val="22"/>
          <w:b w:val="1"/>
          <w:bCs w:val="1"/>
          <w:color w:val="auto"/>
        </w:rPr>
      </w:pPr>
    </w:p>
    <w:p>
      <w:pPr>
        <w:jc w:val="both"/>
        <w:ind w:left="660"/>
        <w:spacing w:after="0"/>
        <w:rPr>
          <w:rFonts w:ascii="Arial" w:cs="Arial" w:eastAsia="Arial" w:hAnsi="Arial"/>
          <w:sz w:val="22"/>
          <w:szCs w:val="22"/>
          <w:b w:val="1"/>
          <w:bCs w:val="1"/>
          <w:color w:val="auto"/>
        </w:rPr>
      </w:pPr>
      <w:r>
        <w:rPr>
          <w:rFonts w:ascii="Arial" w:cs="Arial" w:eastAsia="Arial" w:hAnsi="Arial"/>
          <w:sz w:val="22"/>
          <w:szCs w:val="22"/>
          <w:color w:val="auto"/>
        </w:rPr>
        <w:t>The Custodian shall not be liable for any loss or damage suffered by the Security Provider or the Secured Party save in respect of such loss or damage which is suffered as a result of the willful misconduct (</w:t>
      </w:r>
      <w:r>
        <w:rPr>
          <w:rFonts w:ascii="Arial" w:cs="Arial" w:eastAsia="Arial" w:hAnsi="Arial"/>
          <w:sz w:val="22"/>
          <w:szCs w:val="22"/>
          <w:i w:val="1"/>
          <w:iCs w:val="1"/>
          <w:color w:val="auto"/>
        </w:rPr>
        <w:t>Absicht</w:t>
      </w:r>
      <w:r>
        <w:rPr>
          <w:rFonts w:ascii="Arial" w:cs="Arial" w:eastAsia="Arial" w:hAnsi="Arial"/>
          <w:sz w:val="22"/>
          <w:szCs w:val="22"/>
          <w:color w:val="auto"/>
        </w:rPr>
        <w:t>) or gross negligence (</w:t>
      </w:r>
      <w:r>
        <w:rPr>
          <w:rFonts w:ascii="Arial" w:cs="Arial" w:eastAsia="Arial" w:hAnsi="Arial"/>
          <w:sz w:val="22"/>
          <w:szCs w:val="22"/>
          <w:i w:val="1"/>
          <w:iCs w:val="1"/>
          <w:color w:val="auto"/>
        </w:rPr>
        <w:t>grobe</w:t>
      </w:r>
      <w:r>
        <w:rPr>
          <w:rFonts w:ascii="Arial" w:cs="Arial" w:eastAsia="Arial" w:hAnsi="Arial"/>
          <w:sz w:val="22"/>
          <w:szCs w:val="22"/>
          <w:color w:val="auto"/>
        </w:rPr>
        <w:t xml:space="preserve"> </w:t>
      </w:r>
      <w:r>
        <w:rPr>
          <w:rFonts w:ascii="Arial" w:cs="Arial" w:eastAsia="Arial" w:hAnsi="Arial"/>
          <w:sz w:val="22"/>
          <w:szCs w:val="22"/>
          <w:i w:val="1"/>
          <w:iCs w:val="1"/>
          <w:color w:val="auto"/>
        </w:rPr>
        <w:t>Fahrlässigkeit</w:t>
      </w:r>
      <w:r>
        <w:rPr>
          <w:rFonts w:ascii="Arial" w:cs="Arial" w:eastAsia="Arial" w:hAnsi="Arial"/>
          <w:sz w:val="22"/>
          <w:szCs w:val="22"/>
          <w:color w:val="auto"/>
        </w:rPr>
        <w:t>) of the Custodian.</w:t>
      </w:r>
    </w:p>
    <w:p>
      <w:pPr>
        <w:spacing w:after="0" w:line="162"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19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Duration, Termination</w:t>
      </w:r>
    </w:p>
    <w:p>
      <w:pPr>
        <w:spacing w:after="0" w:line="246" w:lineRule="exact"/>
        <w:rPr>
          <w:rFonts w:ascii="Arial" w:cs="Arial" w:eastAsia="Arial" w:hAnsi="Arial"/>
          <w:sz w:val="22"/>
          <w:szCs w:val="22"/>
          <w:b w:val="1"/>
          <w:bCs w:val="1"/>
          <w:color w:val="auto"/>
        </w:rPr>
      </w:pPr>
    </w:p>
    <w:p>
      <w:pPr>
        <w:jc w:val="both"/>
        <w:ind w:left="1300" w:hanging="644"/>
        <w:spacing w:after="0" w:line="253"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If any one of the Security Provider or the Secured Party at any point in time becomes a person with whom dealing would be prohibited under any law or regulation applicable to the Custodian or with whom dealing would present unacceptable reputational risks for the Custodian, the Custodian may terminate the Control Agreement and terminate the banking relationship covered by it, including the Securities Account (the </w:t>
      </w:r>
      <w:r>
        <w:rPr>
          <w:rFonts w:ascii="Arial" w:cs="Arial" w:eastAsia="Arial" w:hAnsi="Arial"/>
          <w:sz w:val="18"/>
          <w:szCs w:val="18"/>
          <w:b w:val="1"/>
          <w:bCs w:val="1"/>
          <w:color w:val="auto"/>
        </w:rPr>
        <w:t>Termination</w:t>
      </w:r>
      <w:r>
        <w:rPr>
          <w:rFonts w:ascii="Arial" w:cs="Arial" w:eastAsia="Arial" w:hAnsi="Arial"/>
          <w:sz w:val="18"/>
          <w:szCs w:val="18"/>
          <w:color w:val="auto"/>
        </w:rPr>
        <w:t xml:space="preserve">). The Custodian shall inform the Security Provider and the Secured Party of the termination in writing (the </w:t>
      </w:r>
      <w:r>
        <w:rPr>
          <w:rFonts w:ascii="Arial" w:cs="Arial" w:eastAsia="Arial" w:hAnsi="Arial"/>
          <w:sz w:val="18"/>
          <w:szCs w:val="18"/>
          <w:b w:val="1"/>
          <w:bCs w:val="1"/>
          <w:color w:val="auto"/>
        </w:rPr>
        <w:t>Termination Notice</w:t>
      </w:r>
      <w:r>
        <w:rPr>
          <w:rFonts w:ascii="Arial" w:cs="Arial" w:eastAsia="Arial" w:hAnsi="Arial"/>
          <w:sz w:val="18"/>
          <w:szCs w:val="18"/>
          <w:color w:val="auto"/>
        </w:rPr>
        <w:t>) and keep the Security Interest blocked until receipt of joint written instructions by the Security Provider and the Secured Party where the Security Interest held in the Securities Account together with this Control Agreement are to be assigned and transferred to (as applicable). If they cannot agree on a successor within 10 Business Days following the date of the Termination Notice, the Secured Party shall elect the successor in line with Section 15(b) below and such election shall be binding upon the Security Provider.</w:t>
      </w:r>
    </w:p>
    <w:p>
      <w:pPr>
        <w:spacing w:after="0" w:line="223"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Failing receipt of a joint written instruction within 10 Business Days after the date of the Termination Notice and failing an election by the Secured Party after further 10 Business Days, the Custodian shall have the right (i) to transfer the Security Interest to the Secured Party or (ii) to assign and transfer this Control Agreement to a successor custodian and upon completion of such transfer the Custodian shall be fully released from its obligations under this Control Agreement.</w:t>
      </w:r>
    </w:p>
    <w:p>
      <w:pPr>
        <w:spacing w:after="0" w:line="155"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20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94" w:lineRule="exact"/>
        <w:rPr>
          <w:sz w:val="20"/>
          <w:szCs w:val="20"/>
          <w:color w:val="auto"/>
        </w:rPr>
      </w:pPr>
    </w:p>
    <w:p>
      <w:pPr>
        <w:jc w:val="both"/>
        <w:ind w:left="1300" w:hanging="644"/>
        <w:spacing w:after="0" w:line="291"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If the Custodian ceases to duly perform its duties (a </w:t>
      </w:r>
      <w:r>
        <w:rPr>
          <w:rFonts w:ascii="Arial" w:cs="Arial" w:eastAsia="Arial" w:hAnsi="Arial"/>
          <w:sz w:val="16"/>
          <w:szCs w:val="16"/>
          <w:b w:val="1"/>
          <w:bCs w:val="1"/>
          <w:color w:val="auto"/>
        </w:rPr>
        <w:t>Relevant Event</w:t>
      </w:r>
      <w:r>
        <w:rPr>
          <w:rFonts w:ascii="Arial" w:cs="Arial" w:eastAsia="Arial" w:hAnsi="Arial"/>
          <w:sz w:val="16"/>
          <w:szCs w:val="16"/>
          <w:color w:val="auto"/>
        </w:rPr>
        <w:t>), the Secured Party and the Security Provider may as soon as practicable appoint a new custodian and enter in any agreement as reasonably necessary in order to ensure continuance of the Security Interest. If no new custodian is appointed by 5 Business Days after a Relevant Event, the Secured Party may choose, among others, to appoint a new custodian. The Security Provider shall give all reasonable necessary authorization and take any other measure and actions reasonably necessary for the appointment of the new custodian and continuance of the Security Interest. In any event, to the extent possible, a new control agreement shall duplicate the provisions of this Control Agreement. For the avoidance of doubt the security with the new custodian is based on the obligations pursuant to the Facility Agreement, the Security Agreement and this Control Agreement and shall in particular not constitute a new obligation to secure and/or pledge within the meaning of article 287 para. 1 ciph. 1 DEBA.</w:t>
      </w:r>
    </w:p>
    <w:p>
      <w:pPr>
        <w:spacing w:after="0" w:line="190"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Without limiting the provisions of Section 5, upon a Relevant Event the Custodian undertakes to immediately assign, transfer or deliver, as applicable, the Securities, the Related Rights and any further credit balances on the Securities Account to any accounts as instructed pursuant to Section 15(c).</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any event, this Control Agreement shall automatically be terminated upon the Custodian's explicit written release from its obligations under this Control Agreement by the Secured Party.</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Bank Secrecy Waiver</w:t>
      </w:r>
    </w:p>
    <w:p>
      <w:pPr>
        <w:spacing w:after="0" w:line="239" w:lineRule="exact"/>
        <w:rPr>
          <w:rFonts w:ascii="Arial" w:cs="Arial" w:eastAsia="Arial" w:hAnsi="Arial"/>
          <w:sz w:val="22"/>
          <w:szCs w:val="22"/>
          <w:b w:val="1"/>
          <w:bCs w:val="1"/>
          <w:color w:val="auto"/>
        </w:rPr>
      </w:pPr>
    </w:p>
    <w:p>
      <w:pPr>
        <w:jc w:val="both"/>
        <w:ind w:left="660"/>
        <w:spacing w:after="0" w:line="297" w:lineRule="auto"/>
        <w:rPr>
          <w:rFonts w:ascii="Arial" w:cs="Arial" w:eastAsia="Arial" w:hAnsi="Arial"/>
          <w:sz w:val="22"/>
          <w:szCs w:val="22"/>
          <w:b w:val="1"/>
          <w:bCs w:val="1"/>
          <w:color w:val="auto"/>
        </w:rPr>
      </w:pPr>
      <w:r>
        <w:rPr>
          <w:rFonts w:ascii="Arial" w:cs="Arial" w:eastAsia="Arial" w:hAnsi="Arial"/>
          <w:sz w:val="19"/>
          <w:szCs w:val="19"/>
          <w:color w:val="auto"/>
        </w:rPr>
        <w:t>The Security Provider explicitly authorizes the Secured Party to request from the Custodian, and the Custodian to provide the Secured Party with, any data regarding the Securities Account and the Security Interest and the Security Provider hereby explicitly waives its right of confidentiality, its banking secrecy and data protection rights in this regard.</w:t>
      </w:r>
    </w:p>
    <w:p>
      <w:pPr>
        <w:spacing w:after="0" w:line="110"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21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Further Assurances by the Security Provider</w:t>
      </w:r>
    </w:p>
    <w:p>
      <w:pPr>
        <w:spacing w:after="0" w:line="239" w:lineRule="exact"/>
        <w:rPr>
          <w:rFonts w:ascii="Arial" w:cs="Arial" w:eastAsia="Arial" w:hAnsi="Arial"/>
          <w:sz w:val="22"/>
          <w:szCs w:val="22"/>
          <w:b w:val="1"/>
          <w:bCs w:val="1"/>
          <w:color w:val="auto"/>
        </w:rPr>
      </w:pPr>
    </w:p>
    <w:p>
      <w:pPr>
        <w:jc w:val="both"/>
        <w:ind w:left="660"/>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The Security Provider, at its own expense, shall promptly do all things and execute all documents that are required or useful for the purpose of creating or perfecting or protecting the security created or purported to be created pursuant to this Control Agreement, or otherwise implementing this Control Agreement including enabling the Secured Party to exercise its rights and remedies hereunder and facilitating the realization of the security on and after a Notice of Default.</w:t>
      </w:r>
    </w:p>
    <w:p>
      <w:pPr>
        <w:spacing w:after="0" w:line="163" w:lineRule="exact"/>
        <w:rPr>
          <w:rFonts w:ascii="Arial" w:cs="Arial" w:eastAsia="Arial" w:hAnsi="Arial"/>
          <w:sz w:val="22"/>
          <w:szCs w:val="22"/>
          <w:b w:val="1"/>
          <w:bCs w:val="1"/>
          <w:color w:val="auto"/>
        </w:rPr>
      </w:pPr>
    </w:p>
    <w:p>
      <w:pPr>
        <w:ind w:left="660" w:hanging="652"/>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b w:val="1"/>
          <w:bCs w:val="1"/>
          <w:color w:val="auto"/>
        </w:rPr>
        <w:t>No Waiver</w:t>
      </w:r>
    </w:p>
    <w:p>
      <w:pPr>
        <w:spacing w:after="0" w:line="249"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No failure or delay by the Secured Party in exercising any right, power or privilege granted under this Control Agreement shall operate as a waiver thereof nor shall any single or partial exercise of any right, power or privilege preclude any other or further exercise thereof or the exercise of any other right, power or privilege.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5"/>
          <w:szCs w:val="15"/>
          <w:b w:val="1"/>
          <w:bCs w:val="1"/>
          <w:color w:val="auto"/>
        </w:rPr>
        <w:t>Taxes, Costs, Expenses</w:t>
      </w:r>
    </w:p>
    <w:p>
      <w:pPr>
        <w:spacing w:after="0" w:line="249" w:lineRule="exact"/>
        <w:rPr>
          <w:sz w:val="20"/>
          <w:szCs w:val="20"/>
          <w:color w:val="auto"/>
        </w:rPr>
      </w:pPr>
    </w:p>
    <w:p>
      <w:pPr>
        <w:jc w:val="both"/>
        <w:ind w:left="660"/>
        <w:spacing w:after="0" w:line="282" w:lineRule="auto"/>
        <w:rPr>
          <w:sz w:val="20"/>
          <w:szCs w:val="20"/>
          <w:color w:val="auto"/>
        </w:rPr>
      </w:pPr>
      <w:r>
        <w:rPr>
          <w:rFonts w:ascii="Arial" w:cs="Arial" w:eastAsia="Arial" w:hAnsi="Arial"/>
          <w:sz w:val="19"/>
          <w:szCs w:val="19"/>
          <w:color w:val="auto"/>
        </w:rPr>
        <w:t>All taxes, costs and expenses (including but not limited to legal, audit, valuation and notarial fees, registration fees and translation costs) arising out of or in connection with (i) the negotiation, preparation and execution of this Control Agreement and any related documents (including any amendments thereof and any release of the Securities) and (ii) the perfection, maintenance, protection and enforcement of the Security Interest created under this Control Agreement, the exercise of any of the secured Party's rights granted under this Control Agreement shall be borne by the Security Provider.</w:t>
      </w:r>
    </w:p>
    <w:p>
      <w:pPr>
        <w:spacing w:after="0" w:line="123"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22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5"/>
          <w:szCs w:val="15"/>
          <w:b w:val="1"/>
          <w:bCs w:val="1"/>
          <w:color w:val="auto"/>
        </w:rPr>
        <w:t>Notices</w:t>
      </w:r>
    </w:p>
    <w:p>
      <w:pPr>
        <w:spacing w:after="0" w:line="249"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Except as provided for under Section 5 all notices or other communications to be given under or in connection with this Control Agreement shall be made in writing and shall be delivered by hand, by registered mail (return receipt requested) or by an internationally recognized courier to the following addresses: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Secured Party: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Citibank NA, London Branch</w:t>
      </w:r>
    </w:p>
    <w:p>
      <w:pPr>
        <w:ind w:left="660"/>
        <w:spacing w:after="0" w:line="238" w:lineRule="auto"/>
        <w:rPr>
          <w:sz w:val="20"/>
          <w:szCs w:val="20"/>
          <w:color w:val="auto"/>
        </w:rPr>
      </w:pPr>
      <w:r>
        <w:rPr>
          <w:rFonts w:ascii="Arial" w:cs="Arial" w:eastAsia="Arial" w:hAnsi="Arial"/>
          <w:sz w:val="22"/>
          <w:szCs w:val="22"/>
          <w:color w:val="auto"/>
        </w:rPr>
        <w:t>33, Canada square, Canary Wharf, London E14 5LB, England</w:t>
      </w:r>
    </w:p>
    <w:p>
      <w:pPr>
        <w:ind w:left="660"/>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with a copy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Citibank International Limited, Greece</w:t>
      </w:r>
    </w:p>
    <w:p>
      <w:pPr>
        <w:ind w:left="660"/>
        <w:spacing w:after="0" w:line="238" w:lineRule="auto"/>
        <w:rPr>
          <w:sz w:val="20"/>
          <w:szCs w:val="20"/>
          <w:color w:val="auto"/>
        </w:rPr>
      </w:pPr>
      <w:r>
        <w:rPr>
          <w:rFonts w:ascii="Arial" w:cs="Arial" w:eastAsia="Arial" w:hAnsi="Arial"/>
          <w:sz w:val="22"/>
          <w:szCs w:val="22"/>
          <w:color w:val="auto"/>
        </w:rPr>
        <w:t>8 Othonos Street,</w:t>
      </w:r>
    </w:p>
    <w:p>
      <w:pPr>
        <w:ind w:left="660"/>
        <w:spacing w:after="0" w:line="230" w:lineRule="auto"/>
        <w:rPr>
          <w:sz w:val="20"/>
          <w:szCs w:val="20"/>
          <w:color w:val="auto"/>
        </w:rPr>
      </w:pPr>
      <w:r>
        <w:rPr>
          <w:rFonts w:ascii="Arial" w:cs="Arial" w:eastAsia="Arial" w:hAnsi="Arial"/>
          <w:sz w:val="22"/>
          <w:szCs w:val="22"/>
          <w:color w:val="auto"/>
        </w:rPr>
        <w:t>10557, Athens, Greece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Security Provider: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Blenheim Holdings Ltd.</w:t>
      </w:r>
    </w:p>
    <w:p>
      <w:pPr>
        <w:ind w:left="660"/>
        <w:spacing w:after="0" w:line="238" w:lineRule="auto"/>
        <w:rPr>
          <w:sz w:val="20"/>
          <w:szCs w:val="20"/>
          <w:color w:val="auto"/>
        </w:rPr>
      </w:pPr>
      <w:r>
        <w:rPr>
          <w:rFonts w:ascii="Arial" w:cs="Arial" w:eastAsia="Arial" w:hAnsi="Arial"/>
          <w:sz w:val="22"/>
          <w:szCs w:val="22"/>
          <w:color w:val="auto"/>
        </w:rPr>
        <w:t>C/O Ceres Monaco SAM.</w:t>
      </w:r>
    </w:p>
    <w:p>
      <w:pPr>
        <w:ind w:left="660"/>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Custodian: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Credit Suisse (Schweiz) AG</w:t>
      </w:r>
    </w:p>
    <w:p>
      <w:pPr>
        <w:ind w:left="660"/>
        <w:spacing w:after="0" w:line="238" w:lineRule="auto"/>
        <w:rPr>
          <w:sz w:val="20"/>
          <w:szCs w:val="20"/>
          <w:color w:val="auto"/>
        </w:rPr>
      </w:pPr>
      <w:r>
        <w:rPr>
          <w:rFonts w:ascii="Arial" w:cs="Arial" w:eastAsia="Arial" w:hAnsi="Arial"/>
          <w:sz w:val="22"/>
          <w:szCs w:val="22"/>
          <w:color w:val="auto"/>
        </w:rPr>
        <w:t>Att.: Escrow &amp; Pledgeholder Solutions (SGUE)</w:t>
      </w:r>
    </w:p>
    <w:p>
      <w:pPr>
        <w:ind w:left="660"/>
        <w:spacing w:after="0" w:line="230" w:lineRule="auto"/>
        <w:rPr>
          <w:sz w:val="20"/>
          <w:szCs w:val="20"/>
          <w:color w:val="auto"/>
        </w:rPr>
      </w:pPr>
      <w:r>
        <w:rPr>
          <w:rFonts w:ascii="Arial" w:cs="Arial" w:eastAsia="Arial" w:hAnsi="Arial"/>
          <w:sz w:val="22"/>
          <w:szCs w:val="22"/>
          <w:color w:val="auto"/>
        </w:rPr>
        <w:t>Pledgeholder B/C</w:t>
      </w:r>
    </w:p>
    <w:p>
      <w:pPr>
        <w:ind w:left="660"/>
        <w:spacing w:after="0" w:line="231" w:lineRule="auto"/>
        <w:rPr>
          <w:sz w:val="20"/>
          <w:szCs w:val="20"/>
          <w:color w:val="auto"/>
        </w:rPr>
      </w:pPr>
      <w:r>
        <w:rPr>
          <w:rFonts w:ascii="Arial" w:cs="Arial" w:eastAsia="Arial" w:hAnsi="Arial"/>
          <w:sz w:val="22"/>
          <w:szCs w:val="22"/>
          <w:color w:val="auto"/>
        </w:rPr>
        <w:t>Uetlibergstrasse 231</w:t>
      </w:r>
    </w:p>
    <w:p>
      <w:pPr>
        <w:ind w:left="660"/>
        <w:spacing w:after="0" w:line="230" w:lineRule="auto"/>
        <w:rPr>
          <w:sz w:val="20"/>
          <w:szCs w:val="20"/>
          <w:color w:val="auto"/>
        </w:rPr>
      </w:pPr>
      <w:r>
        <w:rPr>
          <w:rFonts w:ascii="Arial" w:cs="Arial" w:eastAsia="Arial" w:hAnsi="Arial"/>
          <w:sz w:val="22"/>
          <w:szCs w:val="22"/>
          <w:color w:val="auto"/>
        </w:rPr>
        <w:t>8045 Zurich, Switzerland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64"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23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91"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All notices delivered by hand shall be deemed to have been delivered to, and received by, the addressee and shall be effective on the date of personal delivery; all notices by registered mail or courier shall be deemed effective on the date it was deposited in the mail or delivered to the courier.</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Entire Agreement</w:t>
      </w:r>
    </w:p>
    <w:p>
      <w:pPr>
        <w:spacing w:after="0" w:line="249"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This Control Agreement, including the Annexes, constitute the entire agreement and understanding among the Parties with respect to the Security Interest, and shall supersede all prior oral and written agreements or understandings of the Parties relating to the Security Interest and the Securities Account. All references to this Control Agreement shall be deemed to include the Annexes hereto.</w:t>
      </w:r>
    </w:p>
    <w:p>
      <w:pPr>
        <w:spacing w:after="0" w:line="212"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 xml:space="preserve">However, the General Terms and Conditions and the General Terms and Conditions governing Custody Accounts of the Custodian attached as </w:t>
      </w:r>
      <w:r>
        <w:rPr>
          <w:rFonts w:ascii="Arial" w:cs="Arial" w:eastAsia="Arial" w:hAnsi="Arial"/>
          <w:sz w:val="22"/>
          <w:szCs w:val="22"/>
          <w:u w:val="single" w:color="auto"/>
          <w:color w:val="auto"/>
        </w:rPr>
        <w:t>Annex 3</w:t>
      </w:r>
      <w:r>
        <w:rPr>
          <w:rFonts w:ascii="Arial" w:cs="Arial" w:eastAsia="Arial" w:hAnsi="Arial"/>
          <w:sz w:val="22"/>
          <w:szCs w:val="22"/>
          <w:color w:val="auto"/>
        </w:rPr>
        <w:t xml:space="preserve"> (the </w:t>
      </w:r>
      <w:r>
        <w:rPr>
          <w:rFonts w:ascii="Arial" w:cs="Arial" w:eastAsia="Arial" w:hAnsi="Arial"/>
          <w:sz w:val="22"/>
          <w:szCs w:val="22"/>
          <w:b w:val="1"/>
          <w:bCs w:val="1"/>
          <w:color w:val="auto"/>
        </w:rPr>
        <w:t>Securities Account Documents</w:t>
      </w:r>
      <w:r>
        <w:rPr>
          <w:rFonts w:ascii="Arial" w:cs="Arial" w:eastAsia="Arial" w:hAnsi="Arial"/>
          <w:sz w:val="22"/>
          <w:szCs w:val="22"/>
          <w:color w:val="auto"/>
        </w:rPr>
        <w:t>) shall be applicable in relation to the Securities Account, provided however that the specific terms and conditions stated in this Control Agreement shall supersede any other terms and conditions. Thereby, each of the Security Provider and the Custodian hereby represent and warrant that the Securities Account Documents:</w:t>
      </w:r>
    </w:p>
    <w:p>
      <w:pPr>
        <w:spacing w:after="0" w:line="221"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contain all the terms of the Securities Account;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constitute all the agreements and arrangements between the Security Provider and the Custodian in relation to the Securities Account.</w:t>
      </w:r>
    </w:p>
    <w:p>
      <w:pPr>
        <w:spacing w:after="0" w:line="268"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Without the prior written consent of the Secured Party, the Custodian shall not agree to any waiver or amendment of the Securities Account Documents and the rights of the Security Provider thereto.</w:t>
      </w:r>
    </w:p>
    <w:p>
      <w:pPr>
        <w:spacing w:after="0" w:line="151"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24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b w:val="1"/>
          <w:bCs w:val="1"/>
          <w:color w:val="auto"/>
        </w:rPr>
        <w:t>Amendments and Waivers</w:t>
      </w:r>
    </w:p>
    <w:p>
      <w:pPr>
        <w:spacing w:after="0" w:line="249" w:lineRule="exact"/>
        <w:rPr>
          <w:sz w:val="20"/>
          <w:szCs w:val="20"/>
          <w:color w:val="auto"/>
        </w:rPr>
      </w:pPr>
    </w:p>
    <w:p>
      <w:pPr>
        <w:jc w:val="both"/>
        <w:ind w:left="660" w:right="20"/>
        <w:spacing w:after="0" w:line="328" w:lineRule="auto"/>
        <w:rPr>
          <w:sz w:val="20"/>
          <w:szCs w:val="20"/>
          <w:color w:val="auto"/>
        </w:rPr>
      </w:pPr>
      <w:r>
        <w:rPr>
          <w:rFonts w:ascii="Arial" w:cs="Arial" w:eastAsia="Arial" w:hAnsi="Arial"/>
          <w:sz w:val="19"/>
          <w:szCs w:val="19"/>
          <w:color w:val="auto"/>
        </w:rPr>
        <w:t>This Control Agreement may only be modified or amended by a document signed by all Parties. Any provision contained in this Control Agreement may only be waived by a document signed by the Party waiving such provision.</w:t>
      </w:r>
    </w:p>
    <w:p>
      <w:pPr>
        <w:spacing w:after="0" w:line="1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6"/>
          <w:szCs w:val="16"/>
          <w:b w:val="1"/>
          <w:bCs w:val="1"/>
          <w:color w:val="auto"/>
        </w:rPr>
        <w:t>Transfer of Rights and Obligations</w:t>
      </w:r>
    </w:p>
    <w:p>
      <w:pPr>
        <w:spacing w:after="0" w:line="249"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Security Provider may not transfer or assign this Control Agreement or any rights or obligations hereunder without prior explicit written consent of the Secured Party.</w:t>
      </w:r>
    </w:p>
    <w:p>
      <w:pPr>
        <w:spacing w:after="0" w:line="202"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The Secured Party may transfer and assign this Control Agreement (</w:t>
      </w:r>
      <w:r>
        <w:rPr>
          <w:rFonts w:ascii="Arial" w:cs="Arial" w:eastAsia="Arial" w:hAnsi="Arial"/>
          <w:sz w:val="21"/>
          <w:szCs w:val="21"/>
          <w:i w:val="1"/>
          <w:iCs w:val="1"/>
          <w:color w:val="auto"/>
        </w:rPr>
        <w:t>Vertragsübernahme</w:t>
      </w:r>
      <w:r>
        <w:rPr>
          <w:rFonts w:ascii="Arial" w:cs="Arial" w:eastAsia="Arial" w:hAnsi="Arial"/>
          <w:sz w:val="21"/>
          <w:szCs w:val="21"/>
          <w:color w:val="auto"/>
        </w:rPr>
        <w:t>) or any rights or obligations hereunder without the consent of the Security Provider to any third party. Section 15(a) is applicable.</w:t>
      </w:r>
    </w:p>
    <w:p>
      <w:pPr>
        <w:spacing w:after="0" w:line="178" w:lineRule="exact"/>
        <w:rPr>
          <w:sz w:val="20"/>
          <w:szCs w:val="20"/>
          <w:color w:val="auto"/>
        </w:rPr>
      </w:pPr>
    </w:p>
    <w:p>
      <w:pPr>
        <w:jc w:val="both"/>
        <w:ind w:left="660"/>
        <w:spacing w:after="0" w:line="282" w:lineRule="auto"/>
        <w:rPr>
          <w:sz w:val="20"/>
          <w:szCs w:val="20"/>
          <w:color w:val="auto"/>
        </w:rPr>
      </w:pPr>
      <w:r>
        <w:rPr>
          <w:rFonts w:ascii="Arial" w:cs="Arial" w:eastAsia="Arial" w:hAnsi="Arial"/>
          <w:sz w:val="19"/>
          <w:szCs w:val="19"/>
          <w:color w:val="auto"/>
        </w:rPr>
        <w:t>The Custodian may not transfer or assign this Control Agreement or any rights or obligations hereunder to any third party without the prior written consent of the Secured Party, which consent shall not be unreasonably withheld by the Secured Party. Transfer or assignment by the Custodian to another legal entity in Switzerland which forms part of the CS Group is however permitted without the consent of the Secured Party. In case of such group internal transfer or assignment, the Custodian shall promptly notify the other Parties of such group internal transfer or assignment.</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Severability</w:t>
      </w:r>
    </w:p>
    <w:p>
      <w:pPr>
        <w:spacing w:after="0" w:line="249"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Should any part or provision of this Control Agreement be held to be invalid or unenforceable by any competent arbitral tribunal, court, governmental or administrative authority having jurisdiction, the other provisions of this Control Agreement shall nonetheless remain valid. In this case, the Parties shall endeavor to negotiate a substitute provision that best reflects the economic intentions of the Parties without being unenforceable, and shall execute all agreements and documents required in this connection.</w:t>
      </w:r>
    </w:p>
    <w:p>
      <w:pPr>
        <w:spacing w:after="0" w:line="200" w:lineRule="exact"/>
        <w:rPr>
          <w:sz w:val="20"/>
          <w:szCs w:val="20"/>
          <w:color w:val="auto"/>
        </w:rPr>
      </w:pPr>
    </w:p>
    <w:p>
      <w:pPr>
        <w:spacing w:after="0" w:line="206"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25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2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b w:val="1"/>
          <w:bCs w:val="1"/>
          <w:color w:val="auto"/>
        </w:rPr>
        <w:t>Governing Law</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Control Agreement and the Security Interest (including all matters of its creation and perfection) shall be governed by and construed in accordance with the laws of Switzerland, excluding Swiss conflict of laws rules.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5"/>
          <w:szCs w:val="15"/>
          <w:b w:val="1"/>
          <w:bCs w:val="1"/>
          <w:color w:val="auto"/>
        </w:rPr>
        <w:t>Place of Jurisdiction</w:t>
      </w:r>
    </w:p>
    <w:p>
      <w:pPr>
        <w:spacing w:after="0" w:line="249"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All disputes arising out of or in connection with this Control Agreement, including disputes on its conclusion, binding effect, amendment and termination, shall be resolved exclusively by the courts of the city of Zurich, venue being Zurich 1. Where the law permits, the Commercial Court of Zurich (</w:t>
      </w:r>
      <w:r>
        <w:rPr>
          <w:rFonts w:ascii="Arial" w:cs="Arial" w:eastAsia="Arial" w:hAnsi="Arial"/>
          <w:sz w:val="22"/>
          <w:szCs w:val="22"/>
          <w:i w:val="1"/>
          <w:iCs w:val="1"/>
          <w:color w:val="auto"/>
        </w:rPr>
        <w:t>Handelsgericht des Kantons Zürich</w:t>
      </w:r>
      <w:r>
        <w:rPr>
          <w:rFonts w:ascii="Arial" w:cs="Arial" w:eastAsia="Arial" w:hAnsi="Arial"/>
          <w:sz w:val="22"/>
          <w:szCs w:val="22"/>
          <w:color w:val="auto"/>
        </w:rPr>
        <w:t>) shall have exclusive subject matter jurisdictions.</w:t>
      </w:r>
    </w:p>
    <w:p>
      <w:pPr>
        <w:spacing w:after="0" w:line="206"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39" w:lineRule="exact"/>
        <w:rPr>
          <w:rFonts w:ascii="Arial" w:cs="Arial" w:eastAsia="Arial" w:hAnsi="Arial"/>
          <w:sz w:val="22"/>
          <w:szCs w:val="22"/>
          <w:b w:val="1"/>
          <w:bCs w:val="1"/>
          <w:color w:val="auto"/>
        </w:rPr>
      </w:pPr>
    </w:p>
    <w:p>
      <w:pPr>
        <w:ind w:left="66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This Control Agreement may be executed in any number of counterparts, and this has the same effect as if the signatures on the counterparts were on one single copy of this Control Agreement.</w:t>
      </w:r>
    </w:p>
    <w:p>
      <w:pPr>
        <w:spacing w:after="0" w:line="394"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26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Blenheim Holdings Ltd.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Athanasios Thanopoulos</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120" w:type="dxa"/>
            <w:vAlign w:val="bottom"/>
          </w:tcPr>
          <w:p>
            <w:pPr>
              <w:spacing w:after="0"/>
              <w:rPr>
                <w:sz w:val="20"/>
                <w:szCs w:val="20"/>
                <w:color w:val="auto"/>
              </w:rPr>
            </w:pPr>
            <w:r>
              <w:rPr>
                <w:rFonts w:ascii="Arial" w:cs="Arial" w:eastAsia="Arial" w:hAnsi="Arial"/>
                <w:sz w:val="18"/>
                <w:szCs w:val="18"/>
                <w:color w:val="auto"/>
              </w:rPr>
              <w:t>Athanasios Thanopoulos</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Function:</w:t>
            </w:r>
          </w:p>
        </w:tc>
        <w:tc>
          <w:tcPr>
            <w:tcW w:w="4120" w:type="dxa"/>
            <w:vAlign w:val="bottom"/>
          </w:tcPr>
          <w:p>
            <w:pPr>
              <w:spacing w:after="0"/>
              <w:rPr>
                <w:sz w:val="20"/>
                <w:szCs w:val="20"/>
                <w:color w:val="auto"/>
              </w:rPr>
            </w:pPr>
            <w:r>
              <w:rPr>
                <w:rFonts w:ascii="Arial" w:cs="Arial" w:eastAsia="Arial" w:hAnsi="Arial"/>
                <w:sz w:val="18"/>
                <w:szCs w:val="18"/>
                <w:color w:val="auto"/>
              </w:rPr>
              <w:t>Attorney In Fact</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Citibank, N.A., London Branch</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Vassilios Maroulis</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120" w:type="dxa"/>
            <w:vAlign w:val="bottom"/>
          </w:tcPr>
          <w:p>
            <w:pPr>
              <w:spacing w:after="0"/>
              <w:rPr>
                <w:sz w:val="20"/>
                <w:szCs w:val="20"/>
                <w:color w:val="auto"/>
              </w:rPr>
            </w:pPr>
            <w:r>
              <w:rPr>
                <w:rFonts w:ascii="Arial" w:cs="Arial" w:eastAsia="Arial" w:hAnsi="Arial"/>
                <w:sz w:val="18"/>
                <w:szCs w:val="18"/>
                <w:color w:val="auto"/>
              </w:rPr>
              <w:t>Vassilios Maroulis</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Function:</w:t>
            </w:r>
          </w:p>
        </w:tc>
        <w:tc>
          <w:tcPr>
            <w:tcW w:w="412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Suisse (Schweiz) AG</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2"/>
          </w:tcPr>
          <w:p>
            <w:pPr>
              <w:ind w:left="460"/>
              <w:spacing w:after="0"/>
              <w:rPr>
                <w:sz w:val="20"/>
                <w:szCs w:val="20"/>
                <w:color w:val="auto"/>
              </w:rPr>
            </w:pPr>
            <w:r>
              <w:rPr>
                <w:rFonts w:ascii="Arial" w:cs="Arial" w:eastAsia="Arial" w:hAnsi="Arial"/>
                <w:sz w:val="18"/>
                <w:szCs w:val="18"/>
                <w:color w:val="auto"/>
              </w:rPr>
              <w:t>/s/ Andrea Büchi</w:t>
            </w:r>
          </w:p>
        </w:tc>
        <w:tc>
          <w:tcPr>
            <w:tcW w:w="1840" w:type="dxa"/>
            <w:vAlign w:val="bottom"/>
          </w:tcPr>
          <w:p>
            <w:pPr>
              <w:ind w:left="300"/>
              <w:spacing w:after="0"/>
              <w:rPr>
                <w:sz w:val="20"/>
                <w:szCs w:val="20"/>
                <w:color w:val="auto"/>
              </w:rPr>
            </w:pPr>
            <w:r>
              <w:rPr>
                <w:rFonts w:ascii="Arial" w:cs="Arial" w:eastAsia="Arial" w:hAnsi="Arial"/>
                <w:sz w:val="18"/>
                <w:szCs w:val="18"/>
                <w:color w:val="auto"/>
              </w:rPr>
              <w:t>By:</w:t>
            </w:r>
          </w:p>
        </w:tc>
        <w:tc>
          <w:tcPr>
            <w:tcW w:w="3660" w:type="dxa"/>
            <w:vAlign w:val="bottom"/>
          </w:tcPr>
          <w:p>
            <w:pPr>
              <w:spacing w:after="0"/>
              <w:rPr>
                <w:sz w:val="20"/>
                <w:szCs w:val="20"/>
                <w:color w:val="auto"/>
              </w:rPr>
            </w:pPr>
            <w:r>
              <w:rPr>
                <w:rFonts w:ascii="Arial" w:cs="Arial" w:eastAsia="Arial" w:hAnsi="Arial"/>
                <w:sz w:val="18"/>
                <w:szCs w:val="18"/>
                <w:color w:val="auto"/>
              </w:rPr>
              <w:t>/s/ Manfred Jung</w:t>
            </w:r>
          </w:p>
        </w:tc>
      </w:tr>
      <w:tr>
        <w:trPr>
          <w:trHeight w:val="27"/>
        </w:trPr>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20" w:type="dxa"/>
            <w:vAlign w:val="bottom"/>
            <w:shd w:val="clear" w:color="auto" w:fill="000000"/>
          </w:tcPr>
          <w:p>
            <w:pPr>
              <w:spacing w:after="0"/>
              <w:rPr>
                <w:sz w:val="2"/>
                <w:szCs w:val="2"/>
                <w:color w:val="auto"/>
              </w:rPr>
            </w:pPr>
          </w:p>
        </w:tc>
        <w:tc>
          <w:tcPr>
            <w:tcW w:w="1840" w:type="dxa"/>
            <w:vAlign w:val="bottom"/>
          </w:tcPr>
          <w:p>
            <w:pPr>
              <w:spacing w:after="0"/>
              <w:rPr>
                <w:sz w:val="2"/>
                <w:szCs w:val="2"/>
                <w:color w:val="auto"/>
              </w:rPr>
            </w:pPr>
          </w:p>
        </w:tc>
        <w:tc>
          <w:tcPr>
            <w:tcW w:w="3660" w:type="dxa"/>
            <w:vAlign w:val="bottom"/>
            <w:shd w:val="clear" w:color="auto" w:fill="000000"/>
          </w:tcPr>
          <w:p>
            <w:pPr>
              <w:spacing w:after="0"/>
              <w:rPr>
                <w:sz w:val="2"/>
                <w:szCs w:val="2"/>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gridSpan w:val="2"/>
          </w:tcPr>
          <w:p>
            <w:pPr>
              <w:ind w:left="460"/>
              <w:spacing w:after="0"/>
              <w:rPr>
                <w:sz w:val="20"/>
                <w:szCs w:val="20"/>
                <w:color w:val="auto"/>
              </w:rPr>
            </w:pPr>
            <w:r>
              <w:rPr>
                <w:rFonts w:ascii="Arial" w:cs="Arial" w:eastAsia="Arial" w:hAnsi="Arial"/>
                <w:sz w:val="18"/>
                <w:szCs w:val="18"/>
                <w:color w:val="auto"/>
              </w:rPr>
              <w:t>Andrea Büchi</w:t>
            </w:r>
          </w:p>
        </w:tc>
        <w:tc>
          <w:tcPr>
            <w:tcW w:w="1840" w:type="dxa"/>
            <w:vAlign w:val="bottom"/>
          </w:tcPr>
          <w:p>
            <w:pPr>
              <w:ind w:left="300"/>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0"/>
                <w:szCs w:val="20"/>
                <w:color w:val="auto"/>
              </w:rPr>
            </w:pPr>
            <w:r>
              <w:rPr>
                <w:rFonts w:ascii="Arial" w:cs="Arial" w:eastAsia="Arial" w:hAnsi="Arial"/>
                <w:sz w:val="18"/>
                <w:szCs w:val="18"/>
                <w:color w:val="auto"/>
              </w:rPr>
              <w:t>Manfred Jung</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Function:</w:t>
            </w:r>
          </w:p>
        </w:tc>
        <w:tc>
          <w:tcPr>
            <w:tcW w:w="4580" w:type="dxa"/>
            <w:vAlign w:val="bottom"/>
            <w:gridSpan w:val="2"/>
          </w:tcPr>
          <w:p>
            <w:pPr>
              <w:ind w:left="460"/>
              <w:spacing w:after="0"/>
              <w:rPr>
                <w:sz w:val="20"/>
                <w:szCs w:val="20"/>
                <w:color w:val="auto"/>
              </w:rPr>
            </w:pPr>
            <w:r>
              <w:rPr>
                <w:rFonts w:ascii="Arial" w:cs="Arial" w:eastAsia="Arial" w:hAnsi="Arial"/>
                <w:sz w:val="18"/>
                <w:szCs w:val="18"/>
                <w:color w:val="auto"/>
              </w:rPr>
              <w:t>Assistant Vice President</w:t>
            </w:r>
          </w:p>
        </w:tc>
        <w:tc>
          <w:tcPr>
            <w:tcW w:w="1840" w:type="dxa"/>
            <w:vAlign w:val="bottom"/>
          </w:tcPr>
          <w:p>
            <w:pPr>
              <w:ind w:left="300"/>
              <w:spacing w:after="0"/>
              <w:rPr>
                <w:sz w:val="20"/>
                <w:szCs w:val="20"/>
                <w:color w:val="auto"/>
              </w:rPr>
            </w:pPr>
            <w:r>
              <w:rPr>
                <w:rFonts w:ascii="Arial" w:cs="Arial" w:eastAsia="Arial" w:hAnsi="Arial"/>
                <w:sz w:val="18"/>
                <w:szCs w:val="18"/>
                <w:color w:val="auto"/>
              </w:rPr>
              <w:t>Function:</w:t>
            </w:r>
          </w:p>
        </w:tc>
        <w:tc>
          <w:tcPr>
            <w:tcW w:w="36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3"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27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Notice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To: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[Place / Date]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Notice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Capitalized terms used in this Transfer Notice shall have the meanings assigned to them in the Control Agreement dated December 31, 2020</w:t>
      </w:r>
      <w:r>
        <w:rPr>
          <w:rFonts w:ascii="Arial" w:cs="Arial" w:eastAsia="Arial" w:hAnsi="Arial"/>
          <w:sz w:val="22"/>
          <w:szCs w:val="22"/>
          <w:b w:val="1"/>
          <w:bCs w:val="1"/>
          <w:color w:val="auto"/>
        </w:rPr>
        <w:t>,</w:t>
      </w:r>
      <w:r>
        <w:rPr>
          <w:rFonts w:ascii="Arial" w:cs="Arial" w:eastAsia="Arial" w:hAnsi="Arial"/>
          <w:sz w:val="22"/>
          <w:szCs w:val="22"/>
          <w:color w:val="auto"/>
        </w:rPr>
        <w:t xml:space="preserve"> by and between Blenheim Holdings Ltd. as Security Provider, Citibank, N.A., London Branch as Secured Party and Credit Suisse (Switzerland) Ltd. as Custodian.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Based on the Control Agreement, we hereby irrevocably instruct you to:</w:t>
      </w:r>
    </w:p>
    <w:p>
      <w:pPr>
        <w:spacing w:after="0" w:line="227" w:lineRule="exact"/>
        <w:rPr>
          <w:sz w:val="20"/>
          <w:szCs w:val="20"/>
          <w:color w:val="auto"/>
        </w:rPr>
      </w:pPr>
    </w:p>
    <w:p>
      <w:pPr>
        <w:ind w:left="620" w:hanging="612"/>
        <w:spacing w:after="0"/>
        <w:tabs>
          <w:tab w:leader="none" w:pos="6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Release from the Securities Account </w:t>
      </w:r>
      <w:r>
        <w:rPr>
          <w:rFonts w:ascii="Arial" w:cs="Arial" w:eastAsia="Arial" w:hAnsi="Arial"/>
          <w:sz w:val="22"/>
          <w:szCs w:val="22"/>
          <w:b w:val="1"/>
          <w:bCs w:val="1"/>
          <w:color w:val="auto"/>
        </w:rPr>
        <w:t>[•]</w:t>
      </w:r>
      <w:r>
        <w:rPr>
          <w:rFonts w:ascii="Arial" w:cs="Arial" w:eastAsia="Arial" w:hAnsi="Arial"/>
          <w:sz w:val="22"/>
          <w:szCs w:val="22"/>
          <w:color w:val="auto"/>
        </w:rPr>
        <w:t xml:space="preserve"> Securities and to transfer them to </w:t>
      </w:r>
      <w:r>
        <w:rPr>
          <w:rFonts w:ascii="Arial" w:cs="Arial" w:eastAsia="Arial" w:hAnsi="Arial"/>
          <w:sz w:val="22"/>
          <w:szCs w:val="22"/>
          <w:b w:val="1"/>
          <w:bCs w:val="1"/>
          <w:color w:val="auto"/>
        </w:rPr>
        <w:t>[•]</w:t>
      </w:r>
      <w:r>
        <w:rPr>
          <w:rFonts w:ascii="Arial" w:cs="Arial" w:eastAsia="Arial" w:hAnsi="Arial"/>
          <w:sz w:val="22"/>
          <w:szCs w:val="22"/>
          <w:color w:val="auto"/>
        </w:rPr>
        <w:t xml:space="preserve"> acc. no. </w:t>
      </w:r>
      <w:r>
        <w:rPr>
          <w:rFonts w:ascii="Arial" w:cs="Arial" w:eastAsia="Arial" w:hAnsi="Arial"/>
          <w:sz w:val="22"/>
          <w:szCs w:val="22"/>
          <w:b w:val="1"/>
          <w:bCs w:val="1"/>
          <w:color w:val="auto"/>
        </w:rPr>
        <w:t>[•]</w:t>
      </w:r>
      <w:r>
        <w:rPr>
          <w:rFonts w:ascii="Arial" w:cs="Arial" w:eastAsia="Arial" w:hAnsi="Arial"/>
          <w:sz w:val="22"/>
          <w:szCs w:val="22"/>
          <w:color w:val="auto"/>
        </w:rPr>
        <w:t xml:space="preserve"> with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8"/>
        <w:spacing w:after="0" w:line="256" w:lineRule="auto"/>
        <w:tabs>
          <w:tab w:leader="none" w:pos="6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and/or to sell from the Securities Account </w:t>
      </w:r>
      <w:r>
        <w:rPr>
          <w:rFonts w:ascii="Arial" w:cs="Arial" w:eastAsia="Arial" w:hAnsi="Arial"/>
          <w:sz w:val="22"/>
          <w:szCs w:val="22"/>
          <w:b w:val="1"/>
          <w:bCs w:val="1"/>
          <w:color w:val="auto"/>
        </w:rPr>
        <w:t>[•]</w:t>
      </w:r>
      <w:r>
        <w:rPr>
          <w:rFonts w:ascii="Arial" w:cs="Arial" w:eastAsia="Arial" w:hAnsi="Arial"/>
          <w:sz w:val="22"/>
          <w:szCs w:val="22"/>
          <w:color w:val="auto"/>
        </w:rPr>
        <w:t xml:space="preserve"> Securities and transfer the sales proceeds in [CHF/EUR/USD] to </w:t>
      </w:r>
      <w:r>
        <w:rPr>
          <w:rFonts w:ascii="Arial" w:cs="Arial" w:eastAsia="Arial" w:hAnsi="Arial"/>
          <w:sz w:val="22"/>
          <w:szCs w:val="22"/>
          <w:b w:val="1"/>
          <w:bCs w:val="1"/>
          <w:color w:val="auto"/>
        </w:rPr>
        <w:t>[•]</w:t>
      </w:r>
      <w:r>
        <w:rPr>
          <w:rFonts w:ascii="Arial" w:cs="Arial" w:eastAsia="Arial" w:hAnsi="Arial"/>
          <w:sz w:val="22"/>
          <w:szCs w:val="22"/>
          <w:color w:val="auto"/>
        </w:rPr>
        <w:t xml:space="preserve"> acc. no. </w:t>
      </w:r>
      <w:r>
        <w:rPr>
          <w:rFonts w:ascii="Arial" w:cs="Arial" w:eastAsia="Arial" w:hAnsi="Arial"/>
          <w:sz w:val="22"/>
          <w:szCs w:val="22"/>
          <w:b w:val="1"/>
          <w:bCs w:val="1"/>
          <w:color w:val="auto"/>
        </w:rPr>
        <w:t xml:space="preserve">[•] </w:t>
      </w:r>
      <w:r>
        <w:rPr>
          <w:rFonts w:ascii="Arial" w:cs="Arial" w:eastAsia="Arial" w:hAnsi="Arial"/>
          <w:sz w:val="22"/>
          <w:szCs w:val="22"/>
          <w:color w:val="auto"/>
        </w:rPr>
        <w:t>with</w:t>
      </w:r>
      <w:r>
        <w:rPr>
          <w:rFonts w:ascii="Arial" w:cs="Arial" w:eastAsia="Arial" w:hAnsi="Arial"/>
          <w:sz w:val="22"/>
          <w:szCs w:val="22"/>
          <w:b w:val="1"/>
          <w:bCs w:val="1"/>
          <w:color w:val="auto"/>
        </w:rPr>
        <w:t xml:space="preserve"> [•]</w:t>
      </w:r>
      <w:r>
        <w:rPr>
          <w:rFonts w:ascii="Arial" w:cs="Arial" w:eastAsia="Arial" w:hAnsi="Arial"/>
          <w:sz w:val="22"/>
          <w:szCs w:val="22"/>
          <w:color w:val="auto"/>
        </w:rPr>
        <w:t>. [For current account please indicate IBAN no</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620" w:hanging="612"/>
        <w:spacing w:after="0"/>
        <w:tabs>
          <w:tab w:leader="none" w:pos="6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and/or to transfer [CHF/EUR/USD] </w:t>
      </w:r>
      <w:r>
        <w:rPr>
          <w:rFonts w:ascii="Arial" w:cs="Arial" w:eastAsia="Arial" w:hAnsi="Arial"/>
          <w:sz w:val="21"/>
          <w:szCs w:val="21"/>
          <w:b w:val="1"/>
          <w:bCs w:val="1"/>
          <w:color w:val="auto"/>
        </w:rPr>
        <w:t>[•]</w:t>
      </w:r>
      <w:r>
        <w:rPr>
          <w:rFonts w:ascii="Arial" w:cs="Arial" w:eastAsia="Arial" w:hAnsi="Arial"/>
          <w:sz w:val="21"/>
          <w:szCs w:val="21"/>
          <w:color w:val="auto"/>
        </w:rPr>
        <w:t xml:space="preserve"> to </w:t>
      </w:r>
      <w:r>
        <w:rPr>
          <w:rFonts w:ascii="Arial" w:cs="Arial" w:eastAsia="Arial" w:hAnsi="Arial"/>
          <w:sz w:val="21"/>
          <w:szCs w:val="21"/>
          <w:b w:val="1"/>
          <w:bCs w:val="1"/>
          <w:color w:val="auto"/>
        </w:rPr>
        <w:t>[•]</w:t>
      </w:r>
      <w:r>
        <w:rPr>
          <w:rFonts w:ascii="Arial" w:cs="Arial" w:eastAsia="Arial" w:hAnsi="Arial"/>
          <w:sz w:val="21"/>
          <w:szCs w:val="21"/>
          <w:color w:val="auto"/>
        </w:rPr>
        <w:t xml:space="preserve"> acc. no. </w:t>
      </w:r>
      <w:r>
        <w:rPr>
          <w:rFonts w:ascii="Arial" w:cs="Arial" w:eastAsia="Arial" w:hAnsi="Arial"/>
          <w:sz w:val="21"/>
          <w:szCs w:val="21"/>
          <w:b w:val="1"/>
          <w:bCs w:val="1"/>
          <w:color w:val="auto"/>
        </w:rPr>
        <w:t>[•]</w:t>
      </w:r>
      <w:r>
        <w:rPr>
          <w:rFonts w:ascii="Arial" w:cs="Arial" w:eastAsia="Arial" w:hAnsi="Arial"/>
          <w:sz w:val="21"/>
          <w:szCs w:val="21"/>
          <w:color w:val="auto"/>
        </w:rPr>
        <w:t xml:space="preserve"> with </w:t>
      </w:r>
      <w:r>
        <w:rPr>
          <w:rFonts w:ascii="Arial" w:cs="Arial" w:eastAsia="Arial" w:hAnsi="Arial"/>
          <w:sz w:val="21"/>
          <w:szCs w:val="21"/>
          <w:b w:val="1"/>
          <w:b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color w:val="auto"/>
        </w:rPr>
        <w:t>[For current account please indicate IBAN no</w:t>
      </w:r>
      <w:r>
        <w:rPr>
          <w:rFonts w:ascii="Arial" w:cs="Arial" w:eastAsia="Arial" w:hAnsi="Arial"/>
          <w:sz w:val="21"/>
          <w:szCs w:val="21"/>
          <w:color w:val="auto"/>
        </w:rPr>
        <w:t xml:space="preserve"> </w:t>
      </w:r>
      <w:r>
        <w:rPr>
          <w:rFonts w:ascii="Arial" w:cs="Arial" w:eastAsia="Arial" w:hAnsi="Arial"/>
          <w:sz w:val="21"/>
          <w:szCs w:val="21"/>
          <w:b w:val="1"/>
          <w:bCs w:val="1"/>
          <w:color w:val="auto"/>
        </w:rPr>
        <w:t>[•]</w:t>
      </w:r>
      <w:r>
        <w:rPr>
          <w:rFonts w:ascii="Arial" w:cs="Arial" w:eastAsia="Arial" w:hAnsi="Arial"/>
          <w:sz w:val="21"/>
          <w:szCs w:val="21"/>
          <w:i w:val="1"/>
          <w:iCs w:val="1"/>
          <w:color w:val="auto"/>
        </w:rPr>
        <w:t>],</w:t>
      </w:r>
    </w:p>
    <w:p>
      <w:pPr>
        <w:spacing w:after="0" w:line="250" w:lineRule="exact"/>
        <w:rPr>
          <w:rFonts w:ascii="Arial" w:cs="Arial" w:eastAsia="Arial" w:hAnsi="Arial"/>
          <w:sz w:val="21"/>
          <w:szCs w:val="21"/>
          <w:color w:val="auto"/>
        </w:rPr>
      </w:pPr>
    </w:p>
    <w:p>
      <w:pPr>
        <w:ind w:left="620" w:hanging="612"/>
        <w:spacing w:after="0"/>
        <w:tabs>
          <w:tab w:leader="none" w:pos="620" w:val="left"/>
        </w:tabs>
        <w:numPr>
          <w:ilvl w:val="0"/>
          <w:numId w:val="65"/>
        </w:numPr>
        <w:rPr>
          <w:rFonts w:ascii="Arial" w:cs="Arial" w:eastAsia="Arial" w:hAnsi="Arial"/>
          <w:sz w:val="22"/>
          <w:szCs w:val="22"/>
          <w:i w:val="1"/>
          <w:iCs w:val="1"/>
          <w:color w:val="auto"/>
        </w:rPr>
      </w:pPr>
      <w:r>
        <w:rPr>
          <w:rFonts w:ascii="Arial" w:cs="Arial" w:eastAsia="Arial" w:hAnsi="Arial"/>
          <w:sz w:val="22"/>
          <w:szCs w:val="22"/>
          <w:i w:val="1"/>
          <w:iCs w:val="1"/>
          <w:color w:val="auto"/>
        </w:rPr>
        <w:t>[or any other instruction related to the Securities and the Security Interest.]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Sincerely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On behalf of ………………………….</w:t>
      </w:r>
    </w:p>
    <w:p>
      <w:pPr>
        <w:spacing w:after="0" w:line="182"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28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 of authorized signatories for the Secured Party</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3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w:t>
            </w:r>
          </w:p>
        </w:tc>
        <w:tc>
          <w:tcPr>
            <w:tcW w:w="32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w:t>
            </w: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Specimen Signature</w:t>
            </w:r>
          </w:p>
        </w:tc>
      </w:tr>
      <w:tr>
        <w:trPr>
          <w:trHeight w:val="61"/>
        </w:trPr>
        <w:tc>
          <w:tcPr>
            <w:tcW w:w="3300" w:type="dxa"/>
            <w:vAlign w:val="bottom"/>
            <w:tcBorders>
              <w:left w:val="single" w:sz="8" w:color="auto"/>
              <w:bottom w:val="single" w:sz="8" w:color="auto"/>
              <w:right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4680" w:type="dxa"/>
            <w:vAlign w:val="bottom"/>
            <w:tcBorders>
              <w:bottom w:val="single" w:sz="8" w:color="auto"/>
              <w:right w:val="single" w:sz="8" w:color="auto"/>
            </w:tcBorders>
          </w:tcPr>
          <w:p>
            <w:pPr>
              <w:spacing w:after="0"/>
              <w:rPr>
                <w:sz w:val="5"/>
                <w:szCs w:val="5"/>
                <w:color w:val="auto"/>
              </w:rPr>
            </w:pPr>
          </w:p>
        </w:tc>
      </w:tr>
      <w:tr>
        <w:trPr>
          <w:trHeight w:val="270"/>
        </w:trPr>
        <w:tc>
          <w:tcPr>
            <w:tcW w:w="33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Vassilios Maroulis</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Managing Director</w:t>
            </w: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 Vassilios Maroulis</w:t>
            </w:r>
          </w:p>
        </w:tc>
      </w:tr>
      <w:tr>
        <w:trPr>
          <w:trHeight w:val="61"/>
        </w:trPr>
        <w:tc>
          <w:tcPr>
            <w:tcW w:w="3300" w:type="dxa"/>
            <w:vAlign w:val="bottom"/>
            <w:tcBorders>
              <w:left w:val="single" w:sz="8" w:color="auto"/>
              <w:bottom w:val="single" w:sz="8" w:color="auto"/>
              <w:right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4680" w:type="dxa"/>
            <w:vAlign w:val="bottom"/>
            <w:tcBorders>
              <w:bottom w:val="single" w:sz="8" w:color="auto"/>
              <w:right w:val="single" w:sz="8" w:color="auto"/>
            </w:tcBorders>
          </w:tcPr>
          <w:p>
            <w:pPr>
              <w:spacing w:after="0"/>
              <w:rPr>
                <w:sz w:val="5"/>
                <w:szCs w:val="5"/>
                <w:color w:val="auto"/>
              </w:rPr>
            </w:pPr>
          </w:p>
        </w:tc>
      </w:tr>
      <w:tr>
        <w:trPr>
          <w:trHeight w:val="331"/>
        </w:trPr>
        <w:tc>
          <w:tcPr>
            <w:tcW w:w="3300" w:type="dxa"/>
            <w:vAlign w:val="bottom"/>
            <w:tcBorders>
              <w:left w:val="single" w:sz="8" w:color="auto"/>
              <w:bottom w:val="single" w:sz="8" w:color="auto"/>
              <w:right w:val="single" w:sz="8" w:color="auto"/>
            </w:tcBorders>
          </w:tcPr>
          <w:p>
            <w:pPr>
              <w:spacing w:after="0"/>
              <w:rPr>
                <w:sz w:val="24"/>
                <w:szCs w:val="24"/>
                <w:color w:val="auto"/>
              </w:rPr>
            </w:pPr>
          </w:p>
        </w:tc>
        <w:tc>
          <w:tcPr>
            <w:tcW w:w="32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331"/>
        </w:trPr>
        <w:tc>
          <w:tcPr>
            <w:tcW w:w="3300" w:type="dxa"/>
            <w:vAlign w:val="bottom"/>
            <w:tcBorders>
              <w:left w:val="single" w:sz="8" w:color="auto"/>
              <w:bottom w:val="single" w:sz="8" w:color="auto"/>
              <w:right w:val="single" w:sz="8" w:color="auto"/>
            </w:tcBorders>
          </w:tcPr>
          <w:p>
            <w:pPr>
              <w:spacing w:after="0"/>
              <w:rPr>
                <w:sz w:val="24"/>
                <w:szCs w:val="24"/>
                <w:color w:val="auto"/>
              </w:rPr>
            </w:pPr>
          </w:p>
        </w:tc>
        <w:tc>
          <w:tcPr>
            <w:tcW w:w="32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331"/>
        </w:trPr>
        <w:tc>
          <w:tcPr>
            <w:tcW w:w="3300" w:type="dxa"/>
            <w:vAlign w:val="bottom"/>
            <w:tcBorders>
              <w:left w:val="single" w:sz="8" w:color="auto"/>
              <w:bottom w:val="single" w:sz="8" w:color="auto"/>
              <w:right w:val="single" w:sz="8" w:color="auto"/>
            </w:tcBorders>
          </w:tcPr>
          <w:p>
            <w:pPr>
              <w:spacing w:after="0"/>
              <w:rPr>
                <w:sz w:val="24"/>
                <w:szCs w:val="24"/>
                <w:color w:val="auto"/>
              </w:rPr>
            </w:pPr>
          </w:p>
        </w:tc>
        <w:tc>
          <w:tcPr>
            <w:tcW w:w="32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331"/>
        </w:trPr>
        <w:tc>
          <w:tcPr>
            <w:tcW w:w="3300" w:type="dxa"/>
            <w:vAlign w:val="bottom"/>
            <w:tcBorders>
              <w:left w:val="single" w:sz="8" w:color="auto"/>
              <w:bottom w:val="single" w:sz="8" w:color="auto"/>
              <w:right w:val="single" w:sz="8" w:color="auto"/>
            </w:tcBorders>
          </w:tcPr>
          <w:p>
            <w:pPr>
              <w:spacing w:after="0"/>
              <w:rPr>
                <w:sz w:val="24"/>
                <w:szCs w:val="24"/>
                <w:color w:val="auto"/>
              </w:rPr>
            </w:pPr>
          </w:p>
        </w:tc>
        <w:tc>
          <w:tcPr>
            <w:tcW w:w="32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331"/>
        </w:trPr>
        <w:tc>
          <w:tcPr>
            <w:tcW w:w="3300" w:type="dxa"/>
            <w:vAlign w:val="bottom"/>
            <w:tcBorders>
              <w:left w:val="single" w:sz="8" w:color="auto"/>
              <w:bottom w:val="single" w:sz="8" w:color="auto"/>
              <w:right w:val="single" w:sz="8" w:color="auto"/>
            </w:tcBorders>
          </w:tcPr>
          <w:p>
            <w:pPr>
              <w:spacing w:after="0"/>
              <w:rPr>
                <w:sz w:val="24"/>
                <w:szCs w:val="24"/>
                <w:color w:val="auto"/>
              </w:rPr>
            </w:pPr>
          </w:p>
        </w:tc>
        <w:tc>
          <w:tcPr>
            <w:tcW w:w="32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29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Conditions of the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971675" cy="702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971675" cy="7029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Conditions</w:t>
      </w:r>
    </w:p>
    <w:p>
      <w:pPr>
        <w:spacing w:after="0" w:line="219"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 xml:space="preserve">These General Condtions govern the relationship between Credit Suisse (Switzerland) Ltd. (hereinafter referred to as </w:t>
      </w:r>
      <w:r>
        <w:rPr>
          <w:rFonts w:ascii="Arial" w:cs="Arial" w:eastAsia="Arial" w:hAnsi="Arial"/>
          <w:sz w:val="18"/>
          <w:szCs w:val="18"/>
          <w:i w:val="1"/>
          <w:iCs w:val="1"/>
          <w:color w:val="auto"/>
        </w:rPr>
        <w:t>Bank</w:t>
      </w:r>
      <w:r>
        <w:rPr>
          <w:rFonts w:ascii="Arial" w:cs="Arial" w:eastAsia="Arial" w:hAnsi="Arial"/>
          <w:sz w:val="18"/>
          <w:szCs w:val="18"/>
          <w:color w:val="auto"/>
        </w:rPr>
        <w:t>) and its clients, subject to any special agreements and the established rules of banking practice.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sake of clarity, the Bank uses only masculine pronouns in its forms.</w:t>
      </w:r>
    </w:p>
    <w:p>
      <w:pPr>
        <w:sectPr>
          <w:pgSz w:w="11900" w:h="16838" w:orient="portrait"/>
          <w:cols w:equalWidth="0" w:num="1">
            <w:col w:w="11120"/>
          </w:cols>
          <w:pgMar w:left="440" w:top="1440" w:right="339" w:bottom="1127"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Art. 1</w:t>
      </w:r>
      <w:r>
        <w:rPr>
          <w:sz w:val="20"/>
          <w:szCs w:val="20"/>
          <w:color w:val="auto"/>
        </w:rPr>
        <w:tab/>
      </w:r>
      <w:r>
        <w:rPr>
          <w:rFonts w:ascii="Arial" w:cs="Arial" w:eastAsia="Arial" w:hAnsi="Arial"/>
          <w:sz w:val="16"/>
          <w:szCs w:val="16"/>
          <w:b w:val="1"/>
          <w:bCs w:val="1"/>
          <w:color w:val="auto"/>
        </w:rPr>
        <w:t>Identity check</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Bank is obligated to carefully check the identity of its clients and their authorized agents with the standard of due care customary in the business. If this obligation is breached by the Bank, its employees or auxiliary persons, the Bank is liable for any resulting damage. Where no breach of duty has occurred, the client is liable for any damage resulting from the deficiencies in identification.</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Art. 2</w:t>
      </w:r>
      <w:r>
        <w:rPr>
          <w:sz w:val="20"/>
          <w:szCs w:val="20"/>
          <w:color w:val="auto"/>
        </w:rPr>
        <w:tab/>
      </w:r>
      <w:r>
        <w:rPr>
          <w:rFonts w:ascii="Arial" w:cs="Arial" w:eastAsia="Arial" w:hAnsi="Arial"/>
          <w:sz w:val="16"/>
          <w:szCs w:val="16"/>
          <w:b w:val="1"/>
          <w:bCs w:val="1"/>
          <w:color w:val="auto"/>
        </w:rPr>
        <w:t>Legal incapacity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client must inform the Bank promptly in writing as to any legal incapacity on the part of his authorized agents or other third parties acting on his behalf. If the client fails to do so, or if it is the client himself who is subject to legal incapacity, the client is liable for any damage resulting from the legal incapacity, provided that neither the Bank nor its employees nor its auxiliary persons failed to exercise the standard of due care customary in the business.</w:t>
      </w:r>
    </w:p>
    <w:p>
      <w:pPr>
        <w:spacing w:after="0" w:line="1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Art. 3</w:t>
      </w:r>
      <w:r>
        <w:rPr>
          <w:sz w:val="20"/>
          <w:szCs w:val="20"/>
          <w:color w:val="auto"/>
        </w:rPr>
        <w:tab/>
      </w:r>
      <w:r>
        <w:rPr>
          <w:rFonts w:ascii="Arial" w:cs="Arial" w:eastAsia="Arial" w:hAnsi="Arial"/>
          <w:sz w:val="16"/>
          <w:szCs w:val="16"/>
          <w:b w:val="1"/>
          <w:bCs w:val="1"/>
          <w:color w:val="auto"/>
        </w:rPr>
        <w:t>Notification obligation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client must notify the Bank of any personal details and information required by regulation (in particular name, registered office, place of residence, tax residence, contact and correspondence details, nationality/nationalities) as well as any other information requested by the Bank. The information provided must be complete and correct. The obligation applies to information concerning the client himself, his authorized agents and representatives, beneficial owners, controlling persons, beneficiaries, and other persons involved in the banking relationship.</w:t>
      </w:r>
    </w:p>
    <w:p>
      <w:pPr>
        <w:spacing w:after="0" w:line="177"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The client must notify </w:t>
      </w:r>
      <w:r>
        <w:rPr>
          <w:rFonts w:ascii="Arial" w:cs="Arial" w:eastAsia="Arial" w:hAnsi="Arial"/>
          <w:sz w:val="18"/>
          <w:szCs w:val="18"/>
          <w:color w:val="auto"/>
        </w:rPr>
        <w:t>the</w:t>
      </w:r>
      <w:r>
        <w:rPr>
          <w:rFonts w:ascii="Arial" w:cs="Arial" w:eastAsia="Arial" w:hAnsi="Arial"/>
          <w:sz w:val="18"/>
          <w:szCs w:val="18"/>
          <w:b w:val="1"/>
          <w:bCs w:val="1"/>
          <w:color w:val="auto"/>
        </w:rPr>
        <w:t xml:space="preserve"> Bank immediately of any changes to this information and of the revocation of granted powers of attorney or signatory powers.</w:t>
      </w:r>
    </w:p>
    <w:p>
      <w:pPr>
        <w:spacing w:after="0" w:line="18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Communications from the Bank are deemed to have been duly transmitted if sent to the last address supplied to the Bank by the client.</w:t>
      </w:r>
    </w:p>
    <w:p>
      <w:pPr>
        <w:spacing w:after="0" w:line="12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Art. 4</w:t>
      </w:r>
      <w:r>
        <w:rPr>
          <w:sz w:val="20"/>
          <w:szCs w:val="20"/>
          <w:color w:val="auto"/>
        </w:rPr>
        <w:tab/>
      </w:r>
      <w:r>
        <w:rPr>
          <w:rFonts w:ascii="Arial" w:cs="Arial" w:eastAsia="Arial" w:hAnsi="Arial"/>
          <w:sz w:val="16"/>
          <w:szCs w:val="16"/>
          <w:b w:val="1"/>
          <w:bCs w:val="1"/>
          <w:color w:val="auto"/>
        </w:rPr>
        <w:t>Errors in transmission and system failures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from loss, delay, misunderstandings, mutilation, or the repetitions, or due to unlawful interferences or other malfunctions, overloads, and interruptions in remote communication channels and systems, regardless of the cause.</w:t>
      </w:r>
    </w:p>
    <w:p>
      <w:pPr>
        <w:spacing w:after="0" w:line="18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Art. 5 Defective execution of instructions, client’s duty to notify, client’s consent to OTC trading, and exclusion of tax, legal, or accounting advice</w:t>
      </w:r>
    </w:p>
    <w:p>
      <w:pPr>
        <w:spacing w:after="0" w:line="18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the case of instructions that are urgent or that could lead to damage more extensive than the simple loss of interest, the client is obligated to notify the Bank of this situation and of possible damage consequences on a timely basis. If the client fails to do so, the Bank’s liability in the event of the defective execution, late execution or non-execution of instructions (with the exception of instructions relating to stock exchange transactions) is limited to no more than an amount equal to the loss of interest.</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the client issues various instructions for a total amount that exceeds the balance at the Bank available to him, the Bank will decide at its own discretion, irrespective of the instruction date or receipt of the instructions, which instructions are to be carried out in whole or in part.</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client consents that the Bank is authorized to execute orders relating to financial instruments outside a trading venue (over-the-counter – OTC).</w:t>
      </w:r>
    </w:p>
    <w:p>
      <w:pPr>
        <w:spacing w:after="0" w:line="12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a matter of principle, the Bank does not offer any tax, legal or accounting advice. Special agreements with agents specialized in these areas remain reserved. Other advice and information provided to the client by the Bank shall not be construed as tax, legal, or accounting advice, and the client may not rely on such advice or information in this regard. The client should consult with his own tax, legal, and accounting advisor before making or refraining from making any investments or participating in any structures or transactions.</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Art. 6</w:t>
      </w:r>
      <w:r>
        <w:rPr>
          <w:sz w:val="20"/>
          <w:szCs w:val="20"/>
          <w:color w:val="auto"/>
        </w:rPr>
        <w:tab/>
      </w:r>
      <w:r>
        <w:rPr>
          <w:rFonts w:ascii="Arial" w:cs="Arial" w:eastAsia="Arial" w:hAnsi="Arial"/>
          <w:sz w:val="16"/>
          <w:szCs w:val="16"/>
          <w:b w:val="1"/>
          <w:bCs w:val="1"/>
          <w:color w:val="auto"/>
        </w:rPr>
        <w:t>Saturday an official holiday</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business transactions with the Bank, Saturday shall be treated as an official Bank holiday.</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Art. 7</w:t>
      </w:r>
      <w:r>
        <w:rPr>
          <w:sz w:val="20"/>
          <w:szCs w:val="20"/>
          <w:color w:val="auto"/>
        </w:rPr>
        <w:tab/>
      </w:r>
      <w:r>
        <w:rPr>
          <w:rFonts w:ascii="Arial" w:cs="Arial" w:eastAsia="Arial" w:hAnsi="Arial"/>
          <w:sz w:val="16"/>
          <w:szCs w:val="16"/>
          <w:b w:val="1"/>
          <w:bCs w:val="1"/>
          <w:color w:val="auto"/>
        </w:rPr>
        <w:t>Complaints</w:t>
      </w:r>
    </w:p>
    <w:p>
      <w:pPr>
        <w:spacing w:after="0" w:line="27" w:lineRule="exact"/>
        <w:rPr>
          <w:sz w:val="20"/>
          <w:szCs w:val="20"/>
          <w:color w:val="auto"/>
        </w:rPr>
      </w:pPr>
    </w:p>
    <w:p>
      <w:pPr>
        <w:sectPr>
          <w:pgSz w:w="11900" w:h="16838" w:orient="portrait"/>
          <w:cols w:equalWidth="0" w:num="2">
            <w:col w:w="5380" w:space="240"/>
            <w:col w:w="5500"/>
          </w:cols>
          <w:pgMar w:left="440" w:top="1440" w:right="339" w:bottom="1127" w:gutter="0" w:footer="0" w:header="0"/>
          <w:type w:val="continuous"/>
        </w:sectPr>
      </w:pPr>
    </w:p>
    <w:p>
      <w:pPr>
        <w:spacing w:after="0" w:line="286" w:lineRule="auto"/>
        <w:rPr>
          <w:sz w:val="20"/>
          <w:szCs w:val="20"/>
          <w:color w:val="auto"/>
        </w:rPr>
      </w:pPr>
      <w:r>
        <w:rPr>
          <w:rFonts w:ascii="Arial" w:cs="Arial" w:eastAsia="Arial" w:hAnsi="Arial"/>
          <w:sz w:val="16"/>
          <w:szCs w:val="16"/>
          <w:color w:val="auto"/>
        </w:rPr>
        <w:t>The Bank is obligated to exercise the standard of due care customary in the business in handling incoming and out- going orders, instructions and notifications via mail, fax, telephone, telex, email, Internet, and all other means of transmission and transport. In the event that this duty is breached by the Bank, its employees or auxiliary persons, the Bank will be liable for any resulting damage. Where no breach of duty has occurred, the client is liable for any damage resulting from the transmission of orders, instructions and notifications via mail, fax, telephone, telex, email, Internet, and all other means of transmission and transport, such</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Complaints by a client relating to the execution of instructions as well as to other communications must be lodged immediately upon receipt of the communication concerned and at the latest within the particular period specified by the Bank.</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documents or communications that the client expects fail to arrive (e.g. account statements or safekeeping account</w:t>
      </w:r>
    </w:p>
    <w:p>
      <w:pPr>
        <w:spacing w:after="0" w:line="413" w:lineRule="exact"/>
        <w:rPr>
          <w:sz w:val="20"/>
          <w:szCs w:val="20"/>
          <w:color w:val="auto"/>
        </w:rPr>
      </w:pPr>
    </w:p>
    <w:p>
      <w:pPr>
        <w:sectPr>
          <w:pgSz w:w="11900" w:h="16838" w:orient="portrait"/>
          <w:cols w:equalWidth="0" w:num="2">
            <w:col w:w="5380" w:space="240"/>
            <w:col w:w="5500"/>
          </w:cols>
          <w:pgMar w:left="440" w:top="1440" w:right="339" w:bottom="1127"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0840"/>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1440" w:right="339" w:bottom="1127" w:gutter="0" w:footer="0" w:header="0"/>
          <w:type w:val="continuous"/>
        </w:sectPr>
      </w:pPr>
    </w:p>
    <w:bookmarkStart w:id="57" w:name="page58"/>
    <w:bookmarkEnd w:id="57"/>
    <w:p>
      <w:pPr>
        <w:spacing w:after="0" w:line="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statements, stock exchange settlements), the client must inform the Bank without delay.</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damage arising from delay in making a complaint is to be borne by the client.</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Objections concerning account statements or safekeeping account statements must be submitted within one month of receipt. Upon expiry of this period the statement is deemed to have been approved.</w:t>
      </w:r>
    </w:p>
    <w:p>
      <w:pPr>
        <w:spacing w:after="0" w:line="1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Art. 8</w:t>
      </w:r>
      <w:r>
        <w:rPr>
          <w:sz w:val="20"/>
          <w:szCs w:val="20"/>
          <w:color w:val="auto"/>
        </w:rPr>
        <w:tab/>
      </w:r>
      <w:r>
        <w:rPr>
          <w:rFonts w:ascii="Arial" w:cs="Arial" w:eastAsia="Arial" w:hAnsi="Arial"/>
          <w:sz w:val="16"/>
          <w:szCs w:val="16"/>
          <w:b w:val="1"/>
          <w:bCs w:val="1"/>
          <w:color w:val="auto"/>
        </w:rPr>
        <w:t>Right of lien and set-off</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Bank has a right of lien, for all its existing or future claims from time to time, against all assets it holds in each case for the account of the client, whether held in the Bank’s own custody or placed elsewhere, and has a right of set-off with respect to all receivables (including receivables from savings deposits and deposits), regardless of the maturity or currency.</w:t>
      </w:r>
    </w:p>
    <w:p>
      <w:pPr>
        <w:spacing w:after="0" w:line="16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This right of lien and set-off also applies to any right of the Bank to be indemnified and held harmless, especially when claims are asserted against it by third parties (including issuers, liquidators, legal administrators, bankruptcy administrators, institutions, and government authorities) in connection with transactions conducted or assets held on behalf of the client.</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Immediately upon default by the client the Bank shall be entitled to dispose, either by forced sale or in the open market, of any assets over which it has a right of lien. Notification as to the realization of the pledged assets will be provided in advance. Special agreements remain reserved.</w:t>
      </w:r>
    </w:p>
    <w:p>
      <w:pPr>
        <w:spacing w:after="0" w:line="1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Art. 9</w:t>
      </w:r>
      <w:r>
        <w:rPr>
          <w:sz w:val="20"/>
          <w:szCs w:val="20"/>
          <w:color w:val="auto"/>
        </w:rPr>
        <w:tab/>
      </w:r>
      <w:r>
        <w:rPr>
          <w:rFonts w:ascii="Arial" w:cs="Arial" w:eastAsia="Arial" w:hAnsi="Arial"/>
          <w:sz w:val="15"/>
          <w:szCs w:val="15"/>
          <w:b w:val="1"/>
          <w:bCs w:val="1"/>
          <w:color w:val="auto"/>
        </w:rPr>
        <w:t>Interest, commissions, fees, taxes and charges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Bank reserves the right to alter its interest and commissions (including negative interest) or other debits at any time, e.g. in the event of changes in market conditions, and to advise the client of such change in writing or by other suitable means.</w:t>
      </w:r>
    </w:p>
    <w:p>
      <w:pPr>
        <w:spacing w:after="0" w:line="18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Bank’s fees are based on the prevailing rates. The Bank reserves the right to amend these at any time. The client will be informed of such amendments in advance in writing or by other appropriate means, and subject to opposition by the client, the amendment takes effect 30 days after notice is given or within the period specified in the notice.</w:t>
      </w:r>
    </w:p>
    <w:p>
      <w:pPr>
        <w:spacing w:after="0" w:line="16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No deductions of any kind must be taken from the amounts pursuant to paragraph 1 and 2 of this provision. If a payment to the Bank is subject to a withholding tax, the amount owed by the client automatically increases by the amount to be deducted for the withholding tax.</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Any taxes or charges that are levied at or by the Bank in connection with the business relationship between the client and the Bank or that the Bank must withhold on the basis of Swiss or foreign law, treaties or contractual agreements with foreign authorities (e.g. 30% withholding tax pursuant to the US Foreign Account Tax Compliance Act, FATCA), as well as the charges incurred at the Bank, are to be borne by the client and/or may be passed on to the client.</w:t>
      </w:r>
    </w:p>
    <w:p>
      <w:pPr>
        <w:spacing w:after="0" w:line="20" w:lineRule="exact"/>
        <w:rPr>
          <w:sz w:val="20"/>
          <w:szCs w:val="20"/>
          <w:color w:val="auto"/>
        </w:rPr>
      </w:pPr>
      <w:r>
        <w:rPr>
          <w:sz w:val="20"/>
          <w:szCs w:val="20"/>
          <w:color w:val="auto"/>
        </w:rPr>
        <w:br w:type="column"/>
      </w:r>
    </w:p>
    <w:p>
      <w:pPr>
        <w:spacing w:after="0"/>
        <w:tabs>
          <w:tab w:leader="none" w:pos="960" w:val="left"/>
        </w:tabs>
        <w:rPr>
          <w:sz w:val="20"/>
          <w:szCs w:val="20"/>
          <w:color w:val="auto"/>
        </w:rPr>
      </w:pPr>
      <w:r>
        <w:rPr>
          <w:rFonts w:ascii="Arial" w:cs="Arial" w:eastAsia="Arial" w:hAnsi="Arial"/>
          <w:sz w:val="18"/>
          <w:szCs w:val="18"/>
          <w:b w:val="1"/>
          <w:bCs w:val="1"/>
          <w:color w:val="auto"/>
        </w:rPr>
        <w:t>Art. 10</w:t>
      </w:r>
      <w:r>
        <w:rPr>
          <w:sz w:val="20"/>
          <w:szCs w:val="20"/>
          <w:color w:val="auto"/>
        </w:rPr>
        <w:tab/>
      </w:r>
      <w:r>
        <w:rPr>
          <w:rFonts w:ascii="Arial" w:cs="Arial" w:eastAsia="Arial" w:hAnsi="Arial"/>
          <w:sz w:val="15"/>
          <w:szCs w:val="15"/>
          <w:b w:val="1"/>
          <w:bCs w:val="1"/>
          <w:color w:val="auto"/>
        </w:rPr>
        <w:t>Accounts in foreign currencies</w:t>
      </w:r>
    </w:p>
    <w:p>
      <w:pPr>
        <w:spacing w:after="0" w:line="22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Bank’s assets corresponding to the client’s credit balances in foreign currency are held in the same currency. The client bears proportionately to his share all the economic and legal consequences which, as a result of measures taken by the country in question, affect all the Bank’s assets in the country of the currency or in the country where the funds are invested.</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obligations of the Bank arising from accounts in foreign currencies will be discharged exclusively at the place of business of the branches or offices at which the accounts in question are held solely through the establishment of a credit entry at a Bank branch, a correspondent bank or a bank nominated by the client in the country of the currency.</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 11</w:t>
      </w:r>
      <w:r>
        <w:rPr>
          <w:sz w:val="20"/>
          <w:szCs w:val="20"/>
          <w:color w:val="auto"/>
        </w:rPr>
        <w:tab/>
      </w:r>
      <w:r>
        <w:rPr>
          <w:rFonts w:ascii="Arial" w:cs="Arial" w:eastAsia="Arial" w:hAnsi="Arial"/>
          <w:sz w:val="16"/>
          <w:szCs w:val="16"/>
          <w:b w:val="1"/>
          <w:bCs w:val="1"/>
          <w:color w:val="auto"/>
        </w:rPr>
        <w:t>Drafts, checks, and other instruments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Bank reserves the right to debit the client’s account with unpaid drafts, checks, or other instruments, previously credited or discounted. This also applies if checks that have already been paid are later determined to be stolen or otherwise lost, forged, or incomplete. Pending the settlement of any outstanding debit balance, the Bank retains a claim to payment of the total amount of the draft, check or similar instrument, plus related claims against any party liable under the instrument, whether such claims emanate from the instrument or exist for any other legal reason.</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 12</w:t>
      </w:r>
      <w:r>
        <w:rPr>
          <w:sz w:val="20"/>
          <w:szCs w:val="20"/>
          <w:color w:val="auto"/>
        </w:rPr>
        <w:tab/>
      </w:r>
      <w:r>
        <w:rPr>
          <w:rFonts w:ascii="Arial" w:cs="Arial" w:eastAsia="Arial" w:hAnsi="Arial"/>
          <w:sz w:val="16"/>
          <w:szCs w:val="16"/>
          <w:b w:val="1"/>
          <w:bCs w:val="1"/>
          <w:color w:val="auto"/>
        </w:rPr>
        <w:t>Termination of bank relationship</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Bank or the client may terminate the bank relationship at any time, either with immediate effect or with effect at a later date.</w:t>
      </w:r>
    </w:p>
    <w:p>
      <w:pPr>
        <w:spacing w:after="0" w:line="14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Bank may in particular cancel credit facilities at any time and declare its balance payable immediately, subject to special agreements and product-specific conditions on termination.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 13</w:t>
      </w:r>
      <w:r>
        <w:rPr>
          <w:sz w:val="20"/>
          <w:szCs w:val="20"/>
          <w:color w:val="auto"/>
        </w:rPr>
        <w:tab/>
      </w:r>
      <w:r>
        <w:rPr>
          <w:rFonts w:ascii="Arial" w:cs="Arial" w:eastAsia="Arial" w:hAnsi="Arial"/>
          <w:sz w:val="16"/>
          <w:szCs w:val="16"/>
          <w:b w:val="1"/>
          <w:bCs w:val="1"/>
          <w:color w:val="auto"/>
        </w:rPr>
        <w:t>Means of communication and notifications</w:t>
      </w:r>
    </w:p>
    <w:p>
      <w:pPr>
        <w:spacing w:after="0" w:line="22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Bank is entitled to use post, telephone, and electronic channels (e.g. email, fax, text messaging, Online Banking, mobile applications, and other electronic channels) to send correspondence to the user addresses (e.g. email address or mobile phone number for mobile applications) used for the Bank or explicitly specified by the client or his authorized agents.</w:t>
      </w:r>
    </w:p>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Bank is permitted to record telephone conversations and communication using electronic means without advance notice and to store them for purposes of quality assurance, compliance with legal and regulatory requirements, and as evidence.</w:t>
      </w:r>
    </w:p>
    <w:p>
      <w:pPr>
        <w:spacing w:after="0" w:line="18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Unencrypted emails and other unprotected electronic communication channels are not secured against access by unauthorized third parties and thus involve corresponding risks, e.g. insufficient confidentiality, manipulation of content or sender data, misrouting, delay, or viruses. Corresponding risks may also be associated with the use of devices or soft- ware. Devices and software belonging to a user are part of</w:t>
      </w:r>
    </w:p>
    <w:p>
      <w:pPr>
        <w:spacing w:after="0" w:line="619" w:lineRule="exact"/>
        <w:rPr>
          <w:sz w:val="20"/>
          <w:szCs w:val="20"/>
          <w:color w:val="auto"/>
        </w:rPr>
      </w:pPr>
    </w:p>
    <w:p>
      <w:pPr>
        <w:sectPr>
          <w:pgSz w:w="11900" w:h="16838" w:orient="portrait"/>
          <w:cols w:equalWidth="0" w:num="2">
            <w:col w:w="5380" w:space="240"/>
            <w:col w:w="5500"/>
          </w:cols>
          <w:pgMar w:left="440" w:top="715"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10840"/>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715" w:right="339" w:bottom="1440" w:gutter="0" w:footer="0" w:header="0"/>
          <w:type w:val="continuous"/>
        </w:sectPr>
      </w:pPr>
    </w:p>
    <w:bookmarkStart w:id="58" w:name="page59"/>
    <w:bookmarkEnd w:id="58"/>
    <w:p>
      <w:pPr>
        <w:ind w:right="20"/>
        <w:spacing w:after="0" w:line="285" w:lineRule="auto"/>
        <w:rPr>
          <w:sz w:val="20"/>
          <w:szCs w:val="20"/>
          <w:color w:val="auto"/>
        </w:rPr>
      </w:pPr>
      <w:r>
        <w:rPr>
          <w:rFonts w:ascii="Arial" w:cs="Arial" w:eastAsia="Arial" w:hAnsi="Arial"/>
          <w:sz w:val="16"/>
          <w:szCs w:val="16"/>
          <w:color w:val="auto"/>
        </w:rPr>
        <w:t>the system, but they are beyond the Bank’s control and may become a weakness in the system. The Bank therefore advises the client to professionally protect the devices and software he uses at all times against electronic attacks and unauthorized use, and suggests that sensitive or time-sensitive information, instructions, and information related to bookings not be sent to the Bank via unencrypted emails or unprotected electronic communication channels; rather, it suggests using the channels designated by the Bank for these purposes (e.g. Online Banking, Mobile Banking application, telephone) and verifying executed transactions immediately. The Bank will be liable for losses resulting from the use of these communication channels only if the standard of due care customary in the business has been breached by the Bank, its employees or auxiliary persons. In particular, the Bank is under no obligation to compare information and instructions received by the client or his authorized agent with other information and instructions issued by the client. The Bank assumes no responsibility for devices and software belonging to the client.</w:t>
      </w:r>
    </w:p>
    <w:p>
      <w:pPr>
        <w:spacing w:after="0" w:line="1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Bank is permitted to provide legally relevant information, conditions, and documents to the client by publishing them on the Internet (at www.credit-suisse.com/LegalNotes) and to fulfill its duties of information, disclosure and notification (e.g. as stipulated in financial market regulations concerning investor protection and transparency) by publication on the Internet. Unless otherwise specified by law or regulatory requirements, the Bank is not obliged to provide the client with information by any other means in these cases. The information may also be published using other electronic means or via other appropriate media.</w:t>
      </w:r>
    </w:p>
    <w:p>
      <w:pPr>
        <w:spacing w:after="0" w:line="162" w:lineRule="exact"/>
        <w:rPr>
          <w:sz w:val="20"/>
          <w:szCs w:val="20"/>
          <w:color w:val="auto"/>
        </w:rPr>
      </w:pPr>
    </w:p>
    <w:p>
      <w:pPr>
        <w:ind w:left="800" w:hanging="809"/>
        <w:spacing w:after="0" w:line="282" w:lineRule="auto"/>
        <w:tabs>
          <w:tab w:leader="none" w:pos="780" w:val="left"/>
        </w:tabs>
        <w:rPr>
          <w:sz w:val="20"/>
          <w:szCs w:val="20"/>
          <w:color w:val="auto"/>
        </w:rPr>
      </w:pPr>
      <w:r>
        <w:rPr>
          <w:rFonts w:ascii="Arial" w:cs="Arial" w:eastAsia="Arial" w:hAnsi="Arial"/>
          <w:sz w:val="18"/>
          <w:szCs w:val="18"/>
          <w:b w:val="1"/>
          <w:bCs w:val="1"/>
          <w:color w:val="auto"/>
        </w:rPr>
        <w:t>Art. 14</w:t>
        <w:tab/>
        <w:t>Restriction of services and liquidation or deposit of assets with releasing effect</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comply with legal, regulatory or contractual provisions, to ensure the exercise of the standard of due care customary in the business or to ensure proper management conduct, the Bank is permitted to partially or fully restrict services to the client. This applies regardless of any supplementary regulations governing individual banking services. In particular, the Bank can freeze account and safekeeping account relationships, limit the execution of instructions of any kind (e.g. deposit and withdrawal orders, orders to remit or transfer funds, securities and other assets and orders to close an account). The Bank may also generally refuse to accept assets or credits.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the event that notice of termination is given or if the Bank is no longer permitted to manage deposited assets and funds due to legal, regulatory, or product-specific reasons or for any other reason, the client must notify the Bank upon its request with instruction as to where these assets and funds are to be transferred.</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 client fails to inform the Bank of this instruction, including after a grace period set by the Bank, the Bank may deliver the assets and funds in physical form or liquidate them and send the proceeds and any remaining balances to</w:t>
      </w:r>
    </w:p>
    <w:p>
      <w:pPr>
        <w:spacing w:after="0" w:line="20" w:lineRule="exact"/>
        <w:rPr>
          <w:sz w:val="20"/>
          <w:szCs w:val="20"/>
          <w:color w:val="auto"/>
        </w:rPr>
      </w:pPr>
      <w:r>
        <w:rPr>
          <w:sz w:val="20"/>
          <w:szCs w:val="20"/>
          <w:color w:val="auto"/>
        </w:rPr>
        <w:br w:type="column"/>
      </w:r>
    </w:p>
    <w:p>
      <w:pPr>
        <w:ind w:left="8" w:right="160"/>
        <w:spacing w:after="0" w:line="273" w:lineRule="auto"/>
        <w:rPr>
          <w:sz w:val="20"/>
          <w:szCs w:val="20"/>
          <w:color w:val="auto"/>
        </w:rPr>
      </w:pPr>
      <w:r>
        <w:rPr>
          <w:rFonts w:ascii="Arial" w:cs="Arial" w:eastAsia="Arial" w:hAnsi="Arial"/>
          <w:sz w:val="17"/>
          <w:szCs w:val="17"/>
          <w:color w:val="auto"/>
        </w:rPr>
        <w:t>the client’s last known delivery address in the form of a check made out in a currency determined by the Bank, with the effect of releasing the Bank from liability. Alternatively, the Bank may also, in a judicial or extrajudicial manner and at the client’s expense, deposit assets, funds and/or proceeds from the liquidation with a custodian of its own choosing, with the effect of releasing the Bank from liability.</w:t>
      </w:r>
    </w:p>
    <w:p>
      <w:pPr>
        <w:spacing w:after="0" w:line="174" w:lineRule="exact"/>
        <w:rPr>
          <w:sz w:val="20"/>
          <w:szCs w:val="20"/>
          <w:color w:val="auto"/>
        </w:rPr>
      </w:pPr>
    </w:p>
    <w:p>
      <w:pPr>
        <w:ind w:left="8"/>
        <w:spacing w:after="0"/>
        <w:tabs>
          <w:tab w:leader="none" w:pos="967" w:val="left"/>
        </w:tabs>
        <w:rPr>
          <w:sz w:val="20"/>
          <w:szCs w:val="20"/>
          <w:color w:val="auto"/>
        </w:rPr>
      </w:pPr>
      <w:r>
        <w:rPr>
          <w:rFonts w:ascii="Arial" w:cs="Arial" w:eastAsia="Arial" w:hAnsi="Arial"/>
          <w:sz w:val="18"/>
          <w:szCs w:val="18"/>
          <w:b w:val="1"/>
          <w:bCs w:val="1"/>
          <w:color w:val="auto"/>
        </w:rPr>
        <w:t>Art. 15</w:t>
      </w:r>
      <w:r>
        <w:rPr>
          <w:sz w:val="20"/>
          <w:szCs w:val="20"/>
          <w:color w:val="auto"/>
        </w:rPr>
        <w:tab/>
      </w:r>
      <w:r>
        <w:rPr>
          <w:rFonts w:ascii="Arial" w:cs="Arial" w:eastAsia="Arial" w:hAnsi="Arial"/>
          <w:sz w:val="15"/>
          <w:szCs w:val="15"/>
          <w:b w:val="1"/>
          <w:bCs w:val="1"/>
          <w:color w:val="auto"/>
        </w:rPr>
        <w:t>Outsourcing of operations</w:t>
      </w:r>
    </w:p>
    <w:p>
      <w:pPr>
        <w:spacing w:after="0" w:line="229" w:lineRule="exact"/>
        <w:rPr>
          <w:sz w:val="20"/>
          <w:szCs w:val="20"/>
          <w:color w:val="auto"/>
        </w:rPr>
      </w:pPr>
    </w:p>
    <w:p>
      <w:pPr>
        <w:ind w:left="8" w:right="140"/>
        <w:spacing w:after="0" w:line="273" w:lineRule="auto"/>
        <w:rPr>
          <w:sz w:val="20"/>
          <w:szCs w:val="20"/>
          <w:color w:val="auto"/>
        </w:rPr>
      </w:pPr>
      <w:r>
        <w:rPr>
          <w:rFonts w:ascii="Arial" w:cs="Arial" w:eastAsia="Arial" w:hAnsi="Arial"/>
          <w:sz w:val="17"/>
          <w:szCs w:val="17"/>
          <w:color w:val="auto"/>
        </w:rPr>
        <w:t>The Bank reserves the right to outsource, in whole or in part, certain areas of business (e.g. payment transactions, execution of payments and services, compliance, IT, as well as management and processing activities) to service providers (including other banks and legal entities of Credit Suisse Group). These service providers are obligated to comply with the corresponding confidentiality terms.</w:t>
      </w:r>
    </w:p>
    <w:p>
      <w:pPr>
        <w:spacing w:after="0" w:line="178" w:lineRule="exact"/>
        <w:rPr>
          <w:sz w:val="20"/>
          <w:szCs w:val="20"/>
          <w:color w:val="auto"/>
        </w:rPr>
      </w:pPr>
    </w:p>
    <w:p>
      <w:pPr>
        <w:jc w:val="both"/>
        <w:ind w:left="8" w:right="380"/>
        <w:spacing w:after="0" w:line="293" w:lineRule="auto"/>
        <w:rPr>
          <w:sz w:val="20"/>
          <w:szCs w:val="20"/>
          <w:color w:val="auto"/>
        </w:rPr>
      </w:pPr>
      <w:r>
        <w:rPr>
          <w:rFonts w:ascii="Arial" w:cs="Arial" w:eastAsia="Arial" w:hAnsi="Arial"/>
          <w:sz w:val="16"/>
          <w:szCs w:val="16"/>
          <w:color w:val="auto"/>
        </w:rPr>
        <w:t>If a service provider is located abroad, the Bank will only transmit data that does not allow conclusions to be drawn about the client’s identity, unless it would otherwise need to be transmitted to a foreign country in conjunction with transactions or services with a foreign element (this is explained in greater detail in Article 18 paragraph 1 b)). The Bank will notify the client in advance otherwise.</w:t>
      </w:r>
    </w:p>
    <w:p>
      <w:pPr>
        <w:spacing w:after="0" w:line="160" w:lineRule="exact"/>
        <w:rPr>
          <w:sz w:val="20"/>
          <w:szCs w:val="20"/>
          <w:color w:val="auto"/>
        </w:rPr>
      </w:pPr>
    </w:p>
    <w:p>
      <w:pPr>
        <w:ind w:left="8"/>
        <w:spacing w:after="0"/>
        <w:tabs>
          <w:tab w:leader="none" w:pos="967" w:val="left"/>
        </w:tabs>
        <w:rPr>
          <w:sz w:val="20"/>
          <w:szCs w:val="20"/>
          <w:color w:val="auto"/>
        </w:rPr>
      </w:pPr>
      <w:r>
        <w:rPr>
          <w:rFonts w:ascii="Arial" w:cs="Arial" w:eastAsia="Arial" w:hAnsi="Arial"/>
          <w:sz w:val="18"/>
          <w:szCs w:val="18"/>
          <w:b w:val="1"/>
          <w:bCs w:val="1"/>
          <w:color w:val="auto"/>
        </w:rPr>
        <w:t>Art. 16</w:t>
      </w:r>
      <w:r>
        <w:rPr>
          <w:sz w:val="20"/>
          <w:szCs w:val="20"/>
          <w:color w:val="auto"/>
        </w:rPr>
        <w:tab/>
      </w:r>
      <w:r>
        <w:rPr>
          <w:rFonts w:ascii="Arial" w:cs="Arial" w:eastAsia="Arial" w:hAnsi="Arial"/>
          <w:sz w:val="16"/>
          <w:szCs w:val="16"/>
          <w:b w:val="1"/>
          <w:bCs w:val="1"/>
          <w:color w:val="auto"/>
        </w:rPr>
        <w:t>Client profile and marketing</w:t>
      </w:r>
    </w:p>
    <w:p>
      <w:pPr>
        <w:spacing w:after="0" w:line="229" w:lineRule="exact"/>
        <w:rPr>
          <w:sz w:val="20"/>
          <w:szCs w:val="20"/>
          <w:color w:val="auto"/>
        </w:rPr>
      </w:pPr>
    </w:p>
    <w:p>
      <w:pPr>
        <w:ind w:left="8" w:right="120"/>
        <w:spacing w:after="0" w:line="288" w:lineRule="auto"/>
        <w:rPr>
          <w:sz w:val="20"/>
          <w:szCs w:val="20"/>
          <w:color w:val="auto"/>
        </w:rPr>
      </w:pPr>
      <w:r>
        <w:rPr>
          <w:rFonts w:ascii="Arial" w:cs="Arial" w:eastAsia="Arial" w:hAnsi="Arial"/>
          <w:sz w:val="16"/>
          <w:szCs w:val="16"/>
          <w:color w:val="auto"/>
        </w:rPr>
        <w:t>The Bank may use client data, publicly accessible data, and third-party data to create client profiles that allow the Bank and other banks and legal entities of Credit Suisse Group in Switzerland to provide their clients with advice, products and information that is tailored to the individual situations of clients or that the Bank believes could be of interest to them. Client profiles may additionally be used for the purposes of market research, marketing or risk management. The Bank or other banks and legal entities of Credit Suisse Group in Switzerland will retain the client data and the client profiles derived from it. In addition, such data will not be forwarded to third parties. Bank client confidentially will be retained.</w:t>
      </w:r>
    </w:p>
    <w:p>
      <w:pPr>
        <w:spacing w:after="0" w:line="164" w:lineRule="exact"/>
        <w:rPr>
          <w:sz w:val="20"/>
          <w:szCs w:val="20"/>
          <w:color w:val="auto"/>
        </w:rPr>
      </w:pPr>
    </w:p>
    <w:p>
      <w:pPr>
        <w:ind w:left="8"/>
        <w:spacing w:after="0"/>
        <w:tabs>
          <w:tab w:leader="none" w:pos="967" w:val="left"/>
        </w:tabs>
        <w:rPr>
          <w:sz w:val="20"/>
          <w:szCs w:val="20"/>
          <w:color w:val="auto"/>
        </w:rPr>
      </w:pPr>
      <w:r>
        <w:rPr>
          <w:rFonts w:ascii="Arial" w:cs="Arial" w:eastAsia="Arial" w:hAnsi="Arial"/>
          <w:sz w:val="18"/>
          <w:szCs w:val="18"/>
          <w:b w:val="1"/>
          <w:bCs w:val="1"/>
          <w:color w:val="auto"/>
        </w:rPr>
        <w:t>Art. 17</w:t>
      </w:r>
      <w:r>
        <w:rPr>
          <w:sz w:val="20"/>
          <w:szCs w:val="20"/>
          <w:color w:val="auto"/>
        </w:rPr>
        <w:tab/>
      </w:r>
      <w:r>
        <w:rPr>
          <w:rFonts w:ascii="Arial" w:cs="Arial" w:eastAsia="Arial" w:hAnsi="Arial"/>
          <w:sz w:val="15"/>
          <w:szCs w:val="15"/>
          <w:b w:val="1"/>
          <w:bCs w:val="1"/>
          <w:color w:val="auto"/>
        </w:rPr>
        <w:t>Adherence to provisions of law</w:t>
      </w:r>
    </w:p>
    <w:p>
      <w:pPr>
        <w:spacing w:after="0" w:line="229" w:lineRule="exact"/>
        <w:rPr>
          <w:sz w:val="20"/>
          <w:szCs w:val="20"/>
          <w:color w:val="auto"/>
        </w:rPr>
      </w:pPr>
    </w:p>
    <w:p>
      <w:pPr>
        <w:ind w:left="8" w:right="120"/>
        <w:spacing w:after="0" w:line="259" w:lineRule="auto"/>
        <w:rPr>
          <w:sz w:val="20"/>
          <w:szCs w:val="20"/>
          <w:color w:val="auto"/>
        </w:rPr>
      </w:pPr>
      <w:r>
        <w:rPr>
          <w:rFonts w:ascii="Arial" w:cs="Arial" w:eastAsia="Arial" w:hAnsi="Arial"/>
          <w:sz w:val="18"/>
          <w:szCs w:val="18"/>
          <w:color w:val="auto"/>
        </w:rPr>
        <w:t>The client is responsible for adhering to the provisions of law (including tax legislation) applicable to him and other parties involved in the banking relationship or the assets and adheres to the provisions of law applicable to him at all times.</w:t>
      </w:r>
    </w:p>
    <w:p>
      <w:pPr>
        <w:spacing w:after="0" w:line="183" w:lineRule="exact"/>
        <w:rPr>
          <w:sz w:val="20"/>
          <w:szCs w:val="20"/>
          <w:color w:val="auto"/>
        </w:rPr>
      </w:pPr>
    </w:p>
    <w:p>
      <w:pPr>
        <w:ind w:left="808" w:right="940" w:hanging="809"/>
        <w:spacing w:after="0" w:line="282" w:lineRule="auto"/>
        <w:tabs>
          <w:tab w:leader="none" w:pos="787" w:val="left"/>
        </w:tabs>
        <w:rPr>
          <w:sz w:val="20"/>
          <w:szCs w:val="20"/>
          <w:color w:val="auto"/>
        </w:rPr>
      </w:pPr>
      <w:r>
        <w:rPr>
          <w:rFonts w:ascii="Arial" w:cs="Arial" w:eastAsia="Arial" w:hAnsi="Arial"/>
          <w:sz w:val="18"/>
          <w:szCs w:val="18"/>
          <w:b w:val="1"/>
          <w:bCs w:val="1"/>
          <w:color w:val="auto"/>
        </w:rPr>
        <w:t>Art. 18</w:t>
        <w:tab/>
        <w:t>Data protection, bank client secrecy, and other confidentiality provisions</w:t>
      </w:r>
    </w:p>
    <w:p>
      <w:pPr>
        <w:spacing w:after="0" w:line="166" w:lineRule="exact"/>
        <w:rPr>
          <w:sz w:val="20"/>
          <w:szCs w:val="20"/>
          <w:color w:val="auto"/>
        </w:rPr>
      </w:pPr>
    </w:p>
    <w:p>
      <w:pPr>
        <w:ind w:left="8" w:right="140"/>
        <w:spacing w:after="0" w:line="287" w:lineRule="auto"/>
        <w:rPr>
          <w:sz w:val="20"/>
          <w:szCs w:val="20"/>
          <w:color w:val="auto"/>
        </w:rPr>
      </w:pPr>
      <w:r>
        <w:rPr>
          <w:rFonts w:ascii="Arial" w:cs="Arial" w:eastAsia="Arial" w:hAnsi="Arial"/>
          <w:sz w:val="16"/>
          <w:szCs w:val="16"/>
          <w:color w:val="auto"/>
        </w:rPr>
        <w:t xml:space="preserve">The Bank’s governing bodies, employees and agents are subject to various duties of confidentiality on the basis of data protection, bank client confidentiality and other provisions. </w:t>
      </w:r>
      <w:r>
        <w:rPr>
          <w:rFonts w:ascii="Arial" w:cs="Arial" w:eastAsia="Arial" w:hAnsi="Arial"/>
          <w:sz w:val="16"/>
          <w:szCs w:val="16"/>
          <w:b w:val="1"/>
          <w:bCs w:val="1"/>
          <w:color w:val="auto"/>
        </w:rPr>
        <w:t>The client hereby releases the</w:t>
      </w:r>
    </w:p>
    <w:p>
      <w:pPr>
        <w:spacing w:after="0" w:line="2" w:lineRule="exact"/>
        <w:rPr>
          <w:sz w:val="20"/>
          <w:szCs w:val="20"/>
          <w:color w:val="auto"/>
        </w:rPr>
      </w:pPr>
    </w:p>
    <w:p>
      <w:pPr>
        <w:ind w:left="8" w:right="120"/>
        <w:spacing w:after="0" w:line="260" w:lineRule="auto"/>
        <w:rPr>
          <w:sz w:val="20"/>
          <w:szCs w:val="20"/>
          <w:color w:val="auto"/>
        </w:rPr>
      </w:pPr>
      <w:r>
        <w:rPr>
          <w:rFonts w:ascii="Arial" w:cs="Arial" w:eastAsia="Arial" w:hAnsi="Arial"/>
          <w:sz w:val="18"/>
          <w:szCs w:val="18"/>
          <w:b w:val="1"/>
          <w:bCs w:val="1"/>
          <w:color w:val="auto"/>
        </w:rPr>
        <w:t>Bank, its governing bodies, employees, and agents from these duties of confidentiality and waives bank client confidentiality</w:t>
      </w:r>
    </w:p>
    <w:p>
      <w:pPr>
        <w:spacing w:after="0" w:line="185" w:lineRule="exact"/>
        <w:rPr>
          <w:sz w:val="20"/>
          <w:szCs w:val="20"/>
          <w:color w:val="auto"/>
        </w:rPr>
      </w:pPr>
    </w:p>
    <w:p>
      <w:pPr>
        <w:ind w:left="8" w:right="200" w:hanging="8"/>
        <w:spacing w:after="0" w:line="277" w:lineRule="auto"/>
        <w:tabs>
          <w:tab w:leader="none" w:pos="608"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insofar as this is necessary to safeguard the legitimate interests of the Bank, specifically:</w:t>
      </w:r>
    </w:p>
    <w:p>
      <w:pPr>
        <w:spacing w:after="0" w:line="151" w:lineRule="exact"/>
        <w:rPr>
          <w:sz w:val="20"/>
          <w:szCs w:val="20"/>
          <w:color w:val="auto"/>
        </w:rPr>
      </w:pPr>
    </w:p>
    <w:p>
      <w:pPr>
        <w:ind w:left="688"/>
        <w:spacing w:after="0"/>
        <w:rPr>
          <w:sz w:val="20"/>
          <w:szCs w:val="20"/>
          <w:color w:val="auto"/>
        </w:rPr>
      </w:pPr>
      <w:r>
        <w:rPr>
          <w:rFonts w:ascii="Arial" w:cs="Arial" w:eastAsia="Arial" w:hAnsi="Arial"/>
          <w:sz w:val="17"/>
          <w:szCs w:val="17"/>
          <w:color w:val="auto"/>
        </w:rPr>
        <w:t>in the event of the client or other persons involved in the bank</w:t>
      </w:r>
    </w:p>
    <w:p>
      <w:pPr>
        <w:spacing w:after="0" w:line="56" w:lineRule="exact"/>
        <w:rPr>
          <w:sz w:val="20"/>
          <w:szCs w:val="20"/>
          <w:color w:val="auto"/>
        </w:rPr>
      </w:pPr>
    </w:p>
    <w:p>
      <w:pPr>
        <w:ind w:left="648"/>
        <w:spacing w:after="0"/>
        <w:rPr>
          <w:sz w:val="20"/>
          <w:szCs w:val="20"/>
          <w:color w:val="auto"/>
        </w:rPr>
      </w:pPr>
      <w:r>
        <w:rPr>
          <w:rFonts w:ascii="Arial" w:cs="Arial" w:eastAsia="Arial" w:hAnsi="Arial"/>
          <w:sz w:val="18"/>
          <w:szCs w:val="18"/>
          <w:color w:val="auto"/>
        </w:rPr>
        <w:t>relationship or the assets threatening or initiating</w:t>
      </w:r>
    </w:p>
    <w:p>
      <w:pPr>
        <w:spacing w:after="0" w:line="200" w:lineRule="exact"/>
        <w:rPr>
          <w:sz w:val="20"/>
          <w:szCs w:val="20"/>
          <w:color w:val="auto"/>
        </w:rPr>
      </w:pPr>
    </w:p>
    <w:p>
      <w:pPr>
        <w:sectPr>
          <w:pgSz w:w="11900" w:h="16838" w:orient="portrait"/>
          <w:cols w:equalWidth="0" w:num="2">
            <w:col w:w="5380" w:space="232"/>
            <w:col w:w="5508"/>
          </w:cols>
          <w:pgMar w:left="440" w:top="719"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10840"/>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719" w:right="339" w:bottom="1440" w:gutter="0" w:footer="0" w:header="0"/>
          <w:type w:val="continuous"/>
        </w:sectPr>
      </w:pPr>
    </w:p>
    <w:bookmarkStart w:id="59" w:name="page60"/>
    <w:bookmarkEnd w:id="59"/>
    <w:p>
      <w:pPr>
        <w:ind w:left="4" w:right="340"/>
        <w:spacing w:after="0" w:line="342" w:lineRule="auto"/>
        <w:rPr>
          <w:sz w:val="20"/>
          <w:szCs w:val="20"/>
          <w:color w:val="auto"/>
        </w:rPr>
      </w:pPr>
      <w:r>
        <w:rPr>
          <w:rFonts w:ascii="Arial" w:cs="Arial" w:eastAsia="Arial" w:hAnsi="Arial"/>
          <w:sz w:val="16"/>
          <w:szCs w:val="16"/>
          <w:color w:val="auto"/>
        </w:rPr>
        <w:t>against the Bank in Switzerland or abroad (even as a third party) legal measures, criminal charges or other notifications to authorities;</w:t>
      </w:r>
    </w:p>
    <w:p>
      <w:pPr>
        <w:spacing w:after="0" w:line="116" w:lineRule="exact"/>
        <w:rPr>
          <w:sz w:val="20"/>
          <w:szCs w:val="20"/>
          <w:color w:val="auto"/>
        </w:rPr>
      </w:pPr>
    </w:p>
    <w:p>
      <w:pPr>
        <w:ind w:left="644"/>
        <w:spacing w:after="0"/>
        <w:rPr>
          <w:sz w:val="20"/>
          <w:szCs w:val="20"/>
          <w:color w:val="auto"/>
        </w:rPr>
      </w:pPr>
      <w:r>
        <w:rPr>
          <w:rFonts w:ascii="Arial" w:cs="Arial" w:eastAsia="Arial" w:hAnsi="Arial"/>
          <w:sz w:val="16"/>
          <w:szCs w:val="16"/>
          <w:color w:val="auto"/>
        </w:rPr>
        <w:t>to safeguard or enforce the Bank’s claims against the client and to</w:t>
      </w:r>
    </w:p>
    <w:p>
      <w:pPr>
        <w:spacing w:after="0" w:line="56" w:lineRule="exact"/>
        <w:rPr>
          <w:sz w:val="20"/>
          <w:szCs w:val="20"/>
          <w:color w:val="auto"/>
        </w:rPr>
      </w:pPr>
    </w:p>
    <w:p>
      <w:pPr>
        <w:jc w:val="both"/>
        <w:ind w:left="4" w:right="140"/>
        <w:spacing w:after="0" w:line="254" w:lineRule="auto"/>
        <w:rPr>
          <w:sz w:val="20"/>
          <w:szCs w:val="20"/>
          <w:color w:val="auto"/>
        </w:rPr>
      </w:pPr>
      <w:r>
        <w:rPr>
          <w:rFonts w:ascii="Arial" w:cs="Arial" w:eastAsia="Arial" w:hAnsi="Arial"/>
          <w:sz w:val="18"/>
          <w:szCs w:val="18"/>
          <w:color w:val="auto"/>
        </w:rPr>
        <w:t>realize on collateral of the client or third parties (insofar as the collateral of third parties was provided with respect to claims against the client) in Switzerland and abroad;</w:t>
      </w:r>
    </w:p>
    <w:p>
      <w:pPr>
        <w:spacing w:after="0" w:line="160" w:lineRule="exact"/>
        <w:rPr>
          <w:sz w:val="20"/>
          <w:szCs w:val="20"/>
          <w:color w:val="auto"/>
        </w:rPr>
      </w:pPr>
    </w:p>
    <w:p>
      <w:pPr>
        <w:ind w:left="684"/>
        <w:spacing w:after="0"/>
        <w:rPr>
          <w:sz w:val="20"/>
          <w:szCs w:val="20"/>
          <w:color w:val="auto"/>
        </w:rPr>
      </w:pPr>
      <w:r>
        <w:rPr>
          <w:rFonts w:ascii="Arial" w:cs="Arial" w:eastAsia="Arial" w:hAnsi="Arial"/>
          <w:sz w:val="18"/>
          <w:szCs w:val="18"/>
          <w:color w:val="auto"/>
        </w:rPr>
        <w:t>when, in Switzerland and abroad, collecting receivables</w:t>
      </w:r>
    </w:p>
    <w:p>
      <w:pPr>
        <w:spacing w:after="0" w:line="56" w:lineRule="exact"/>
        <w:rPr>
          <w:sz w:val="20"/>
          <w:szCs w:val="20"/>
          <w:color w:val="auto"/>
        </w:rPr>
      </w:pPr>
    </w:p>
    <w:p>
      <w:pPr>
        <w:ind w:left="4" w:right="20"/>
        <w:spacing w:after="0" w:line="321" w:lineRule="auto"/>
        <w:rPr>
          <w:sz w:val="20"/>
          <w:szCs w:val="20"/>
          <w:color w:val="auto"/>
        </w:rPr>
      </w:pPr>
      <w:r>
        <w:rPr>
          <w:rFonts w:ascii="Arial" w:cs="Arial" w:eastAsia="Arial" w:hAnsi="Arial"/>
          <w:sz w:val="16"/>
          <w:szCs w:val="16"/>
          <w:color w:val="auto"/>
        </w:rPr>
        <w:t>belonging to the Bank from the client, in relation to attachments or relating to claims against the client or the Bank aiming at deposited assets;</w:t>
      </w:r>
    </w:p>
    <w:p>
      <w:pPr>
        <w:spacing w:after="0" w:line="132" w:lineRule="exact"/>
        <w:rPr>
          <w:sz w:val="20"/>
          <w:szCs w:val="20"/>
          <w:color w:val="auto"/>
        </w:rPr>
      </w:pPr>
    </w:p>
    <w:p>
      <w:pPr>
        <w:ind w:left="684"/>
        <w:spacing w:after="0"/>
        <w:rPr>
          <w:sz w:val="20"/>
          <w:szCs w:val="20"/>
          <w:color w:val="auto"/>
        </w:rPr>
      </w:pPr>
      <w:r>
        <w:rPr>
          <w:rFonts w:ascii="Arial" w:cs="Arial" w:eastAsia="Arial" w:hAnsi="Arial"/>
          <w:sz w:val="16"/>
          <w:szCs w:val="16"/>
          <w:color w:val="auto"/>
        </w:rPr>
        <w:t>in the event of reproaches by the client or other persons involved</w:t>
      </w:r>
    </w:p>
    <w:p>
      <w:pPr>
        <w:spacing w:after="0" w:line="56" w:lineRule="exact"/>
        <w:rPr>
          <w:sz w:val="20"/>
          <w:szCs w:val="20"/>
          <w:color w:val="auto"/>
        </w:rPr>
      </w:pPr>
    </w:p>
    <w:p>
      <w:pPr>
        <w:ind w:left="4" w:right="140"/>
        <w:spacing w:after="0" w:line="321" w:lineRule="auto"/>
        <w:rPr>
          <w:sz w:val="20"/>
          <w:szCs w:val="20"/>
          <w:color w:val="auto"/>
        </w:rPr>
      </w:pPr>
      <w:r>
        <w:rPr>
          <w:rFonts w:ascii="Arial" w:cs="Arial" w:eastAsia="Arial" w:hAnsi="Arial"/>
          <w:sz w:val="16"/>
          <w:szCs w:val="16"/>
          <w:color w:val="auto"/>
        </w:rPr>
        <w:t>in the banking relationship or the assets against the Bank made in public, vis-à-vis the media or vis-à-vis authorities in Switzerland and abroad.</w:t>
      </w:r>
    </w:p>
    <w:p>
      <w:pPr>
        <w:spacing w:after="0" w:line="140" w:lineRule="exact"/>
        <w:rPr>
          <w:sz w:val="20"/>
          <w:szCs w:val="20"/>
          <w:color w:val="auto"/>
        </w:rPr>
      </w:pPr>
    </w:p>
    <w:p>
      <w:pPr>
        <w:ind w:left="4" w:hanging="4"/>
        <w:spacing w:after="0" w:line="286" w:lineRule="auto"/>
        <w:tabs>
          <w:tab w:leader="none" w:pos="614"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for transactions and services that the Bank provides for the client (e.g. payment transactions, purchases, receipt and delivery, safekeeping and sale of securities and other financial instruments and/or safe custody assets, foreign exchange and precious metal transactions, derivative/OTC transactions), and particularly if they present a foreign connection. In conjunction with this, the Bank is both entitled and required to disclose information to foreign third parties that are involved in these transactions and services (e.g. exchanges, brokers, banks, trade repositories, processing units and third-party custodians, issuers, authorities, or their representatives as well as third parties that are involved) in order to allow the transactions or services to be provided and to ensure compliance with laws, regulations, contractual provisions, and other rules, business practices, trade practices, and compliance standards.</w:t>
      </w:r>
    </w:p>
    <w:p>
      <w:pPr>
        <w:spacing w:after="0" w:line="174"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The Bank may be prevented from disclosing client information related to transactions and services for legal or regulatory reasons. The client acknowledges that any resulting liability on the part of the bank is excluded in such cases.</w:t>
      </w:r>
    </w:p>
    <w:p>
      <w:pPr>
        <w:spacing w:after="0" w:line="187" w:lineRule="exact"/>
        <w:rPr>
          <w:sz w:val="20"/>
          <w:szCs w:val="20"/>
          <w:color w:val="auto"/>
        </w:rPr>
      </w:pPr>
    </w:p>
    <w:p>
      <w:pPr>
        <w:ind w:left="4" w:hanging="4"/>
        <w:spacing w:after="0" w:line="269" w:lineRule="auto"/>
        <w:tabs>
          <w:tab w:leader="none" w:pos="593"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for the purpose of exchanging information between the Bank and other banks and legal entities of Credit Suisse Group in Switzerland in order to provide the client with com- prehensive banking transactions and service, to split income, to ensure risk management, and to comply with legal or regulatory requirements, or for compliance-related reasons. In particular, such information exchanges can include all details related to the client, the relationship between the client and the Bank, and any beneficial owners, controlling persons, beneficiaries, authorized agents and representatives, guarantors, and other individuals involved in the banking relationship.</w:t>
      </w:r>
    </w:p>
    <w:p>
      <w:pPr>
        <w:spacing w:after="0" w:line="185" w:lineRule="exact"/>
        <w:rPr>
          <w:rFonts w:ascii="Arial" w:cs="Arial" w:eastAsia="Arial" w:hAnsi="Arial"/>
          <w:sz w:val="17"/>
          <w:szCs w:val="17"/>
          <w:b w:val="1"/>
          <w:bCs w:val="1"/>
          <w:color w:val="auto"/>
        </w:rPr>
      </w:pPr>
    </w:p>
    <w:p>
      <w:pPr>
        <w:ind w:left="4" w:right="40" w:hanging="4"/>
        <w:spacing w:after="0" w:line="273" w:lineRule="auto"/>
        <w:tabs>
          <w:tab w:leader="none" w:pos="614"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for security purposes (e.g. to protect the client and the Bank from improper or criminal activities), for which the Bank is permitted to collect and process biometric data related to the client as well as information about his movements and transactions and corresponding profiles. To the extent required by the applicable law, the Bank will additionally inform the client, request consent, or take other</w:t>
      </w:r>
    </w:p>
    <w:p>
      <w:pPr>
        <w:spacing w:after="0" w:line="20" w:lineRule="exact"/>
        <w:rPr>
          <w:sz w:val="20"/>
          <w:szCs w:val="20"/>
          <w:color w:val="auto"/>
        </w:rPr>
      </w:pPr>
      <w:r>
        <w:rPr>
          <w:sz w:val="20"/>
          <w:szCs w:val="20"/>
          <w:color w:val="auto"/>
        </w:rPr>
        <w:br w:type="column"/>
      </w:r>
    </w:p>
    <w:p>
      <w:pPr>
        <w:jc w:val="both"/>
        <w:ind w:right="260"/>
        <w:spacing w:after="0" w:line="263" w:lineRule="auto"/>
        <w:rPr>
          <w:sz w:val="20"/>
          <w:szCs w:val="20"/>
          <w:color w:val="auto"/>
        </w:rPr>
      </w:pPr>
      <w:r>
        <w:rPr>
          <w:rFonts w:ascii="Arial" w:cs="Arial" w:eastAsia="Arial" w:hAnsi="Arial"/>
          <w:sz w:val="18"/>
          <w:szCs w:val="18"/>
          <w:color w:val="auto"/>
        </w:rPr>
        <w:t>measures. Subject to the provisions of Art. 18 paragraph 1 c) and Art. 15 as well as any legal and regulatory obligations, such information will not be shared with third parties.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any event, the duties to disclose and report to which the Bank is subject under legal and regulatory requirements will apply.</w:t>
      </w:r>
    </w:p>
    <w:p>
      <w:pPr>
        <w:spacing w:after="0" w:line="170"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Bank publishes its principles of client data processing as well as any related updates on the Internet (at www.credit-suisse.com/LegalNotes).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 19</w:t>
      </w:r>
      <w:r>
        <w:rPr>
          <w:sz w:val="20"/>
          <w:szCs w:val="20"/>
          <w:color w:val="auto"/>
        </w:rPr>
        <w:tab/>
      </w:r>
      <w:r>
        <w:rPr>
          <w:rFonts w:ascii="Arial" w:cs="Arial" w:eastAsia="Arial" w:hAnsi="Arial"/>
          <w:sz w:val="16"/>
          <w:szCs w:val="16"/>
          <w:b w:val="1"/>
          <w:bCs w:val="1"/>
          <w:color w:val="auto"/>
        </w:rPr>
        <w:t>Applicable law and place of jurisdiction</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color w:val="auto"/>
        </w:rPr>
        <w:t>All legal relations between the client and the Bank are governed by Swiss law. The exclusive place of jurisdiction for all legal proceedings is Zurich or the place of business of the Swiss branch of the Bank with which the contractual relationship exists or the respondent’s registered office or place of domicile. Mandatory places of jurisdiction prescribed by law remain reserved.</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 20</w:t>
      </w:r>
      <w:r>
        <w:rPr>
          <w:sz w:val="20"/>
          <w:szCs w:val="20"/>
          <w:color w:val="auto"/>
        </w:rPr>
        <w:tab/>
      </w:r>
      <w:r>
        <w:rPr>
          <w:rFonts w:ascii="Arial" w:cs="Arial" w:eastAsia="Arial" w:hAnsi="Arial"/>
          <w:sz w:val="16"/>
          <w:szCs w:val="16"/>
          <w:b w:val="1"/>
          <w:bCs w:val="1"/>
          <w:color w:val="auto"/>
        </w:rPr>
        <w:t>Amendments to the General Conditions</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Bank reserves the right to amend the General Conditions at any time. Amendments may also be made by publication on the Internet. The client will be notified in advance of these amendments in writing or by other suitable means. The currently valid version can be found on the Internet (at www.credit-suisse.com/LegalNotes).</w:t>
      </w:r>
    </w:p>
    <w:p>
      <w:pPr>
        <w:spacing w:after="0" w:line="5814" w:lineRule="exact"/>
        <w:rPr>
          <w:sz w:val="20"/>
          <w:szCs w:val="20"/>
          <w:color w:val="auto"/>
        </w:rPr>
      </w:pPr>
    </w:p>
    <w:p>
      <w:pPr>
        <w:sectPr>
          <w:pgSz w:w="11900" w:h="16838" w:orient="portrait"/>
          <w:cols w:equalWidth="0" w:num="2">
            <w:col w:w="5384" w:space="240"/>
            <w:col w:w="5500"/>
          </w:cols>
          <w:pgMar w:left="436" w:top="719"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10844"/>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63500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4"/>
          </w:cols>
          <w:pgMar w:left="436" w:top="719" w:right="339" w:bottom="1440" w:gutter="0" w:footer="0" w:header="0"/>
          <w:type w:val="continuous"/>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971675" cy="702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971675" cy="7029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Safe Custody Regulations</w:t>
      </w:r>
    </w:p>
    <w:p>
      <w:pPr>
        <w:sectPr>
          <w:pgSz w:w="11900" w:h="16838" w:orient="portrait"/>
          <w:cols w:equalWidth="0" w:num="1">
            <w:col w:w="11124"/>
          </w:cols>
          <w:pgMar w:left="436" w:top="1440" w:right="339" w:bottom="20" w:gutter="0" w:footer="0" w:header="0"/>
        </w:sectPr>
      </w:pPr>
    </w:p>
    <w:p>
      <w:pPr>
        <w:spacing w:after="0" w:line="200" w:lineRule="exact"/>
        <w:rPr>
          <w:sz w:val="20"/>
          <w:szCs w:val="20"/>
          <w:color w:val="auto"/>
        </w:rPr>
      </w:pPr>
    </w:p>
    <w:p>
      <w:pPr>
        <w:spacing w:after="0" w:line="263" w:lineRule="exact"/>
        <w:rPr>
          <w:sz w:val="20"/>
          <w:szCs w:val="20"/>
          <w:color w:val="auto"/>
        </w:rPr>
      </w:pPr>
    </w:p>
    <w:p>
      <w:pPr>
        <w:ind w:left="4"/>
        <w:spacing w:after="0"/>
        <w:rPr>
          <w:sz w:val="20"/>
          <w:szCs w:val="20"/>
          <w:color w:val="auto"/>
        </w:rPr>
      </w:pPr>
      <w:r>
        <w:rPr>
          <w:rFonts w:ascii="Arial" w:cs="Arial" w:eastAsia="Arial" w:hAnsi="Arial"/>
          <w:sz w:val="22"/>
          <w:szCs w:val="22"/>
          <w:color w:val="auto"/>
        </w:rPr>
        <w:t>General Provisions</w:t>
      </w:r>
    </w:p>
    <w:p>
      <w:pPr>
        <w:spacing w:after="0" w:line="209" w:lineRule="exact"/>
        <w:rPr>
          <w:sz w:val="20"/>
          <w:szCs w:val="20"/>
          <w:color w:val="auto"/>
        </w:rPr>
      </w:pPr>
    </w:p>
    <w:p>
      <w:pPr>
        <w:ind w:left="4"/>
        <w:spacing w:after="0"/>
        <w:tabs>
          <w:tab w:leader="none" w:pos="884" w:val="left"/>
        </w:tabs>
        <w:rPr>
          <w:sz w:val="20"/>
          <w:szCs w:val="20"/>
          <w:color w:val="auto"/>
        </w:rPr>
      </w:pPr>
      <w:r>
        <w:rPr>
          <w:rFonts w:ascii="Arial" w:cs="Arial" w:eastAsia="Arial" w:hAnsi="Arial"/>
          <w:sz w:val="18"/>
          <w:szCs w:val="18"/>
          <w:b w:val="1"/>
          <w:bCs w:val="1"/>
          <w:color w:val="auto"/>
        </w:rPr>
        <w:t>Art. 1</w:t>
      </w:r>
      <w:r>
        <w:rPr>
          <w:sz w:val="20"/>
          <w:szCs w:val="20"/>
          <w:color w:val="auto"/>
        </w:rPr>
        <w:tab/>
      </w:r>
      <w:r>
        <w:rPr>
          <w:rFonts w:ascii="Arial" w:cs="Arial" w:eastAsia="Arial" w:hAnsi="Arial"/>
          <w:sz w:val="13"/>
          <w:szCs w:val="13"/>
          <w:b w:val="1"/>
          <w:bCs w:val="1"/>
          <w:color w:val="auto"/>
        </w:rPr>
        <w:t>Scope</w:t>
      </w:r>
    </w:p>
    <w:p>
      <w:pPr>
        <w:spacing w:after="0" w:line="229"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 xml:space="preserve">These Safe Custody Regulations shall apply, in addition to the General Conditions of the Bank, to securities and assets accepted by the Bank for safe custody (hereinafter referred to as </w:t>
      </w:r>
      <w:r>
        <w:rPr>
          <w:rFonts w:ascii="Arial" w:cs="Arial" w:eastAsia="Arial" w:hAnsi="Arial"/>
          <w:sz w:val="17"/>
          <w:szCs w:val="17"/>
          <w:i w:val="1"/>
          <w:iCs w:val="1"/>
          <w:color w:val="auto"/>
        </w:rPr>
        <w:t>Safe Custody Assets</w:t>
      </w:r>
      <w:r>
        <w:rPr>
          <w:rFonts w:ascii="Arial" w:cs="Arial" w:eastAsia="Arial" w:hAnsi="Arial"/>
          <w:sz w:val="17"/>
          <w:szCs w:val="17"/>
          <w:color w:val="auto"/>
        </w:rPr>
        <w:t>), particularly if they are maintained in book-entry form.</w:t>
      </w:r>
    </w:p>
    <w:p>
      <w:pPr>
        <w:spacing w:after="0" w:line="171" w:lineRule="exact"/>
        <w:rPr>
          <w:sz w:val="20"/>
          <w:szCs w:val="20"/>
          <w:color w:val="auto"/>
        </w:rPr>
      </w:pPr>
    </w:p>
    <w:p>
      <w:pPr>
        <w:ind w:left="4" w:right="520"/>
        <w:spacing w:after="0" w:line="342" w:lineRule="auto"/>
        <w:rPr>
          <w:sz w:val="20"/>
          <w:szCs w:val="20"/>
          <w:color w:val="auto"/>
        </w:rPr>
      </w:pPr>
      <w:r>
        <w:rPr>
          <w:rFonts w:ascii="Arial" w:cs="Arial" w:eastAsia="Arial" w:hAnsi="Arial"/>
          <w:sz w:val="16"/>
          <w:szCs w:val="16"/>
          <w:color w:val="auto"/>
        </w:rPr>
        <w:t>These regulations shall be supplemental to any special contractual agreements or special regulations for special safe custody accounts.</w:t>
      </w:r>
    </w:p>
    <w:p>
      <w:pPr>
        <w:spacing w:after="0" w:line="120" w:lineRule="exact"/>
        <w:rPr>
          <w:sz w:val="20"/>
          <w:szCs w:val="20"/>
          <w:color w:val="auto"/>
        </w:rPr>
      </w:pPr>
    </w:p>
    <w:p>
      <w:pPr>
        <w:ind w:left="4"/>
        <w:spacing w:after="0"/>
        <w:tabs>
          <w:tab w:leader="none" w:pos="884" w:val="left"/>
        </w:tabs>
        <w:rPr>
          <w:sz w:val="20"/>
          <w:szCs w:val="20"/>
          <w:color w:val="auto"/>
        </w:rPr>
      </w:pPr>
      <w:r>
        <w:rPr>
          <w:rFonts w:ascii="Arial" w:cs="Arial" w:eastAsia="Arial" w:hAnsi="Arial"/>
          <w:sz w:val="18"/>
          <w:szCs w:val="18"/>
          <w:b w:val="1"/>
          <w:bCs w:val="1"/>
          <w:color w:val="auto"/>
        </w:rPr>
        <w:t>Art. 2</w:t>
      </w:r>
      <w:r>
        <w:rPr>
          <w:sz w:val="20"/>
          <w:szCs w:val="20"/>
          <w:color w:val="auto"/>
        </w:rPr>
        <w:tab/>
      </w:r>
      <w:r>
        <w:rPr>
          <w:rFonts w:ascii="Arial" w:cs="Arial" w:eastAsia="Arial" w:hAnsi="Arial"/>
          <w:sz w:val="16"/>
          <w:szCs w:val="16"/>
          <w:b w:val="1"/>
          <w:bCs w:val="1"/>
          <w:color w:val="auto"/>
        </w:rPr>
        <w:t>Handling Safe Custody Holdings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particular, the Bank will accept:</w:t>
      </w:r>
    </w:p>
    <w:p>
      <w:pPr>
        <w:spacing w:after="0" w:line="225" w:lineRule="exact"/>
        <w:rPr>
          <w:sz w:val="20"/>
          <w:szCs w:val="20"/>
          <w:color w:val="auto"/>
        </w:rPr>
      </w:pPr>
    </w:p>
    <w:p>
      <w:pPr>
        <w:ind w:left="4" w:right="320" w:hanging="4"/>
        <w:spacing w:after="0" w:line="308" w:lineRule="auto"/>
        <w:tabs>
          <w:tab w:leader="none" w:pos="604"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 xml:space="preserve">securities and other financial instruments for safe custody and administration, usually in </w:t>
      </w:r>
      <w:r>
        <w:rPr>
          <w:rFonts w:ascii="Arial" w:cs="Arial" w:eastAsia="Arial" w:hAnsi="Arial"/>
          <w:sz w:val="17"/>
          <w:szCs w:val="17"/>
          <w:b w:val="1"/>
          <w:bCs w:val="1"/>
          <w:color w:val="auto"/>
        </w:rPr>
        <w:t>open safekeeping accounts;</w:t>
      </w:r>
    </w:p>
    <w:p>
      <w:pPr>
        <w:spacing w:after="0" w:line="142" w:lineRule="exact"/>
        <w:rPr>
          <w:rFonts w:ascii="Arial" w:cs="Arial" w:eastAsia="Arial" w:hAnsi="Arial"/>
          <w:sz w:val="17"/>
          <w:szCs w:val="17"/>
          <w:b w:val="1"/>
          <w:bCs w:val="1"/>
          <w:color w:val="auto"/>
        </w:rPr>
      </w:pPr>
    </w:p>
    <w:p>
      <w:pPr>
        <w:ind w:left="4" w:right="320" w:hanging="4"/>
        <w:spacing w:after="0" w:line="282" w:lineRule="auto"/>
        <w:tabs>
          <w:tab w:leader="none" w:pos="614"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precious metals for safe custody, usually in </w:t>
      </w:r>
      <w:r>
        <w:rPr>
          <w:rFonts w:ascii="Arial" w:cs="Arial" w:eastAsia="Arial" w:hAnsi="Arial"/>
          <w:sz w:val="18"/>
          <w:szCs w:val="18"/>
          <w:b w:val="1"/>
          <w:bCs w:val="1"/>
          <w:color w:val="auto"/>
        </w:rPr>
        <w:t>open safekeeping</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p>
    <w:p>
      <w:pPr>
        <w:spacing w:after="0" w:line="165" w:lineRule="exact"/>
        <w:rPr>
          <w:rFonts w:ascii="Arial" w:cs="Arial" w:eastAsia="Arial" w:hAnsi="Arial"/>
          <w:sz w:val="18"/>
          <w:szCs w:val="18"/>
          <w:b w:val="1"/>
          <w:bCs w:val="1"/>
          <w:color w:val="auto"/>
        </w:rPr>
      </w:pPr>
    </w:p>
    <w:p>
      <w:pPr>
        <w:ind w:left="4" w:right="260" w:hanging="4"/>
        <w:spacing w:after="0" w:line="263" w:lineRule="auto"/>
        <w:tabs>
          <w:tab w:leader="none" w:pos="593"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money market and capital market investments not issued in the form of securities for entry and administration in </w:t>
      </w:r>
      <w:r>
        <w:rPr>
          <w:rFonts w:ascii="Arial" w:cs="Arial" w:eastAsia="Arial" w:hAnsi="Arial"/>
          <w:sz w:val="18"/>
          <w:szCs w:val="18"/>
          <w:b w:val="1"/>
          <w:bCs w:val="1"/>
          <w:color w:val="auto"/>
        </w:rPr>
        <w:t>open safekeeping</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p>
    <w:p>
      <w:pPr>
        <w:spacing w:after="0" w:line="183" w:lineRule="exact"/>
        <w:rPr>
          <w:rFonts w:ascii="Arial" w:cs="Arial" w:eastAsia="Arial" w:hAnsi="Arial"/>
          <w:sz w:val="18"/>
          <w:szCs w:val="18"/>
          <w:b w:val="1"/>
          <w:bCs w:val="1"/>
          <w:color w:val="auto"/>
        </w:rPr>
      </w:pPr>
    </w:p>
    <w:p>
      <w:pPr>
        <w:ind w:left="4" w:right="100" w:hanging="4"/>
        <w:spacing w:after="0" w:line="277" w:lineRule="auto"/>
        <w:tabs>
          <w:tab w:leader="none" w:pos="614"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documents of title or documents evidencing entitlements for safe custody, usually in </w:t>
      </w:r>
      <w:r>
        <w:rPr>
          <w:rFonts w:ascii="Arial" w:cs="Arial" w:eastAsia="Arial" w:hAnsi="Arial"/>
          <w:sz w:val="18"/>
          <w:szCs w:val="18"/>
          <w:b w:val="1"/>
          <w:bCs w:val="1"/>
          <w:color w:val="auto"/>
        </w:rPr>
        <w:t>open safekeeping accounts;</w:t>
      </w:r>
    </w:p>
    <w:p>
      <w:pPr>
        <w:spacing w:after="0" w:line="170" w:lineRule="exact"/>
        <w:rPr>
          <w:rFonts w:ascii="Arial" w:cs="Arial" w:eastAsia="Arial" w:hAnsi="Arial"/>
          <w:sz w:val="18"/>
          <w:szCs w:val="18"/>
          <w:b w:val="1"/>
          <w:bCs w:val="1"/>
          <w:color w:val="auto"/>
        </w:rPr>
      </w:pPr>
    </w:p>
    <w:p>
      <w:pPr>
        <w:ind w:left="4" w:hanging="4"/>
        <w:spacing w:after="0" w:line="277" w:lineRule="auto"/>
        <w:tabs>
          <w:tab w:leader="none" w:pos="593"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valuables and other appropriate objects for safe custody, usually in </w:t>
      </w:r>
      <w:r>
        <w:rPr>
          <w:rFonts w:ascii="Arial" w:cs="Arial" w:eastAsia="Arial" w:hAnsi="Arial"/>
          <w:sz w:val="18"/>
          <w:szCs w:val="18"/>
          <w:b w:val="1"/>
          <w:bCs w:val="1"/>
          <w:color w:val="auto"/>
        </w:rPr>
        <w:t>closed safekeeping accounts.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Separate regulations shall apply to closed safekeeping accounts.</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Bank may refuse to accept Safe Custody Assets without stating any reason.</w:t>
      </w:r>
    </w:p>
    <w:p>
      <w:pPr>
        <w:spacing w:after="0" w:line="166" w:lineRule="exact"/>
        <w:rPr>
          <w:sz w:val="20"/>
          <w:szCs w:val="20"/>
          <w:color w:val="auto"/>
        </w:rPr>
      </w:pPr>
    </w:p>
    <w:p>
      <w:pPr>
        <w:ind w:left="4"/>
        <w:spacing w:after="0"/>
        <w:tabs>
          <w:tab w:leader="none" w:pos="884" w:val="left"/>
        </w:tabs>
        <w:rPr>
          <w:sz w:val="20"/>
          <w:szCs w:val="20"/>
          <w:color w:val="auto"/>
        </w:rPr>
      </w:pPr>
      <w:r>
        <w:rPr>
          <w:rFonts w:ascii="Arial" w:cs="Arial" w:eastAsia="Arial" w:hAnsi="Arial"/>
          <w:sz w:val="18"/>
          <w:szCs w:val="18"/>
          <w:b w:val="1"/>
          <w:bCs w:val="1"/>
          <w:color w:val="auto"/>
        </w:rPr>
        <w:t>Art. 3</w:t>
      </w:r>
      <w:r>
        <w:rPr>
          <w:sz w:val="20"/>
          <w:szCs w:val="20"/>
          <w:color w:val="auto"/>
        </w:rPr>
        <w:tab/>
      </w:r>
      <w:r>
        <w:rPr>
          <w:rFonts w:ascii="Arial" w:cs="Arial" w:eastAsia="Arial" w:hAnsi="Arial"/>
          <w:sz w:val="15"/>
          <w:szCs w:val="15"/>
          <w:b w:val="1"/>
          <w:bCs w:val="1"/>
          <w:color w:val="auto"/>
        </w:rPr>
        <w:t>Verifying Safe Custody Assets</w:t>
      </w:r>
    </w:p>
    <w:p>
      <w:pPr>
        <w:spacing w:after="0" w:line="229" w:lineRule="exact"/>
        <w:rPr>
          <w:sz w:val="20"/>
          <w:szCs w:val="20"/>
          <w:color w:val="auto"/>
        </w:rPr>
      </w:pPr>
    </w:p>
    <w:p>
      <w:pPr>
        <w:ind w:left="4" w:right="220"/>
        <w:spacing w:after="0" w:line="254" w:lineRule="auto"/>
        <w:rPr>
          <w:sz w:val="20"/>
          <w:szCs w:val="20"/>
          <w:color w:val="auto"/>
        </w:rPr>
      </w:pPr>
      <w:r>
        <w:rPr>
          <w:rFonts w:ascii="Arial" w:cs="Arial" w:eastAsia="Arial" w:hAnsi="Arial"/>
          <w:sz w:val="18"/>
          <w:szCs w:val="18"/>
          <w:color w:val="auto"/>
        </w:rPr>
        <w:t>The Bank may verify Safe Custody Assets delivered by the client or by third parties for the account of the client for authenticity and blocking notices, without thereby assuming any liability. In particular, the Bank shall be obliged to undertake administrative actions only after such verification is completed. Accordingly, the Bank shall not be obliged during the verification period to execute any sales orders or other transactions in which the assets must be released to a third party against payment.</w:t>
      </w:r>
    </w:p>
    <w:p>
      <w:pPr>
        <w:spacing w:after="0" w:line="192"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The Bank shall conduct the verification of the Safe Custody Assets in accordance with the resources and documents at its disposal. Foreign Safe Custody Assets may be given to the custodian or another suitable agent in the relevant foreign country for verification.</w:t>
      </w:r>
    </w:p>
    <w:p>
      <w:pPr>
        <w:spacing w:after="0" w:line="167" w:lineRule="exact"/>
        <w:rPr>
          <w:sz w:val="20"/>
          <w:szCs w:val="20"/>
          <w:color w:val="auto"/>
        </w:rPr>
      </w:pPr>
    </w:p>
    <w:p>
      <w:pPr>
        <w:ind w:left="804" w:right="440" w:hanging="809"/>
        <w:spacing w:after="0" w:line="282" w:lineRule="auto"/>
        <w:tabs>
          <w:tab w:leader="none" w:pos="784" w:val="left"/>
        </w:tabs>
        <w:rPr>
          <w:sz w:val="20"/>
          <w:szCs w:val="20"/>
          <w:color w:val="auto"/>
        </w:rPr>
      </w:pPr>
      <w:r>
        <w:rPr>
          <w:rFonts w:ascii="Arial" w:cs="Arial" w:eastAsia="Arial" w:hAnsi="Arial"/>
          <w:sz w:val="18"/>
          <w:szCs w:val="18"/>
          <w:b w:val="1"/>
          <w:bCs w:val="1"/>
          <w:color w:val="auto"/>
        </w:rPr>
        <w:t>Art. 4</w:t>
      </w:r>
      <w:r>
        <w:rPr>
          <w:sz w:val="20"/>
          <w:szCs w:val="20"/>
          <w:color w:val="auto"/>
        </w:rPr>
        <w:tab/>
      </w:r>
      <w:r>
        <w:rPr>
          <w:rFonts w:ascii="Arial" w:cs="Arial" w:eastAsia="Arial" w:hAnsi="Arial"/>
          <w:sz w:val="18"/>
          <w:szCs w:val="18"/>
          <w:b w:val="1"/>
          <w:bCs w:val="1"/>
          <w:color w:val="auto"/>
        </w:rPr>
        <w:t>Book-entry Securities that Function like Certificated Securities</w:t>
      </w:r>
    </w:p>
    <w:p>
      <w:pPr>
        <w:spacing w:after="0" w:line="166" w:lineRule="exact"/>
        <w:rPr>
          <w:sz w:val="20"/>
          <w:szCs w:val="20"/>
          <w:color w:val="auto"/>
        </w:rPr>
      </w:pPr>
    </w:p>
    <w:p>
      <w:pPr>
        <w:ind w:left="4" w:right="680"/>
        <w:spacing w:after="0" w:line="308" w:lineRule="auto"/>
        <w:rPr>
          <w:sz w:val="20"/>
          <w:szCs w:val="20"/>
          <w:color w:val="auto"/>
        </w:rPr>
      </w:pPr>
      <w:r>
        <w:rPr>
          <w:rFonts w:ascii="Arial" w:cs="Arial" w:eastAsia="Arial" w:hAnsi="Arial"/>
          <w:sz w:val="17"/>
          <w:szCs w:val="17"/>
          <w:color w:val="auto"/>
        </w:rPr>
        <w:t>Certificated securities and book-entry securities that function like certificated securities but are not evidenced by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8" w:right="500"/>
        <w:spacing w:after="0" w:line="263" w:lineRule="auto"/>
        <w:rPr>
          <w:sz w:val="20"/>
          <w:szCs w:val="20"/>
          <w:color w:val="auto"/>
        </w:rPr>
      </w:pPr>
      <w:r>
        <w:rPr>
          <w:rFonts w:ascii="Arial" w:cs="Arial" w:eastAsia="Arial" w:hAnsi="Arial"/>
          <w:sz w:val="18"/>
          <w:szCs w:val="18"/>
          <w:color w:val="auto"/>
        </w:rPr>
        <w:t>certificate shall be treated the same. In particular, the regulations on commission (Art. 425 et seq. Swiss Code of Obligations) between the client and the Bank shall apply.</w:t>
      </w:r>
    </w:p>
    <w:p>
      <w:pPr>
        <w:spacing w:after="0" w:line="180" w:lineRule="exact"/>
        <w:rPr>
          <w:sz w:val="20"/>
          <w:szCs w:val="20"/>
          <w:color w:val="auto"/>
        </w:rPr>
      </w:pPr>
    </w:p>
    <w:p>
      <w:pPr>
        <w:ind w:left="8"/>
        <w:spacing w:after="0"/>
        <w:tabs>
          <w:tab w:leader="none" w:pos="887" w:val="left"/>
        </w:tabs>
        <w:rPr>
          <w:sz w:val="20"/>
          <w:szCs w:val="20"/>
          <w:color w:val="auto"/>
        </w:rPr>
      </w:pPr>
      <w:r>
        <w:rPr>
          <w:rFonts w:ascii="Arial" w:cs="Arial" w:eastAsia="Arial" w:hAnsi="Arial"/>
          <w:sz w:val="18"/>
          <w:szCs w:val="18"/>
          <w:b w:val="1"/>
          <w:bCs w:val="1"/>
          <w:color w:val="auto"/>
        </w:rPr>
        <w:t>Art. 5</w:t>
      </w:r>
      <w:r>
        <w:rPr>
          <w:sz w:val="20"/>
          <w:szCs w:val="20"/>
          <w:color w:val="auto"/>
        </w:rPr>
        <w:tab/>
      </w:r>
      <w:r>
        <w:rPr>
          <w:rFonts w:ascii="Arial" w:cs="Arial" w:eastAsia="Arial" w:hAnsi="Arial"/>
          <w:sz w:val="16"/>
          <w:szCs w:val="16"/>
          <w:b w:val="1"/>
          <w:bCs w:val="1"/>
          <w:color w:val="auto"/>
        </w:rPr>
        <w:t>Bank’s Duty to Exercise Due Diligence</w:t>
      </w:r>
    </w:p>
    <w:p>
      <w:pPr>
        <w:spacing w:after="0" w:line="229" w:lineRule="exact"/>
        <w:rPr>
          <w:sz w:val="20"/>
          <w:szCs w:val="20"/>
          <w:color w:val="auto"/>
        </w:rPr>
      </w:pPr>
    </w:p>
    <w:p>
      <w:pPr>
        <w:ind w:left="8" w:right="120"/>
        <w:spacing w:after="0" w:line="277" w:lineRule="auto"/>
        <w:rPr>
          <w:sz w:val="20"/>
          <w:szCs w:val="20"/>
          <w:color w:val="auto"/>
        </w:rPr>
      </w:pPr>
      <w:r>
        <w:rPr>
          <w:rFonts w:ascii="Arial" w:cs="Arial" w:eastAsia="Arial" w:hAnsi="Arial"/>
          <w:sz w:val="18"/>
          <w:szCs w:val="18"/>
          <w:color w:val="auto"/>
        </w:rPr>
        <w:t>The Bank shall exercise the standard of due care customary in the business in handling the Safe Custody Assets.</w:t>
      </w:r>
    </w:p>
    <w:p>
      <w:pPr>
        <w:spacing w:after="0" w:line="166" w:lineRule="exact"/>
        <w:rPr>
          <w:sz w:val="20"/>
          <w:szCs w:val="20"/>
          <w:color w:val="auto"/>
        </w:rPr>
      </w:pPr>
    </w:p>
    <w:p>
      <w:pPr>
        <w:ind w:left="8"/>
        <w:spacing w:after="0"/>
        <w:tabs>
          <w:tab w:leader="none" w:pos="887" w:val="left"/>
        </w:tabs>
        <w:rPr>
          <w:sz w:val="20"/>
          <w:szCs w:val="20"/>
          <w:color w:val="auto"/>
        </w:rPr>
      </w:pPr>
      <w:r>
        <w:rPr>
          <w:rFonts w:ascii="Arial" w:cs="Arial" w:eastAsia="Arial" w:hAnsi="Arial"/>
          <w:sz w:val="18"/>
          <w:szCs w:val="18"/>
          <w:b w:val="1"/>
          <w:bCs w:val="1"/>
          <w:color w:val="auto"/>
        </w:rPr>
        <w:t>Art. 6</w:t>
      </w:r>
      <w:r>
        <w:rPr>
          <w:sz w:val="20"/>
          <w:szCs w:val="20"/>
          <w:color w:val="auto"/>
        </w:rPr>
        <w:tab/>
      </w:r>
      <w:r>
        <w:rPr>
          <w:rFonts w:ascii="Arial" w:cs="Arial" w:eastAsia="Arial" w:hAnsi="Arial"/>
          <w:sz w:val="15"/>
          <w:szCs w:val="15"/>
          <w:b w:val="1"/>
          <w:bCs w:val="1"/>
          <w:color w:val="auto"/>
        </w:rPr>
        <w:t>Delivery and Disposal of the Safe Custody Assets</w:t>
      </w:r>
    </w:p>
    <w:p>
      <w:pPr>
        <w:spacing w:after="0" w:line="229" w:lineRule="exact"/>
        <w:rPr>
          <w:sz w:val="20"/>
          <w:szCs w:val="20"/>
          <w:color w:val="auto"/>
        </w:rPr>
      </w:pPr>
    </w:p>
    <w:p>
      <w:pPr>
        <w:ind w:left="8" w:right="200"/>
        <w:spacing w:after="0" w:line="257" w:lineRule="auto"/>
        <w:rPr>
          <w:sz w:val="20"/>
          <w:szCs w:val="20"/>
          <w:color w:val="auto"/>
        </w:rPr>
      </w:pPr>
      <w:r>
        <w:rPr>
          <w:rFonts w:ascii="Arial" w:cs="Arial" w:eastAsia="Arial" w:hAnsi="Arial"/>
          <w:sz w:val="18"/>
          <w:szCs w:val="18"/>
          <w:color w:val="auto"/>
        </w:rPr>
        <w:t>The client may at any time, subject to notice periods, legal provisions, the articles of association of the issuer, and the Bank’s right of lien, right of retention, and other withholding rights, request that the Safe Custody Assets be delivered to him or put at his disposal. The usual delivery times must be observed.</w:t>
      </w:r>
    </w:p>
    <w:p>
      <w:pPr>
        <w:spacing w:after="0" w:line="188" w:lineRule="exact"/>
        <w:rPr>
          <w:sz w:val="20"/>
          <w:szCs w:val="20"/>
          <w:color w:val="auto"/>
        </w:rPr>
      </w:pPr>
    </w:p>
    <w:p>
      <w:pPr>
        <w:ind w:left="8" w:right="140"/>
        <w:spacing w:after="0" w:line="259" w:lineRule="auto"/>
        <w:rPr>
          <w:sz w:val="20"/>
          <w:szCs w:val="20"/>
          <w:color w:val="auto"/>
        </w:rPr>
      </w:pPr>
      <w:r>
        <w:rPr>
          <w:rFonts w:ascii="Arial" w:cs="Arial" w:eastAsia="Arial" w:hAnsi="Arial"/>
          <w:sz w:val="18"/>
          <w:szCs w:val="18"/>
          <w:color w:val="auto"/>
        </w:rPr>
        <w:t>The Safe Custody Assets shall be transferred and sent for the account of and at the risk of the client. If the client does not issue special instructions, the Bank may insure and declare the value of the Safe Custody Assets at its own discretion.</w:t>
      </w:r>
    </w:p>
    <w:p>
      <w:pPr>
        <w:spacing w:after="0" w:line="183" w:lineRule="exact"/>
        <w:rPr>
          <w:sz w:val="20"/>
          <w:szCs w:val="20"/>
          <w:color w:val="auto"/>
        </w:rPr>
      </w:pPr>
    </w:p>
    <w:p>
      <w:pPr>
        <w:ind w:left="8"/>
        <w:spacing w:after="0"/>
        <w:tabs>
          <w:tab w:leader="none" w:pos="887" w:val="left"/>
        </w:tabs>
        <w:rPr>
          <w:sz w:val="20"/>
          <w:szCs w:val="20"/>
          <w:color w:val="auto"/>
        </w:rPr>
      </w:pPr>
      <w:r>
        <w:rPr>
          <w:rFonts w:ascii="Arial" w:cs="Arial" w:eastAsia="Arial" w:hAnsi="Arial"/>
          <w:sz w:val="18"/>
          <w:szCs w:val="18"/>
          <w:b w:val="1"/>
          <w:bCs w:val="1"/>
          <w:color w:val="auto"/>
        </w:rPr>
        <w:t>Art. 7</w:t>
      </w:r>
      <w:r>
        <w:rPr>
          <w:sz w:val="20"/>
          <w:szCs w:val="20"/>
          <w:color w:val="auto"/>
        </w:rPr>
        <w:tab/>
      </w:r>
      <w:r>
        <w:rPr>
          <w:rFonts w:ascii="Arial" w:cs="Arial" w:eastAsia="Arial" w:hAnsi="Arial"/>
          <w:sz w:val="16"/>
          <w:szCs w:val="16"/>
          <w:b w:val="1"/>
          <w:bCs w:val="1"/>
          <w:color w:val="auto"/>
        </w:rPr>
        <w:t>Bank Fees and Remuneration</w:t>
      </w:r>
    </w:p>
    <w:p>
      <w:pPr>
        <w:spacing w:after="0" w:line="229" w:lineRule="exact"/>
        <w:rPr>
          <w:sz w:val="20"/>
          <w:szCs w:val="20"/>
          <w:color w:val="auto"/>
        </w:rPr>
      </w:pPr>
    </w:p>
    <w:p>
      <w:pPr>
        <w:ind w:left="8" w:right="200" w:hanging="8"/>
        <w:spacing w:after="0" w:line="255" w:lineRule="auto"/>
        <w:tabs>
          <w:tab w:leader="none" w:pos="604"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Bank’s fees are based on the prevailing rates. The Bank reserves the right to amend such rates at any time. The client will be informed of such amendments in advance in writing or by other appropriate means, and subject to opposition to the client, the amendment takes effect 30 days after notice is given or within the period specified in the notice.</w:t>
      </w:r>
    </w:p>
    <w:p>
      <w:pPr>
        <w:spacing w:after="0" w:line="192" w:lineRule="exact"/>
        <w:rPr>
          <w:rFonts w:ascii="Arial" w:cs="Arial" w:eastAsia="Arial" w:hAnsi="Arial"/>
          <w:sz w:val="18"/>
          <w:szCs w:val="18"/>
          <w:b w:val="1"/>
          <w:bCs w:val="1"/>
          <w:color w:val="auto"/>
        </w:rPr>
      </w:pPr>
    </w:p>
    <w:p>
      <w:pPr>
        <w:ind w:left="8" w:right="200" w:hanging="8"/>
        <w:spacing w:after="0" w:line="273" w:lineRule="auto"/>
        <w:tabs>
          <w:tab w:leader="none" w:pos="618"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 xml:space="preserve">In connection with the provision of financial services, the Bank receives from third parties (including other banks and legal entities of Credit Suisse Group) retrocessions, payments, fees, commissions including trailer fees, reimbursements, discounts, rebates, distribution remuneration, inducements, and other monetary or non-monetary benefits (collectively referred to hereinafter as </w:t>
      </w:r>
      <w:r>
        <w:rPr>
          <w:rFonts w:ascii="Arial" w:cs="Arial" w:eastAsia="Arial" w:hAnsi="Arial"/>
          <w:sz w:val="17"/>
          <w:szCs w:val="17"/>
          <w:i w:val="1"/>
          <w:iCs w:val="1"/>
          <w:color w:val="auto"/>
        </w:rPr>
        <w:t>remuneration</w:t>
      </w:r>
      <w:r>
        <w:rPr>
          <w:rFonts w:ascii="Arial" w:cs="Arial" w:eastAsia="Arial" w:hAnsi="Arial"/>
          <w:sz w:val="17"/>
          <w:szCs w:val="17"/>
          <w:color w:val="auto"/>
        </w:rPr>
        <w:t>).</w:t>
      </w:r>
    </w:p>
    <w:p>
      <w:pPr>
        <w:spacing w:after="0" w:line="178" w:lineRule="exact"/>
        <w:rPr>
          <w:sz w:val="20"/>
          <w:szCs w:val="20"/>
          <w:color w:val="auto"/>
        </w:rPr>
      </w:pPr>
    </w:p>
    <w:p>
      <w:pPr>
        <w:ind w:left="8" w:right="140"/>
        <w:spacing w:after="0" w:line="287" w:lineRule="auto"/>
        <w:rPr>
          <w:sz w:val="20"/>
          <w:szCs w:val="20"/>
          <w:color w:val="auto"/>
        </w:rPr>
      </w:pPr>
      <w:r>
        <w:rPr>
          <w:rFonts w:ascii="Arial" w:cs="Arial" w:eastAsia="Arial" w:hAnsi="Arial"/>
          <w:sz w:val="16"/>
          <w:szCs w:val="16"/>
          <w:color w:val="auto"/>
        </w:rPr>
        <w:t>Remuneration is normally measured as a percentage of the total investment volume held by the Bank in a product (investment volume), or, where specifically mentioned below, of the notional amount, whereby the amount varies depending on the product and the product provider. In the case of collective investment schemes, the Bank receives remuneration in the form of regular payments. In the case of structured products and similar products, the Bank receives remuneration in the form of regular payments and/or a reimbursement of part of the issue price or a discount on the issue price (or, where specifically mentioned below, related to the notional amount). The remuneration received by the Bank ranges within the following bandwidths (the information is based on the investment volume – or where specifically mentioned below, on the notional amount):</w:t>
      </w:r>
    </w:p>
    <w:p>
      <w:pPr>
        <w:spacing w:after="0" w:line="1976" w:lineRule="exact"/>
        <w:rPr>
          <w:sz w:val="20"/>
          <w:szCs w:val="20"/>
          <w:color w:val="auto"/>
        </w:rPr>
      </w:pPr>
    </w:p>
    <w:p>
      <w:pPr>
        <w:sectPr>
          <w:pgSz w:w="11900" w:h="16838" w:orient="portrait"/>
          <w:cols w:equalWidth="0" w:num="2">
            <w:col w:w="5384" w:space="232"/>
            <w:col w:w="5508"/>
          </w:cols>
          <w:pgMar w:left="436" w:top="1440" w:right="339" w:bottom="2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0844"/>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63500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4"/>
          </w:cols>
          <w:pgMar w:left="436" w:top="1440" w:right="339" w:bottom="2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Collective investment schemes:</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Money market funds from 0% to 1.0% max. per year,</w:t>
      </w:r>
    </w:p>
    <w:p>
      <w:pPr>
        <w:spacing w:after="0" w:line="225"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Bond and real estate funds from 0% to 1.6% max. per year,</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other collective investment schemes (alternative investment</w:t>
      </w:r>
    </w:p>
    <w:p>
      <w:pPr>
        <w:spacing w:after="0" w:line="56"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funds, hedge funds, private equity funds, funds of funds, equity funds, portfolio funds, investment foundation products etc.) from 0% to 2.0% max. per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Structured products and similar products:</w:t>
      </w:r>
    </w:p>
    <w:p>
      <w:pPr>
        <w:spacing w:after="0" w:line="19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Money market investments from 0% to 1.5% max. per year,</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Bond investments from 0% to 1.5% max. per year,</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Mixed investments from 0% to 1.5% max. per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Alternative investments from 0% to 1.7% max. per year,</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Equity investments from 0% to 2.5% max. per year</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Warrants from 0% to 2.5% max. per year (based on the notional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case of discretionary mandates, the remuneration received by the Bank ranges from 0% to a maximum of 0.9% of the managed client assets per year.</w:t>
      </w:r>
    </w:p>
    <w:p>
      <w:pPr>
        <w:spacing w:after="0" w:line="184"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The amount of the maximum remuneration per client is calculated by multiplying the maximum percentage by the value of the client’s investment volume (or, where specifically mentioned above, by the notional amount) for the respective product category.</w:t>
      </w:r>
    </w:p>
    <w:p>
      <w:pPr>
        <w:spacing w:after="0" w:line="1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bandwidths published above correspond to the maximum remuneration that the Bank may receive in accordance with the terms and conditions of the respective product. If the remuneration constitutes a reimbursement of part of the issue price or a discount on the issue price (or, where specifically mentioned above, related to the notional amount) and the product is redeemed before the expiry of the term, the Bank shall retain the full amount of remuneration despite the early redemption of the product. The Bank may also receive full annualized remuneration, in accordance with the bandwidths specified above, for incomplete annual periods. We reserve the right to make changes to the level of remuneration in conformity with Art. 9 of these safekeeping account regulations.</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client is aware that remuneration may lead to potential conflicts of interest by potentially creating incentives to select or recommend products that result in remuneration to the Bank in the first place (e.g. investment funds or structured products as opposed to equities or bonds) or that result in a higher amount of remuneration to the Bank (e.g. preferring products from specific providers or specific categories of products that entail higher levels of remuneration). The Bank can also recommend investment products for which it may not receive consideration but are however supported in particular by the Bank. Potential conflicts of interest and, in particular, clients’ interests will be taken into account through appropriate measures.</w:t>
      </w:r>
    </w:p>
    <w:p>
      <w:pPr>
        <w:spacing w:after="0" w:line="20" w:lineRule="exact"/>
        <w:rPr>
          <w:sz w:val="20"/>
          <w:szCs w:val="20"/>
          <w:color w:val="auto"/>
        </w:rPr>
      </w:pPr>
      <w:r>
        <w:rPr>
          <w:sz w:val="20"/>
          <w:szCs w:val="20"/>
          <w:color w:val="auto"/>
        </w:rPr>
        <w:br w:type="column"/>
      </w:r>
    </w:p>
    <w:p>
      <w:pPr>
        <w:ind w:left="8" w:right="180"/>
        <w:spacing w:after="0" w:line="270" w:lineRule="auto"/>
        <w:rPr>
          <w:sz w:val="20"/>
          <w:szCs w:val="20"/>
          <w:color w:val="auto"/>
        </w:rPr>
      </w:pPr>
      <w:r>
        <w:rPr>
          <w:rFonts w:ascii="Arial" w:cs="Arial" w:eastAsia="Arial" w:hAnsi="Arial"/>
          <w:sz w:val="17"/>
          <w:szCs w:val="17"/>
          <w:color w:val="auto"/>
        </w:rPr>
        <w:t xml:space="preserve">In determining the applicable tariffs, consideration has been given to the fact that the Bank receives remuneration for its services. Accordingly, the client consents to the Bank receiving and retaining remuneration. </w:t>
      </w:r>
      <w:r>
        <w:rPr>
          <w:rFonts w:ascii="Arial" w:cs="Arial" w:eastAsia="Arial" w:hAnsi="Arial"/>
          <w:sz w:val="17"/>
          <w:szCs w:val="17"/>
          <w:b w:val="1"/>
          <w:bCs w:val="1"/>
          <w:color w:val="auto"/>
        </w:rPr>
        <w:t>Should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delivery of this remuneration to the client be required by law in the absence of an agreement to the contrary, the client agrees that the remuneration shall remain in full with the Bank. The client waives all right to the restitution of any remuneration. </w:t>
      </w:r>
      <w:r>
        <w:rPr>
          <w:rFonts w:ascii="Arial" w:cs="Arial" w:eastAsia="Arial" w:hAnsi="Arial"/>
          <w:sz w:val="17"/>
          <w:szCs w:val="17"/>
          <w:color w:val="auto"/>
        </w:rPr>
        <w:t>Special agreements be-tween the client and the Bank as well as mandatory provisions of law remain reserved.</w:t>
      </w:r>
    </w:p>
    <w:p>
      <w:pPr>
        <w:spacing w:after="0" w:line="181" w:lineRule="exact"/>
        <w:rPr>
          <w:sz w:val="20"/>
          <w:szCs w:val="20"/>
          <w:color w:val="auto"/>
        </w:rPr>
      </w:pPr>
    </w:p>
    <w:p>
      <w:pPr>
        <w:ind w:left="8" w:right="180" w:hanging="8"/>
        <w:spacing w:after="0" w:line="275" w:lineRule="auto"/>
        <w:tabs>
          <w:tab w:leader="none" w:pos="594"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The Bank or other banks and legal entities of Credit Suisse Group develop and/or maintain investment products and provide a variety of services (e.g. administration, asset management) in relation to these products. As a result, charges or fees in favor of the Bank or other banks and legal entities of Credit Suisse Group may apply.</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Art. 8 Duration of the Agreement</w:t>
      </w:r>
    </w:p>
    <w:p>
      <w:pPr>
        <w:spacing w:after="0" w:line="229" w:lineRule="exact"/>
        <w:rPr>
          <w:sz w:val="20"/>
          <w:szCs w:val="20"/>
          <w:color w:val="auto"/>
        </w:rPr>
      </w:pPr>
    </w:p>
    <w:p>
      <w:pPr>
        <w:ind w:left="8" w:right="440"/>
        <w:spacing w:after="0" w:line="263" w:lineRule="auto"/>
        <w:rPr>
          <w:sz w:val="20"/>
          <w:szCs w:val="20"/>
          <w:color w:val="auto"/>
        </w:rPr>
      </w:pPr>
      <w:r>
        <w:rPr>
          <w:rFonts w:ascii="Arial" w:cs="Arial" w:eastAsia="Arial" w:hAnsi="Arial"/>
          <w:sz w:val="18"/>
          <w:szCs w:val="18"/>
          <w:color w:val="auto"/>
        </w:rPr>
        <w:t>The agreement shall generally be for an indefinite period. The legal relationships established by these regulations shall not expire upon the death, incapacity or bankruptcy of the client.</w:t>
      </w:r>
    </w:p>
    <w:p>
      <w:pPr>
        <w:spacing w:after="0" w:line="180" w:lineRule="exact"/>
        <w:rPr>
          <w:sz w:val="20"/>
          <w:szCs w:val="20"/>
          <w:color w:val="auto"/>
        </w:rPr>
      </w:pPr>
    </w:p>
    <w:p>
      <w:pPr>
        <w:ind w:left="8"/>
        <w:spacing w:after="0"/>
        <w:tabs>
          <w:tab w:leader="none" w:pos="887" w:val="left"/>
        </w:tabs>
        <w:rPr>
          <w:sz w:val="20"/>
          <w:szCs w:val="20"/>
          <w:color w:val="auto"/>
        </w:rPr>
      </w:pPr>
      <w:r>
        <w:rPr>
          <w:rFonts w:ascii="Arial" w:cs="Arial" w:eastAsia="Arial" w:hAnsi="Arial"/>
          <w:sz w:val="18"/>
          <w:szCs w:val="18"/>
          <w:b w:val="1"/>
          <w:bCs w:val="1"/>
          <w:color w:val="auto"/>
        </w:rPr>
        <w:t>Art. 9</w:t>
      </w:r>
      <w:r>
        <w:rPr>
          <w:sz w:val="20"/>
          <w:szCs w:val="20"/>
          <w:color w:val="auto"/>
        </w:rPr>
        <w:tab/>
      </w:r>
      <w:r>
        <w:rPr>
          <w:rFonts w:ascii="Arial" w:cs="Arial" w:eastAsia="Arial" w:hAnsi="Arial"/>
          <w:sz w:val="15"/>
          <w:szCs w:val="15"/>
          <w:b w:val="1"/>
          <w:bCs w:val="1"/>
          <w:color w:val="auto"/>
        </w:rPr>
        <w:t>Amendments to the Safe Custody Regulations</w:t>
      </w:r>
    </w:p>
    <w:p>
      <w:pPr>
        <w:spacing w:after="0" w:line="229" w:lineRule="exact"/>
        <w:rPr>
          <w:sz w:val="20"/>
          <w:szCs w:val="20"/>
          <w:color w:val="auto"/>
        </w:rPr>
      </w:pPr>
    </w:p>
    <w:p>
      <w:pPr>
        <w:ind w:left="8" w:right="160"/>
        <w:spacing w:after="0" w:line="275" w:lineRule="auto"/>
        <w:rPr>
          <w:sz w:val="20"/>
          <w:szCs w:val="20"/>
          <w:color w:val="auto"/>
        </w:rPr>
      </w:pPr>
      <w:r>
        <w:rPr>
          <w:rFonts w:ascii="Arial" w:cs="Arial" w:eastAsia="Arial" w:hAnsi="Arial"/>
          <w:sz w:val="17"/>
          <w:szCs w:val="17"/>
          <w:color w:val="auto"/>
        </w:rPr>
        <w:t>The Bank reserves the right to amend the Safe Custody Regulations at any time. Amendments may also be made by publication on the Internet. The client will be notified in advance of these amendments in writing or by other suitable means. The currently valid version can be found on the Internet (at www.credit-suisse.com/LegalNotes).</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8"/>
          <w:szCs w:val="18"/>
          <w:color w:val="auto"/>
        </w:rPr>
        <w:t>Special Provisions for Open Safekeeping Accounts</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Art. 10 Form and Risks of Safekeeping</w:t>
      </w:r>
    </w:p>
    <w:p>
      <w:pPr>
        <w:spacing w:after="0" w:line="229" w:lineRule="exact"/>
        <w:rPr>
          <w:sz w:val="20"/>
          <w:szCs w:val="20"/>
          <w:color w:val="auto"/>
        </w:rPr>
      </w:pPr>
    </w:p>
    <w:p>
      <w:pPr>
        <w:ind w:left="8" w:right="160"/>
        <w:spacing w:after="0" w:line="287" w:lineRule="auto"/>
        <w:rPr>
          <w:sz w:val="20"/>
          <w:szCs w:val="20"/>
          <w:color w:val="auto"/>
        </w:rPr>
      </w:pPr>
      <w:r>
        <w:rPr>
          <w:rFonts w:ascii="Arial" w:cs="Arial" w:eastAsia="Arial" w:hAnsi="Arial"/>
          <w:sz w:val="16"/>
          <w:szCs w:val="16"/>
          <w:color w:val="auto"/>
        </w:rPr>
        <w:t>The Bank is expressly authorized to have the securities held in safekeeping by an external third party in its own name but for the account of and at the risk of the client. If the client requests the use of a third-party custodian that the Bank does not recommend, the Bank will not assume responsibility for the acts of this third-party custodian. Unless there are instructions to the contrary, the Bank is also authorized to hold the securities or have them held in a collective safekeeping account. In this case, securities of multiple clients may be held collectively. This may in particular result in the inability to individualize and separate the securities allocated to a client without further ado. In certain markets it is neither possible nor required to separate the securities of clients from those of the third-party custodian. In particular if the third-party custodian becomes insolvent, it may therefore</w:t>
      </w:r>
    </w:p>
    <w:p>
      <w:pPr>
        <w:spacing w:after="0" w:line="2777" w:lineRule="exact"/>
        <w:rPr>
          <w:sz w:val="20"/>
          <w:szCs w:val="20"/>
          <w:color w:val="auto"/>
        </w:rPr>
      </w:pPr>
    </w:p>
    <w:p>
      <w:pPr>
        <w:sectPr>
          <w:pgSz w:w="11900" w:h="16838" w:orient="portrait"/>
          <w:cols w:equalWidth="0" w:num="2">
            <w:col w:w="5380" w:space="232"/>
            <w:col w:w="5508"/>
          </w:cols>
          <w:pgMar w:left="440" w:top="719"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10840"/>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719" w:right="339" w:bottom="1440" w:gutter="0" w:footer="0" w:header="0"/>
          <w:type w:val="continuous"/>
        </w:sectPr>
      </w:pPr>
    </w:p>
    <w:bookmarkStart w:id="62" w:name="page63"/>
    <w:bookmarkEnd w:id="62"/>
    <w:p>
      <w:pPr>
        <w:ind w:right="40"/>
        <w:spacing w:after="0" w:line="286" w:lineRule="auto"/>
        <w:rPr>
          <w:sz w:val="20"/>
          <w:szCs w:val="20"/>
          <w:color w:val="auto"/>
        </w:rPr>
      </w:pPr>
      <w:r>
        <w:rPr>
          <w:rFonts w:ascii="Arial" w:cs="Arial" w:eastAsia="Arial" w:hAnsi="Arial"/>
          <w:sz w:val="17"/>
          <w:szCs w:val="17"/>
          <w:color w:val="auto"/>
        </w:rPr>
        <w:t>not always be possible to individualize and separate the securities. In such cases the client may not be entitled to have his securities returned to him in full or at all and such claim may not be enforceable.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shall not apply to securities that have to be held separately by nature or for other reasons.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the securities are held in safekeeping in a foreign country, they shall be subject to the laws and customs of that country, which may differ from those in Switzerland and may not offer the same level of protection, in particular in the event of insolvency of the third-party custodian. Moreover, third-party custodians may assert rights of lien, liquidation, or set-off in relation to the deposited securities. The Bank shall only transfer those rights that it receives from a foreign third party. If the applicable law of the foreign country renders it difficult or impossible for the Bank to return assets deposited abroad or to transfer the proceeds from the sale of such assets, the Bank shall only be obliged to procure for the client a claim for the return of property or payment of the sums involved, provided that such a claim exists and is assignable.</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the Bank’s discretion, Safe Custody Assets may be registered to a client or segregated i.e. held in custody under the client’s name. The client hereby accepts the disclosure of its name to the third party depository. Alternatively, the Bank may register the assets in its own name or in the name of a third party, in either case for the account and at the risk of the client.</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Safe Custody Assets redeemable by drawings may also be held according to their type in collective safe custody; drawn lots shall be allocated among the depositors by the Bank, using a method which guarantees all depositors the same chance of inclusion in the sub-drawing as under the main drawing.</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client acknowledges that neither he nor other parties involved in the banking relationship or the assets may directly issue instructions to counterparties of the Bank (e.g. custodians, brokers, issuers, etc.).</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 11</w:t>
      </w:r>
      <w:r>
        <w:rPr>
          <w:sz w:val="20"/>
          <w:szCs w:val="20"/>
          <w:color w:val="auto"/>
        </w:rPr>
        <w:tab/>
      </w:r>
      <w:r>
        <w:rPr>
          <w:rFonts w:ascii="Arial" w:cs="Arial" w:eastAsia="Arial" w:hAnsi="Arial"/>
          <w:sz w:val="16"/>
          <w:szCs w:val="16"/>
          <w:b w:val="1"/>
          <w:bCs w:val="1"/>
          <w:color w:val="auto"/>
        </w:rPr>
        <w:t>Administration</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Bank shall, without specific instructions from the client, take care of the usual administrative actions such as the receipt of dividends, interest, and repayable capital, monitoring of drawings, redemptions, conversions, and subscription rights, etc. In this regard the Bank shall normally require clients to take the measures incumbent on them pursuant to the paragraphs of this provision set out below and to make the necessary arrangements so that the usual administrative actions can be taken, without however obligating itself in this respect. In this regard the Bank shall rely on the customary information media available to it but does not assume any responsibility therefore. The administrative actions in respect</w:t>
      </w:r>
    </w:p>
    <w:p>
      <w:pPr>
        <w:spacing w:after="0" w:line="20" w:lineRule="exact"/>
        <w:rPr>
          <w:sz w:val="20"/>
          <w:szCs w:val="20"/>
          <w:color w:val="auto"/>
        </w:rPr>
      </w:pPr>
      <w:r>
        <w:rPr>
          <w:sz w:val="20"/>
          <w:szCs w:val="20"/>
          <w:color w:val="auto"/>
        </w:rPr>
        <w:br w:type="column"/>
      </w:r>
    </w:p>
    <w:p>
      <w:pPr>
        <w:ind w:right="520"/>
        <w:spacing w:after="0" w:line="263" w:lineRule="auto"/>
        <w:rPr>
          <w:sz w:val="20"/>
          <w:szCs w:val="20"/>
          <w:color w:val="auto"/>
        </w:rPr>
      </w:pPr>
      <w:r>
        <w:rPr>
          <w:rFonts w:ascii="Arial" w:cs="Arial" w:eastAsia="Arial" w:hAnsi="Arial"/>
          <w:sz w:val="18"/>
          <w:szCs w:val="18"/>
          <w:color w:val="auto"/>
        </w:rPr>
        <w:t>of registered shares without coupons shall be carried out only if the address for delivery of dividends and subscription rights is that of the Bank.</w:t>
      </w:r>
    </w:p>
    <w:p>
      <w:pPr>
        <w:spacing w:after="0" w:line="18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Unless otherwise agreed, it shall be the responsibility of the client to take all other measures to preserve the rights associated with the Safe Custody Assets, such as, in particular, issuing instructions for handling conversions, exercising, purchasing or selling subscription rights, and exercising con- version rights. If instructions from the client are not received in time, the Bank shall be authorized, but not obliged, to act at its discretion while protecting the client’s interests (including debiting the client’s account, for example, when exercising subscription rights).</w:t>
      </w:r>
    </w:p>
    <w:p>
      <w:pPr>
        <w:spacing w:after="0" w:line="178" w:lineRule="exact"/>
        <w:rPr>
          <w:sz w:val="20"/>
          <w:szCs w:val="20"/>
          <w:color w:val="auto"/>
        </w:rPr>
      </w:pPr>
    </w:p>
    <w:p>
      <w:pPr>
        <w:jc w:val="both"/>
        <w:ind w:right="340"/>
        <w:spacing w:after="0" w:line="293" w:lineRule="auto"/>
        <w:rPr>
          <w:sz w:val="20"/>
          <w:szCs w:val="20"/>
          <w:color w:val="auto"/>
        </w:rPr>
      </w:pPr>
      <w:r>
        <w:rPr>
          <w:rFonts w:ascii="Arial" w:cs="Arial" w:eastAsia="Arial" w:hAnsi="Arial"/>
          <w:sz w:val="16"/>
          <w:szCs w:val="16"/>
          <w:color w:val="auto"/>
        </w:rPr>
        <w:t>The client is responsible for complying with any reporting obligations associated with the Safe Custody Assets vis-à- vis issuers, companies, authorities, stock exchanges and/or other third parties, even if the Safe Custody Assets are not registered in the client’s name at the depository. The Bank is entitled but not obliged to inform the client about reporting obligations or to execute them on the client’s behalf.</w:t>
      </w:r>
    </w:p>
    <w:p>
      <w:pPr>
        <w:spacing w:after="0" w:line="16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If the Bank conducts loss threshold reporting, the calculation is based on the latest ordinary investment report and the total assets shown therein.</w:t>
      </w:r>
    </w:p>
    <w:p>
      <w:pPr>
        <w:spacing w:after="0" w:line="12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Amounts credited as part of administration are usually net. In particular, withholding taxes, stamp duties, or other taxes claimed or debited by issuers, custodians, or paying agents are to be borne by the client. The Bank reserves the right to pass on any subsequent charges for such taxes to the client. The Bank is not obligated to verify or ensure that withholding taxes can be reduced or reclaimed. The client is solely responsible for assessing the tax implications associated with Safe Custody Assets.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 12</w:t>
      </w:r>
      <w:r>
        <w:rPr>
          <w:sz w:val="20"/>
          <w:szCs w:val="20"/>
          <w:color w:val="auto"/>
        </w:rPr>
        <w:tab/>
      </w:r>
      <w:r>
        <w:rPr>
          <w:rFonts w:ascii="Arial" w:cs="Arial" w:eastAsia="Arial" w:hAnsi="Arial"/>
          <w:sz w:val="15"/>
          <w:szCs w:val="15"/>
          <w:b w:val="1"/>
          <w:bCs w:val="1"/>
          <w:color w:val="auto"/>
        </w:rPr>
        <w:t>Fiduciary Acceptance of Safe Custody Assets</w:t>
      </w:r>
    </w:p>
    <w:p>
      <w:pPr>
        <w:spacing w:after="0" w:line="22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If it is not customary or possible for title to the Safe Custody Assets to be vested in the client, the Bank may purchase the Safe Custody Assets or have them purchased in its own name or in the name of a third party and exercise the rights arising therefrom or have them exercised, at all times for the account and at the risk of the client.</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 13</w:t>
      </w:r>
      <w:r>
        <w:rPr>
          <w:sz w:val="20"/>
          <w:szCs w:val="20"/>
          <w:color w:val="auto"/>
        </w:rPr>
        <w:tab/>
      </w:r>
      <w:r>
        <w:rPr>
          <w:rFonts w:ascii="Arial" w:cs="Arial" w:eastAsia="Arial" w:hAnsi="Arial"/>
          <w:sz w:val="16"/>
          <w:szCs w:val="16"/>
          <w:b w:val="1"/>
          <w:bCs w:val="1"/>
          <w:color w:val="auto"/>
        </w:rPr>
        <w:t>Credits and Debits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Amounts (principal, income, fees, expenses, etc.) shall be credited or debited to the account pursuant to the booking instructions as agreed, unless instructed otherwise by the client. Such amounts shall be converted into the currency of the relevant account if necessary.</w:t>
      </w:r>
    </w:p>
    <w:p>
      <w:pPr>
        <w:spacing w:after="0" w:line="17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Changes to the account instructions must be received by the Bank at least five bank business days before the transaction falls due.</w:t>
      </w:r>
    </w:p>
    <w:p>
      <w:pPr>
        <w:spacing w:after="0" w:line="394" w:lineRule="exact"/>
        <w:rPr>
          <w:sz w:val="20"/>
          <w:szCs w:val="20"/>
          <w:color w:val="auto"/>
        </w:rPr>
      </w:pPr>
    </w:p>
    <w:p>
      <w:pPr>
        <w:sectPr>
          <w:pgSz w:w="11900" w:h="16838" w:orient="portrait"/>
          <w:cols w:equalWidth="0" w:num="2">
            <w:col w:w="5380" w:space="240"/>
            <w:col w:w="5500"/>
          </w:cols>
          <w:pgMar w:left="440" w:top="719"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10840"/>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719" w:right="339" w:bottom="1440" w:gutter="0" w:footer="0" w:header="0"/>
          <w:type w:val="continuous"/>
        </w:sectPr>
      </w:pPr>
    </w:p>
    <w:bookmarkStart w:id="63" w:name="page64"/>
    <w:bookmarkEnd w:id="63"/>
    <w:p>
      <w:pPr>
        <w:spacing w:after="0"/>
        <w:tabs>
          <w:tab w:leader="none" w:pos="960" w:val="left"/>
        </w:tabs>
        <w:rPr>
          <w:sz w:val="20"/>
          <w:szCs w:val="20"/>
          <w:color w:val="auto"/>
        </w:rPr>
      </w:pPr>
      <w:r>
        <w:rPr>
          <w:rFonts w:ascii="Arial" w:cs="Arial" w:eastAsia="Arial" w:hAnsi="Arial"/>
          <w:sz w:val="18"/>
          <w:szCs w:val="18"/>
          <w:b w:val="1"/>
          <w:bCs w:val="1"/>
          <w:color w:val="auto"/>
        </w:rPr>
        <w:t>Art. 14</w:t>
      </w:r>
      <w:r>
        <w:rPr>
          <w:sz w:val="20"/>
          <w:szCs w:val="20"/>
          <w:color w:val="auto"/>
        </w:rPr>
        <w:tab/>
      </w:r>
      <w:r>
        <w:rPr>
          <w:rFonts w:ascii="Arial" w:cs="Arial" w:eastAsia="Arial" w:hAnsi="Arial"/>
          <w:sz w:val="15"/>
          <w:szCs w:val="15"/>
          <w:b w:val="1"/>
          <w:bCs w:val="1"/>
          <w:color w:val="auto"/>
        </w:rPr>
        <w:t>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Bank shall provide the client with a statement of the Safe Custody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Assets in the safekeeping account, usually at the end of the year.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may also include other assets which are not subject to these Safe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Custody Regulations. Book-entry securities are not specially designated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Safekeeping account valuations shall be based on market values taken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 the usual bank sources of information. The Bank assumes no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accuracy of this information and therefore for the accuracy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valuations and assumes no liability for other information in connection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booked assets.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 15</w:t>
      </w:r>
      <w:r>
        <w:rPr>
          <w:sz w:val="20"/>
          <w:szCs w:val="20"/>
          <w:color w:val="auto"/>
        </w:rPr>
        <w:tab/>
      </w:r>
      <w:r>
        <w:rPr>
          <w:rFonts w:ascii="Arial" w:cs="Arial" w:eastAsia="Arial" w:hAnsi="Arial"/>
          <w:sz w:val="16"/>
          <w:szCs w:val="16"/>
          <w:b w:val="1"/>
          <w:bCs w:val="1"/>
          <w:color w:val="auto"/>
        </w:rPr>
        <w:t>Cancellation, Reversal and Non-Execution of Orders</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Involving Safe Custody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reserves the right to cancel or reverse orders involving Safe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Custody Assets, if a) there is insufficient cover available, b) the Bank has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doubts as to the power of disposal of the instructing party or c)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particular, they are contrary to the legal, regulatory or internal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guidelines, official provisions, or national or international sanctions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agreements (e.g. pledges) that the Bank must comply with. If the same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conditions outlined above apply, the Bank is not obligated to execute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orders.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41275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715" w:right="339" w:bottom="1440" w:gutter="0" w:footer="0" w:header="0"/>
        </w:sectPr>
      </w:pPr>
    </w:p>
    <w:bookmarkStart w:id="64" w:name="page65"/>
    <w:bookmarkEnd w:id="64"/>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5368925</wp:posOffset>
            </wp:positionH>
            <wp:positionV relativeFrom="page">
              <wp:posOffset>243205</wp:posOffset>
            </wp:positionV>
            <wp:extent cx="1971675" cy="7029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971675" cy="702945"/>
                    </a:xfrm>
                    <a:prstGeom prst="rect">
                      <a:avLst/>
                    </a:prstGeom>
                    <a:noFill/>
                  </pic:spPr>
                </pic:pic>
              </a:graphicData>
            </a:graphic>
          </wp:anchor>
        </w:drawing>
      </w:r>
    </w:p>
    <w:p>
      <w:pPr>
        <w:ind w:left="4"/>
        <w:spacing w:after="0"/>
        <w:rPr>
          <w:sz w:val="20"/>
          <w:szCs w:val="20"/>
          <w:color w:val="auto"/>
        </w:rPr>
      </w:pPr>
      <w:r>
        <w:rPr>
          <w:rFonts w:ascii="Arial" w:cs="Arial" w:eastAsia="Arial" w:hAnsi="Arial"/>
          <w:sz w:val="22"/>
          <w:szCs w:val="22"/>
          <w:b w:val="1"/>
          <w:bCs w:val="1"/>
          <w:color w:val="auto"/>
        </w:rPr>
        <w:t>Information Brochure</w:t>
      </w:r>
    </w:p>
    <w:p>
      <w:pPr>
        <w:spacing w:after="0" w:line="14" w:lineRule="exact"/>
        <w:rPr>
          <w:sz w:val="20"/>
          <w:szCs w:val="20"/>
          <w:color w:val="auto"/>
        </w:rPr>
      </w:pPr>
    </w:p>
    <w:p>
      <w:pPr>
        <w:ind w:left="4" w:right="760"/>
        <w:spacing w:after="0" w:line="236" w:lineRule="auto"/>
        <w:rPr>
          <w:sz w:val="20"/>
          <w:szCs w:val="20"/>
          <w:color w:val="auto"/>
        </w:rPr>
      </w:pPr>
      <w:r>
        <w:rPr>
          <w:rFonts w:ascii="Arial" w:cs="Arial" w:eastAsia="Arial" w:hAnsi="Arial"/>
          <w:sz w:val="22"/>
          <w:szCs w:val="22"/>
          <w:b w:val="1"/>
          <w:bCs w:val="1"/>
          <w:color w:val="6D6D6D"/>
        </w:rPr>
        <w:t>Information on the Disclosure of Client Data for Payment Transactions, for Transactions in Securities and Other Financial Instruments, and for Services, Especially with a Foreign Connection</w:t>
      </w:r>
    </w:p>
    <w:p>
      <w:pPr>
        <w:sectPr>
          <w:pgSz w:w="11900" w:h="16838" w:orient="portrait"/>
          <w:cols w:equalWidth="0" w:num="1">
            <w:col w:w="11124"/>
          </w:cols>
          <w:pgMar w:left="436" w:top="1440"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4" w:right="160"/>
        <w:spacing w:after="0" w:line="266" w:lineRule="auto"/>
        <w:rPr>
          <w:sz w:val="20"/>
          <w:szCs w:val="20"/>
          <w:color w:val="auto"/>
        </w:rPr>
      </w:pPr>
      <w:r>
        <w:rPr>
          <w:rFonts w:ascii="Arial" w:cs="Arial" w:eastAsia="Arial" w:hAnsi="Arial"/>
          <w:sz w:val="18"/>
          <w:szCs w:val="18"/>
          <w:b w:val="1"/>
          <w:bCs w:val="1"/>
          <w:color w:val="auto"/>
        </w:rPr>
        <w:t>In this letter, you will find important information regarding the disclosure of client data in connection with transactions and services that the bank provides you with, such as</w:t>
      </w:r>
    </w:p>
    <w:p>
      <w:pPr>
        <w:spacing w:after="0" w:line="149" w:lineRule="exact"/>
        <w:rPr>
          <w:sz w:val="20"/>
          <w:szCs w:val="20"/>
          <w:color w:val="auto"/>
        </w:rPr>
      </w:pPr>
    </w:p>
    <w:p>
      <w:pPr>
        <w:ind w:left="684"/>
        <w:spacing w:after="0"/>
        <w:rPr>
          <w:sz w:val="20"/>
          <w:szCs w:val="20"/>
          <w:color w:val="auto"/>
        </w:rPr>
      </w:pPr>
      <w:r>
        <w:rPr>
          <w:rFonts w:ascii="Arial" w:cs="Arial" w:eastAsia="Arial" w:hAnsi="Arial"/>
          <w:sz w:val="18"/>
          <w:szCs w:val="18"/>
          <w:color w:val="auto"/>
        </w:rPr>
        <w:t>Payment transactions (incoming and outgoing payments),</w:t>
      </w:r>
    </w:p>
    <w:p>
      <w:pPr>
        <w:spacing w:after="0" w:line="248" w:lineRule="exact"/>
        <w:rPr>
          <w:sz w:val="20"/>
          <w:szCs w:val="20"/>
          <w:color w:val="auto"/>
        </w:rPr>
      </w:pPr>
    </w:p>
    <w:p>
      <w:pPr>
        <w:ind w:left="684"/>
        <w:spacing w:after="0"/>
        <w:rPr>
          <w:sz w:val="20"/>
          <w:szCs w:val="20"/>
          <w:color w:val="auto"/>
        </w:rPr>
      </w:pPr>
      <w:r>
        <w:rPr>
          <w:rFonts w:ascii="Arial" w:cs="Arial" w:eastAsia="Arial" w:hAnsi="Arial"/>
          <w:sz w:val="16"/>
          <w:szCs w:val="16"/>
          <w:color w:val="auto"/>
        </w:rPr>
        <w:t>Purchase, receipt and delivery, custody and sale of securities and</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financial instruments and/or safekeeping account assets,</w:t>
      </w:r>
    </w:p>
    <w:p>
      <w:pPr>
        <w:spacing w:after="0" w:line="201" w:lineRule="exact"/>
        <w:rPr>
          <w:sz w:val="20"/>
          <w:szCs w:val="20"/>
          <w:color w:val="auto"/>
        </w:rPr>
      </w:pPr>
    </w:p>
    <w:p>
      <w:pPr>
        <w:ind w:left="684"/>
        <w:spacing w:after="0"/>
        <w:rPr>
          <w:sz w:val="20"/>
          <w:szCs w:val="20"/>
          <w:color w:val="auto"/>
        </w:rPr>
      </w:pPr>
      <w:r>
        <w:rPr>
          <w:rFonts w:ascii="Arial" w:cs="Arial" w:eastAsia="Arial" w:hAnsi="Arial"/>
          <w:sz w:val="16"/>
          <w:szCs w:val="16"/>
          <w:color w:val="auto"/>
        </w:rPr>
        <w:t>Other transactions and services such as foreign exchange and</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precious metals transactions and derivatives/OTC transactions,</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especially those with a foreign connection.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letter explains the relevant provision contained in Art. 18 paragraph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3429000" cy="9601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00" cy="960120"/>
                    </a:xfrm>
                    <a:prstGeom prst="rect">
                      <a:avLst/>
                    </a:prstGeom>
                    <a:noFill/>
                  </pic:spPr>
                </pic:pic>
              </a:graphicData>
            </a:graphic>
          </wp:anchor>
        </w:drawing>
      </w:r>
    </w:p>
    <w:p>
      <w:pPr>
        <w:spacing w:after="0" w:line="26" w:lineRule="exact"/>
        <w:rPr>
          <w:sz w:val="20"/>
          <w:szCs w:val="20"/>
          <w:color w:val="auto"/>
        </w:rPr>
      </w:pPr>
    </w:p>
    <w:p>
      <w:pPr>
        <w:ind w:left="4" w:right="80" w:hanging="4"/>
        <w:spacing w:after="0" w:line="290" w:lineRule="auto"/>
        <w:tabs>
          <w:tab w:leader="none" w:pos="199" w:val="left"/>
        </w:tabs>
        <w:numPr>
          <w:ilvl w:val="0"/>
          <w:numId w:val="72"/>
        </w:numPr>
        <w:rPr>
          <w:rFonts w:ascii="Arial" w:cs="Arial" w:eastAsia="Arial" w:hAnsi="Arial"/>
          <w:sz w:val="16"/>
          <w:szCs w:val="16"/>
          <w:color w:val="auto"/>
        </w:rPr>
      </w:pPr>
      <w:r>
        <w:rPr>
          <w:rFonts w:ascii="Arial" w:cs="Arial" w:eastAsia="Arial" w:hAnsi="Arial"/>
          <w:sz w:val="16"/>
          <w:szCs w:val="16"/>
          <w:color w:val="auto"/>
        </w:rPr>
        <w:t>of the General Conditions of Credit Suisse (Switzerland) Ltd. (hereinafter referred to as the Bank) and supplements the brochures regarding the disclosure of client details issued by the Swiss Bankers Association (SBA). Please note that Art. 18 paragraph 1 b) of the General Conditions of the Bank should also be understood as a supplement to Art. 17 of the Conditions for Payment Transactions of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342900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00" cy="34290"/>
                    </a:xfrm>
                    <a:prstGeom prst="rect">
                      <a:avLst/>
                    </a:prstGeom>
                    <a:noFill/>
                  </pic:spPr>
                </pic:pic>
              </a:graphicData>
            </a:graphic>
          </wp:anchor>
        </w:drawing>
      </w:r>
    </w:p>
    <w:p>
      <w:pPr>
        <w:spacing w:after="0" w:line="3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Global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342900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00" cy="342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 w:right="60"/>
        <w:spacing w:after="0" w:line="316" w:lineRule="auto"/>
        <w:rPr>
          <w:sz w:val="20"/>
          <w:szCs w:val="20"/>
          <w:color w:val="auto"/>
        </w:rPr>
      </w:pPr>
      <w:r>
        <w:rPr>
          <w:rFonts w:ascii="Arial" w:cs="Arial" w:eastAsia="Arial" w:hAnsi="Arial"/>
          <w:sz w:val="15"/>
          <w:szCs w:val="15"/>
          <w:color w:val="auto"/>
        </w:rPr>
        <w:t>Worldwide, there is an increase and escalation of laws, regulations, contractual and other provisions, business and trade practices, as well as compliance standards, that are potentially relevant to the transactions and services offered by the Bank. This development means that, for transactions and services, increased transparency and disclosure of data to third parties in Switzerland and abroad may be required; the latter may be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required especially in cross-border payment transactions, payment transactions, or any other transactions and services involving foreign currencies, when foreign exchanges or trading partners are involved or in connection with foreign securities and other financial instruments and/or safekeeping account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188595</wp:posOffset>
            </wp:positionV>
            <wp:extent cx="342900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00" cy="342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and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342900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00" cy="342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basis for the disclosure in connection with the aforementioned transactions and services differs from country to country, according to local conditions, or according to the requirements of the third parties involved in the transactions and services. Disclosure may be required to enable the Bank, in individual cases or in general, to execute or provide the relevant transactions or services, or to generally comply with laws and regulations, contractual and other provisions, business and trade practices, as well as compliance standards, that are potentially relevant for the aforementioned transactions and services in a country or transaction with involved third parties. For instance, this may be the case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local licenses require it,</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if it is required as part of registration (e.g. for the registration of</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transactions or securities),</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client rights must be asserted (e.g. for the execution of</w:t>
      </w:r>
    </w:p>
    <w:p>
      <w:pPr>
        <w:spacing w:after="0" w:line="56" w:lineRule="exact"/>
        <w:rPr>
          <w:sz w:val="20"/>
          <w:szCs w:val="20"/>
          <w:color w:val="auto"/>
        </w:rPr>
      </w:pPr>
    </w:p>
    <w:p>
      <w:pPr>
        <w:ind w:right="740"/>
        <w:spacing w:after="0" w:line="258" w:lineRule="auto"/>
        <w:rPr>
          <w:sz w:val="20"/>
          <w:szCs w:val="20"/>
          <w:color w:val="auto"/>
        </w:rPr>
      </w:pPr>
      <w:r>
        <w:rPr>
          <w:rFonts w:ascii="Arial" w:cs="Arial" w:eastAsia="Arial" w:hAnsi="Arial"/>
          <w:sz w:val="18"/>
          <w:szCs w:val="18"/>
          <w:color w:val="auto"/>
        </w:rPr>
        <w:t>corporate actions in connection with safekeeping account assets in custody),</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connection with locally applicable holding limits or hold- 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regulations,</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 comply with local disclosure or reporting obligations,</w:t>
      </w:r>
    </w:p>
    <w:p>
      <w:pPr>
        <w:spacing w:after="0" w:line="200" w:lineRule="exact"/>
        <w:rPr>
          <w:sz w:val="20"/>
          <w:szCs w:val="20"/>
          <w:color w:val="auto"/>
        </w:rPr>
      </w:pPr>
    </w:p>
    <w:p>
      <w:pPr>
        <w:sectPr>
          <w:pgSz w:w="11900" w:h="16838" w:orient="portrait"/>
          <w:cols w:equalWidth="0" w:num="2">
            <w:col w:w="5384" w:space="240"/>
            <w:col w:w="5500"/>
          </w:cols>
          <w:pgMar w:left="436" w:top="1440" w:right="339" w:bottom="1440" w:gutter="0" w:footer="0" w:header="0"/>
          <w:type w:val="continuous"/>
        </w:sectPr>
      </w:pPr>
    </w:p>
    <w:p>
      <w:pPr>
        <w:spacing w:after="0" w:line="56" w:lineRule="exact"/>
        <w:rPr>
          <w:sz w:val="20"/>
          <w:szCs w:val="20"/>
          <w:color w:val="auto"/>
        </w:rPr>
      </w:pPr>
    </w:p>
    <w:p>
      <w:pPr>
        <w:ind w:left="5624"/>
        <w:spacing w:after="0"/>
        <w:rPr>
          <w:sz w:val="20"/>
          <w:szCs w:val="20"/>
          <w:color w:val="auto"/>
        </w:rPr>
      </w:pPr>
      <w:r>
        <w:rPr>
          <w:rFonts w:ascii="Arial" w:cs="Arial" w:eastAsia="Arial" w:hAnsi="Arial"/>
          <w:sz w:val="17"/>
          <w:szCs w:val="17"/>
          <w:color w:val="auto"/>
        </w:rPr>
        <w:t>because the compliance standards of involved third parties requires the</w:t>
      </w:r>
    </w:p>
    <w:p>
      <w:pPr>
        <w:spacing w:after="0" w:line="35" w:lineRule="exact"/>
        <w:rPr>
          <w:sz w:val="20"/>
          <w:szCs w:val="20"/>
          <w:color w:val="auto"/>
        </w:rPr>
      </w:pPr>
    </w:p>
    <w:p>
      <w:pPr>
        <w:ind w:left="5624"/>
        <w:spacing w:after="0"/>
        <w:rPr>
          <w:sz w:val="20"/>
          <w:szCs w:val="20"/>
          <w:color w:val="auto"/>
        </w:rPr>
      </w:pPr>
      <w:r>
        <w:rPr>
          <w:rFonts w:ascii="Arial" w:cs="Arial" w:eastAsia="Arial" w:hAnsi="Arial"/>
          <w:sz w:val="17"/>
          <w:szCs w:val="17"/>
          <w:color w:val="auto"/>
        </w:rPr>
        <w:t>proactive disclosure of relevant information or can trigger queries at the</w:t>
      </w:r>
    </w:p>
    <w:p>
      <w:pPr>
        <w:spacing w:after="0" w:line="21" w:lineRule="exact"/>
        <w:rPr>
          <w:sz w:val="20"/>
          <w:szCs w:val="20"/>
          <w:color w:val="auto"/>
        </w:rPr>
      </w:pPr>
    </w:p>
    <w:p>
      <w:pPr>
        <w:ind w:left="5624"/>
        <w:spacing w:after="0"/>
        <w:rPr>
          <w:sz w:val="20"/>
          <w:szCs w:val="20"/>
          <w:color w:val="auto"/>
        </w:rPr>
      </w:pPr>
      <w:r>
        <w:rPr>
          <w:rFonts w:ascii="Arial" w:cs="Arial" w:eastAsia="Arial" w:hAnsi="Arial"/>
          <w:sz w:val="17"/>
          <w:szCs w:val="17"/>
          <w:color w:val="auto"/>
        </w:rPr>
        <w:t>Bank (e.g. due to the monitoring systems used), especially in the fight</w:t>
      </w:r>
    </w:p>
    <w:p>
      <w:pPr>
        <w:spacing w:after="0" w:line="21" w:lineRule="exact"/>
        <w:rPr>
          <w:sz w:val="20"/>
          <w:szCs w:val="20"/>
          <w:color w:val="auto"/>
        </w:rPr>
      </w:pPr>
    </w:p>
    <w:p>
      <w:pPr>
        <w:ind w:left="5624"/>
        <w:spacing w:after="0"/>
        <w:rPr>
          <w:sz w:val="20"/>
          <w:szCs w:val="20"/>
          <w:color w:val="auto"/>
        </w:rPr>
      </w:pPr>
      <w:r>
        <w:rPr>
          <w:rFonts w:ascii="Arial" w:cs="Arial" w:eastAsia="Arial" w:hAnsi="Arial"/>
          <w:sz w:val="17"/>
          <w:szCs w:val="17"/>
          <w:color w:val="auto"/>
        </w:rPr>
        <w:t>against money laundering, terrorist financing, or corruption, as well as in</w:t>
      </w:r>
    </w:p>
    <w:p>
      <w:pPr>
        <w:spacing w:after="0" w:line="21"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relation to sanctions or politically exposed persons (PEP).</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Annex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118745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4"/>
          </w:cols>
          <w:pgMar w:left="436" w:top="1440" w:right="339" w:bottom="1440" w:gutter="0" w:footer="0" w:header="0"/>
          <w:type w:val="continuous"/>
        </w:sectPr>
      </w:pPr>
    </w:p>
    <w:bookmarkStart w:id="65" w:name="page66"/>
    <w:bookmarkEnd w:id="65"/>
    <w:p>
      <w:pPr>
        <w:spacing w:after="0" w:line="275" w:lineRule="auto"/>
        <w:rPr>
          <w:sz w:val="20"/>
          <w:szCs w:val="20"/>
          <w:color w:val="auto"/>
        </w:rPr>
      </w:pPr>
      <w:r>
        <w:rPr>
          <w:rFonts w:ascii="Arial" w:cs="Arial" w:eastAsia="Arial" w:hAnsi="Arial"/>
          <w:sz w:val="17"/>
          <w:szCs w:val="17"/>
          <w:color w:val="auto"/>
        </w:rPr>
        <w:t>Examples: Disclosure of information by the Bank regarding individual transactions and their background, as well as transmission of documents, such as passport copies, to enable the processing of a client instruction or a response to a request from a correspondent bank concerning money laundering or sanctions.</w:t>
      </w:r>
    </w:p>
    <w:p>
      <w:pPr>
        <w:spacing w:after="0" w:line="17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Furthermore, exclusion of liability applies if the bank is prevented from disclosing client data for legal or regulatory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170815</wp:posOffset>
            </wp:positionV>
            <wp:extent cx="3368675"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8675" cy="3429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Affected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3368675"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8675"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Data that may need to be disclosed for transactions and ser- vices varies from case to case and may include:</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information about the client, authorized representatives,</w:t>
      </w:r>
    </w:p>
    <w:p>
      <w:pPr>
        <w:spacing w:after="0" w:line="56"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beneficial owners, and other involved parties (e.g. name, registered office, domicile, address, nationality of these persons),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information about the affected transactions or services (e.g.</w:t>
      </w:r>
    </w:p>
    <w:p>
      <w:pPr>
        <w:spacing w:after="0" w:line="5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purpose, economic background, and other background information about the transactions and services), as well as</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information on the client’s business relationship with the Bank</w:t>
      </w:r>
    </w:p>
    <w:p>
      <w:pPr>
        <w:spacing w:after="0" w:line="5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(e.g. scope, status, purpose, historical data, other transactions executed in the course of the business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187960</wp:posOffset>
            </wp:positionV>
            <wp:extent cx="3368675"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867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342" w:lineRule="auto"/>
        <w:rPr>
          <w:sz w:val="20"/>
          <w:szCs w:val="20"/>
          <w:color w:val="auto"/>
        </w:rPr>
      </w:pPr>
      <w:r>
        <w:rPr>
          <w:rFonts w:ascii="Arial" w:cs="Arial" w:eastAsia="Arial" w:hAnsi="Arial"/>
          <w:sz w:val="16"/>
          <w:szCs w:val="16"/>
          <w:color w:val="auto"/>
        </w:rPr>
        <w:t>third parties will communicate the received information to other parties. For instance, they may entrust processing to their own processing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156210</wp:posOffset>
            </wp:positionV>
            <wp:extent cx="34886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88690" cy="342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Security in Switzerland and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34886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88690"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Security is an integral part of the Bank. For this reason, it protects the data of its clients with proven security standards following security systems and processes, and develops them on an ongoing basis. All group companies of the Bank in Switzerland and abroad are subject to these security standards and are regularly reviewed.</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494949"/>
        </w:rPr>
        <w:t>If data is made available to an information recipient abroad, the bank client confidentiality protection guaranteed by Swiss law no longer applies. Furthermore, data may reach countries that guarantee less extensive data protection than Switzerland.</w:t>
      </w:r>
    </w:p>
    <w:p>
      <w:pPr>
        <w:spacing w:after="0" w:line="2359" w:lineRule="exact"/>
        <w:rPr>
          <w:sz w:val="20"/>
          <w:szCs w:val="20"/>
          <w:color w:val="auto"/>
        </w:rPr>
      </w:pPr>
    </w:p>
    <w:p>
      <w:pPr>
        <w:sectPr>
          <w:pgSz w:w="11900" w:h="16838" w:orient="portrait"/>
          <w:cols w:equalWidth="0" w:num="2">
            <w:col w:w="5260" w:space="260"/>
            <w:col w:w="5600"/>
          </w:cols>
          <w:pgMar w:left="440" w:top="719" w:right="33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and Time of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3368675"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8675"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can be disclosed through any means. In particular,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includes transfer via telecommunications (including electronic data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transmission), but also the physical transmission of documents (e.g.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passport copies). Disclosure may be required before, during, and after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execution of a transaction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3368675"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8675" cy="342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Recipients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3368675"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8675" cy="34290"/>
                    </a:xfrm>
                    <a:prstGeom prst="rect">
                      <a:avLst/>
                    </a:prstGeom>
                    <a:noFill/>
                  </pic:spPr>
                </pic:pic>
              </a:graphicData>
            </a:graphic>
          </wp:anchor>
        </w:drawing>
      </w:r>
    </w:p>
    <w:p>
      <w:pPr>
        <w:sectPr>
          <w:pgSz w:w="11900" w:h="16838" w:orient="portrait"/>
          <w:cols w:equalWidth="0" w:num="1">
            <w:col w:w="11120"/>
          </w:cols>
          <w:pgMar w:left="440" w:top="719" w:right="3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Involved third parties who qualify as information recipients are for instance stock exchanges, brokers, banks (especially correspondent banks), trade repositories, processing units and third-party custodians, issuers, authorities or their representatives, and other companies involved in the transactions or services in Switzerland and abroad. It is possible that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-196215</wp:posOffset>
            </wp:positionV>
            <wp:extent cx="34886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Your client advisor or contact center will be pleased to help if you have any questions.</w:t>
      </w:r>
    </w:p>
    <w:p>
      <w:pPr>
        <w:spacing w:after="0" w:line="90" w:lineRule="exact"/>
        <w:rPr>
          <w:sz w:val="20"/>
          <w:szCs w:val="20"/>
          <w:color w:val="auto"/>
        </w:rPr>
      </w:pPr>
    </w:p>
    <w:p>
      <w:pPr>
        <w:ind w:left="2380" w:hanging="155"/>
        <w:spacing w:after="0"/>
        <w:tabs>
          <w:tab w:leader="none" w:pos="2380" w:val="left"/>
        </w:tabs>
        <w:numPr>
          <w:ilvl w:val="0"/>
          <w:numId w:val="73"/>
        </w:numPr>
        <w:rPr>
          <w:rFonts w:ascii="Arial" w:cs="Arial" w:eastAsia="Arial" w:hAnsi="Arial"/>
          <w:sz w:val="27"/>
          <w:szCs w:val="27"/>
          <w:color w:val="auto"/>
          <w:vertAlign w:val="superscript"/>
        </w:rPr>
      </w:pPr>
      <w:r>
        <w:rPr>
          <w:rFonts w:ascii="Arial" w:cs="Arial" w:eastAsia="Arial" w:hAnsi="Arial"/>
          <w:sz w:val="16"/>
          <w:szCs w:val="16"/>
          <w:color w:val="auto"/>
        </w:rPr>
        <w:t>2019, CREDIT SUISSE (Switzerland) Ltd.</w:t>
      </w:r>
    </w:p>
    <w:p>
      <w:pPr>
        <w:spacing w:after="0" w:line="200" w:lineRule="exact"/>
        <w:rPr>
          <w:sz w:val="20"/>
          <w:szCs w:val="20"/>
          <w:color w:val="auto"/>
        </w:rPr>
      </w:pPr>
    </w:p>
    <w:p>
      <w:pPr>
        <w:sectPr>
          <w:pgSz w:w="11900" w:h="16838" w:orient="portrait"/>
          <w:cols w:equalWidth="0" w:num="2">
            <w:col w:w="5280" w:space="240"/>
            <w:col w:w="5600"/>
          </w:cols>
          <w:pgMar w:left="440" w:top="719" w:right="3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10540"/>
        <w:spacing w:after="0"/>
        <w:rPr>
          <w:sz w:val="20"/>
          <w:szCs w:val="20"/>
          <w:color w:val="auto"/>
        </w:rPr>
      </w:pPr>
      <w:r>
        <w:rPr>
          <w:rFonts w:ascii="Arial" w:cs="Arial" w:eastAsia="Arial" w:hAnsi="Arial"/>
          <w:sz w:val="19"/>
          <w:szCs w:val="19"/>
          <w:color w:val="auto"/>
        </w:rPr>
        <w:t>Annex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140335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719" w:right="3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4:</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List of Securities</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color w:val="auto"/>
        </w:rPr>
        <w:t>Exported on 24.12.2020 11:28:56 EET</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Positions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Value as of 23.12.2020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USD 113,649,465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Of which Accrued Interest USD 8,283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Portfolio Number [***]</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 Blenheim Holdings Ltd., Hamilton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Nominal/Number</w:t>
            </w:r>
          </w:p>
        </w:tc>
        <w:tc>
          <w:tcPr>
            <w:tcW w:w="3360" w:type="dxa"/>
            <w:vAlign w:val="bottom"/>
          </w:tcPr>
          <w:p>
            <w:pPr>
              <w:ind w:left="820"/>
              <w:spacing w:after="0"/>
              <w:rPr>
                <w:sz w:val="20"/>
                <w:szCs w:val="20"/>
                <w:color w:val="auto"/>
              </w:rPr>
            </w:pPr>
            <w:r>
              <w:rPr>
                <w:rFonts w:ascii="Arial" w:cs="Arial" w:eastAsia="Arial" w:hAnsi="Arial"/>
                <w:sz w:val="18"/>
                <w:szCs w:val="18"/>
                <w:color w:val="auto"/>
              </w:rPr>
              <w:t>Description Valor</w:t>
            </w:r>
          </w:p>
        </w:tc>
        <w:tc>
          <w:tcPr>
            <w:tcW w:w="1220" w:type="dxa"/>
            <w:vAlign w:val="bottom"/>
          </w:tcPr>
          <w:p>
            <w:pPr>
              <w:ind w:left="300"/>
              <w:spacing w:after="0"/>
              <w:rPr>
                <w:sz w:val="20"/>
                <w:szCs w:val="20"/>
                <w:color w:val="auto"/>
              </w:rPr>
            </w:pPr>
            <w:r>
              <w:rPr>
                <w:rFonts w:ascii="Arial" w:cs="Arial" w:eastAsia="Arial" w:hAnsi="Arial"/>
                <w:sz w:val="18"/>
                <w:szCs w:val="18"/>
                <w:color w:val="auto"/>
              </w:rPr>
              <w:t>Maturity</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Price</w:t>
            </w: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Value in USD</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Change %</w:t>
            </w:r>
          </w:p>
        </w:tc>
        <w:tc>
          <w:tcPr>
            <w:tcW w:w="0" w:type="dxa"/>
            <w:vAlign w:val="bottom"/>
          </w:tcPr>
          <w:p>
            <w:pPr>
              <w:spacing w:after="0"/>
              <w:rPr>
                <w:sz w:val="1"/>
                <w:szCs w:val="1"/>
                <w:color w:val="auto"/>
              </w:rPr>
            </w:pPr>
          </w:p>
        </w:tc>
      </w:tr>
      <w:tr>
        <w:trPr>
          <w:trHeight w:val="237"/>
        </w:trPr>
        <w:tc>
          <w:tcPr>
            <w:tcW w:w="13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Purchase Price</w:t>
            </w: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Accrued Interest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 USD</w:t>
            </w:r>
          </w:p>
        </w:tc>
        <w:tc>
          <w:tcPr>
            <w:tcW w:w="0" w:type="dxa"/>
            <w:vAlign w:val="bottom"/>
          </w:tcPr>
          <w:p>
            <w:pPr>
              <w:spacing w:after="0"/>
              <w:rPr>
                <w:sz w:val="1"/>
                <w:szCs w:val="1"/>
                <w:color w:val="auto"/>
              </w:rPr>
            </w:pPr>
          </w:p>
        </w:tc>
      </w:tr>
      <w:tr>
        <w:trPr>
          <w:trHeight w:val="230"/>
        </w:trPr>
        <w:tc>
          <w:tcPr>
            <w:tcW w:w="1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6"/>
              </w:rPr>
              <w:t>Equities &amp; Similar</w:t>
            </w:r>
          </w:p>
        </w:tc>
        <w:tc>
          <w:tcPr>
            <w:tcW w:w="3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112,048,000</w:t>
            </w: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vMerge w:val="continue"/>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475,409</w:t>
            </w:r>
          </w:p>
        </w:tc>
        <w:tc>
          <w:tcPr>
            <w:tcW w:w="3360" w:type="dxa"/>
            <w:vAlign w:val="bottom"/>
          </w:tcPr>
          <w:p>
            <w:pPr>
              <w:ind w:left="20"/>
              <w:spacing w:after="0" w:line="201" w:lineRule="exact"/>
              <w:rPr>
                <w:sz w:val="20"/>
                <w:szCs w:val="20"/>
                <w:color w:val="auto"/>
              </w:rPr>
            </w:pPr>
            <w:r>
              <w:rPr>
                <w:rFonts w:ascii="Arial" w:cs="Arial" w:eastAsia="Arial" w:hAnsi="Arial"/>
                <w:sz w:val="18"/>
                <w:szCs w:val="18"/>
                <w:color w:val="auto"/>
              </w:rPr>
              <w:t>REGISTERED SHS GASLOG LTD USD</w:t>
            </w:r>
          </w:p>
        </w:tc>
        <w:tc>
          <w:tcPr>
            <w:tcW w:w="1220" w:type="dxa"/>
            <w:vAlign w:val="bottom"/>
          </w:tcPr>
          <w:p>
            <w:pPr>
              <w:spacing w:after="0"/>
              <w:rPr>
                <w:sz w:val="17"/>
                <w:szCs w:val="17"/>
                <w:color w:val="auto"/>
              </w:rPr>
            </w:pPr>
          </w:p>
        </w:tc>
        <w:tc>
          <w:tcPr>
            <w:tcW w:w="1860" w:type="dxa"/>
            <w:vAlign w:val="bottom"/>
          </w:tcPr>
          <w:p>
            <w:pPr>
              <w:jc w:val="right"/>
              <w:ind w:right="450"/>
              <w:spacing w:after="0" w:line="201" w:lineRule="exact"/>
              <w:rPr>
                <w:sz w:val="20"/>
                <w:szCs w:val="20"/>
                <w:color w:val="auto"/>
              </w:rPr>
            </w:pPr>
            <w:r>
              <w:rPr>
                <w:rFonts w:ascii="Arial" w:cs="Arial" w:eastAsia="Arial" w:hAnsi="Arial"/>
                <w:sz w:val="18"/>
                <w:szCs w:val="18"/>
                <w:color w:val="auto"/>
              </w:rPr>
              <w:t>USD 3.76</w:t>
            </w:r>
          </w:p>
        </w:tc>
        <w:tc>
          <w:tcPr>
            <w:tcW w:w="18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1,787,538</w:t>
            </w:r>
          </w:p>
        </w:tc>
        <w:tc>
          <w:tcPr>
            <w:tcW w:w="154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0.01</w:t>
            </w:r>
          </w:p>
        </w:tc>
        <w:tc>
          <w:tcPr>
            <w:tcW w:w="1220" w:type="dxa"/>
            <w:vAlign w:val="bottom"/>
          </w:tcPr>
          <w:p>
            <w:pPr>
              <w:spacing w:after="0"/>
              <w:rPr>
                <w:sz w:val="18"/>
                <w:szCs w:val="18"/>
                <w:color w:val="auto"/>
              </w:rPr>
            </w:pPr>
          </w:p>
        </w:tc>
        <w:tc>
          <w:tcPr>
            <w:tcW w:w="1860" w:type="dxa"/>
            <w:vAlign w:val="bottom"/>
          </w:tcPr>
          <w:p>
            <w:pPr>
              <w:jc w:val="right"/>
              <w:ind w:right="450"/>
              <w:spacing w:after="0"/>
              <w:rPr>
                <w:sz w:val="20"/>
                <w:szCs w:val="20"/>
                <w:color w:val="auto"/>
              </w:rPr>
            </w:pPr>
            <w:r>
              <w:rPr>
                <w:rFonts w:ascii="Arial" w:cs="Arial" w:eastAsia="Arial" w:hAnsi="Arial"/>
                <w:sz w:val="18"/>
                <w:szCs w:val="18"/>
                <w:color w:val="auto"/>
              </w:rPr>
              <w:t>USD 2.80</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456,393</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18219761</w:t>
            </w:r>
          </w:p>
        </w:tc>
        <w:tc>
          <w:tcPr>
            <w:tcW w:w="1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29,324,591</w:t>
            </w:r>
          </w:p>
        </w:tc>
        <w:tc>
          <w:tcPr>
            <w:tcW w:w="3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REGISTERED SHS GASLOG LTD USD</w:t>
            </w:r>
          </w:p>
        </w:tc>
        <w:tc>
          <w:tcPr>
            <w:tcW w:w="122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450"/>
              <w:spacing w:after="0" w:line="201" w:lineRule="exact"/>
              <w:rPr>
                <w:sz w:val="20"/>
                <w:szCs w:val="20"/>
                <w:color w:val="auto"/>
              </w:rPr>
            </w:pPr>
            <w:r>
              <w:rPr>
                <w:rFonts w:ascii="Arial" w:cs="Arial" w:eastAsia="Arial" w:hAnsi="Arial"/>
                <w:sz w:val="18"/>
                <w:szCs w:val="18"/>
                <w:color w:val="auto"/>
              </w:rPr>
              <w:t>USD 3.76</w:t>
            </w:r>
          </w:p>
        </w:tc>
        <w:tc>
          <w:tcPr>
            <w:tcW w:w="188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110,260,462</w:t>
            </w:r>
          </w:p>
        </w:tc>
        <w:tc>
          <w:tcPr>
            <w:tcW w:w="154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0.01</w:t>
            </w:r>
          </w:p>
        </w:tc>
        <w:tc>
          <w:tcPr>
            <w:tcW w:w="1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USD 23.30</w:t>
            </w:r>
          </w:p>
        </w:tc>
        <w:tc>
          <w:tcPr>
            <w:tcW w:w="1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-573,086,750</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20"/>
                <w:szCs w:val="20"/>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18219761</w:t>
            </w:r>
          </w:p>
        </w:tc>
        <w:tc>
          <w:tcPr>
            <w:tcW w:w="1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¹ Real time data is shown upon availability and transactions might not be booked real time into cash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Support for Corporate Clients: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Switzerland: 0800 88 11 88 / International: +41 800 88 11 88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color w:val="auto"/>
        </w:rPr>
        <w:t>Credit Suisse (Schweiz) AG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Control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Default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From: Secured Party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To: Custodian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Copy: Security Provider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[Place | Date]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Default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Capitalized terms used in this Notice of Default shall have the meanings assigned to them in the Control Agreement dated December 31, 2020</w:t>
      </w:r>
      <w:r>
        <w:rPr>
          <w:rFonts w:ascii="Arial" w:cs="Arial" w:eastAsia="Arial" w:hAnsi="Arial"/>
          <w:sz w:val="22"/>
          <w:szCs w:val="22"/>
          <w:b w:val="1"/>
          <w:bCs w:val="1"/>
          <w:color w:val="auto"/>
        </w:rPr>
        <w:t>,</w:t>
      </w:r>
      <w:r>
        <w:rPr>
          <w:rFonts w:ascii="Arial" w:cs="Arial" w:eastAsia="Arial" w:hAnsi="Arial"/>
          <w:sz w:val="22"/>
          <w:szCs w:val="22"/>
          <w:color w:val="auto"/>
        </w:rPr>
        <w:t xml:space="preserve"> by and between Blenheim Holdings Ltd. as Security Provider, Citibank, N.A., London Branch as Secured Party and Credit Suisse (Switzerland) Ltd. as Custodian.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Section 5(b) of the Control Agreement we hereby inform you that an Event of Default as defined in the Facility Agreement occurred.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Sincerely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On behalf of ………………………….</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32 of 32</w:t>
      </w:r>
    </w:p>
    <w:p>
      <w:pPr>
        <w:sectPr>
          <w:pgSz w:w="11900" w:h="16838" w:orient="portrait"/>
          <w:cols w:equalWidth="0" w:num="1">
            <w:col w:w="11240"/>
          </w:cols>
          <w:pgMar w:left="320" w:top="11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9"/>
          <w:szCs w:val="19"/>
          <w:b w:val="1"/>
          <w:bCs w:val="1"/>
          <w:color w:val="auto"/>
        </w:rPr>
        <w:t>Exhibit 3</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holder: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Blenheim Holdings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number: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4900" w:space="720"/>
            <w:col w:w="5620"/>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PLEDGE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constitution of pledge over cash or financial instruments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governed by the provisions of Articles 2 al. 13 and 59 to 61-1 of the Commercial Code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BETWEEN</w:t>
      </w:r>
    </w:p>
    <w:p>
      <w:pPr>
        <w:spacing w:after="0" w:line="200" w:lineRule="exact"/>
        <w:rPr>
          <w:sz w:val="20"/>
          <w:szCs w:val="20"/>
          <w:color w:val="auto"/>
        </w:rPr>
      </w:pPr>
    </w:p>
    <w:p>
      <w:pPr>
        <w:spacing w:after="0" w:line="28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BLENHEIM HOLDINGS LTD.</w:t>
      </w:r>
      <w:r>
        <w:rPr>
          <w:rFonts w:ascii="Arial" w:cs="Arial" w:eastAsia="Arial" w:hAnsi="Arial"/>
          <w:sz w:val="18"/>
          <w:szCs w:val="18"/>
          <w:color w:val="auto"/>
        </w:rPr>
        <w:t>, an exempted company incorporated under the laws of Bermuda , with registration number 45429 issued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of Companies of Bermuda, having its registered office at Clarendon House, 2 Church Street, Hamilton HM 11, Bermuda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Hereafter referred to as the “Pledgor”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CITIBANK N.A., London branch, </w:t>
      </w:r>
      <w:r>
        <w:rPr>
          <w:rFonts w:ascii="Arial" w:cs="Arial" w:eastAsia="Arial" w:hAnsi="Arial"/>
          <w:sz w:val="16"/>
          <w:szCs w:val="16"/>
          <w:color w:val="auto"/>
        </w:rPr>
        <w:t>having its registered office at Citigroup Centre, 33 Canada Square, Canary Wharf, London E14 5LB, United Kingdom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Hereafter referred to as the “Beneficiary”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8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CMB MONACO</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Monegasque law, whose registered office is at 23 avenue de la Costa, 98000 Monaco,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Monaco Trade and Industry Register (« </w:t>
      </w:r>
      <w:r>
        <w:rPr>
          <w:rFonts w:ascii="Arial" w:cs="Arial" w:eastAsia="Arial" w:hAnsi="Arial"/>
          <w:sz w:val="18"/>
          <w:szCs w:val="18"/>
          <w:i w:val="1"/>
          <w:iCs w:val="1"/>
          <w:color w:val="auto"/>
        </w:rPr>
        <w:t>Répertoire du Commerce et de l’Industrie</w:t>
      </w:r>
      <w:r>
        <w:rPr>
          <w:rFonts w:ascii="Arial" w:cs="Arial" w:eastAsia="Arial" w:hAnsi="Arial"/>
          <w:sz w:val="18"/>
          <w:szCs w:val="18"/>
          <w:color w:val="auto"/>
        </w:rPr>
        <w:t xml:space="preserve"> »), under number 76S01557</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Hereafter referred to as the “Third Party Custodian”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Hereafter together referred to as the “Parties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WHEREAS:</w:t>
      </w:r>
    </w:p>
    <w:p>
      <w:pPr>
        <w:spacing w:after="0" w:line="23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Pursuant to a facility agreement dated October 31</w:t>
      </w:r>
      <w:r>
        <w:rPr>
          <w:rFonts w:ascii="Arial" w:cs="Arial" w:eastAsia="Arial" w:hAnsi="Arial"/>
          <w:sz w:val="29"/>
          <w:szCs w:val="29"/>
          <w:color w:val="auto"/>
          <w:vertAlign w:val="superscript"/>
        </w:rPr>
        <w:t>st</w:t>
      </w:r>
      <w:r>
        <w:rPr>
          <w:rFonts w:ascii="Arial" w:cs="Arial" w:eastAsia="Arial" w:hAnsi="Arial"/>
          <w:sz w:val="18"/>
          <w:szCs w:val="18"/>
          <w:color w:val="auto"/>
        </w:rPr>
        <w:t>, 2017, entered into between Blenheim Holdings Ltd. as borrower (the “</w:t>
      </w:r>
      <w:r>
        <w:rPr>
          <w:rFonts w:ascii="Arial" w:cs="Arial" w:eastAsia="Arial" w:hAnsi="Arial"/>
          <w:sz w:val="18"/>
          <w:szCs w:val="18"/>
          <w:b w:val="1"/>
          <w:bCs w:val="1"/>
          <w:color w:val="auto"/>
        </w:rPr>
        <w:t>Borrower</w:t>
      </w:r>
      <w:r>
        <w:rPr>
          <w:rFonts w:ascii="Arial" w:cs="Arial" w:eastAsia="Arial" w:hAnsi="Arial"/>
          <w:sz w:val="18"/>
          <w:szCs w:val="18"/>
          <w:color w:val="auto"/>
        </w:rPr>
        <w:t>”) and Citibank, N.A., London branch, as lender (the “</w:t>
      </w:r>
      <w:r>
        <w:rPr>
          <w:rFonts w:ascii="Arial" w:cs="Arial" w:eastAsia="Arial" w:hAnsi="Arial"/>
          <w:sz w:val="18"/>
          <w:szCs w:val="18"/>
          <w:b w:val="1"/>
          <w:bCs w:val="1"/>
          <w:color w:val="auto"/>
        </w:rPr>
        <w:t>Lender</w:t>
      </w:r>
      <w:r>
        <w:rPr>
          <w:rFonts w:ascii="Arial" w:cs="Arial" w:eastAsia="Arial" w:hAnsi="Arial"/>
          <w:sz w:val="18"/>
          <w:szCs w:val="18"/>
          <w:color w:val="auto"/>
        </w:rPr>
        <w:t>”), the Lender agreed to make available to the Borrower a revolving credit facility in the aggregate amount of USD 150,000,000, as amended and restated by a first supplemental agreement to be entered into between the Borrower and the Lender (the “</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2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In order to satisfy certain conditions precedent pursuant to the Facility Agreement and in order to provide security for the Lender, the Pledgor wishes to grant a pledge over the Pledged Assets (as defined below) in favour of Lender under this pledge agreement.</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Third Party Custodian and the Pledgor are engaged in a banking custodian relationship, recording the Parties’ respective undertakings and the assets deposited by the Pledgor with the Third Party Custodian. The operation of this account is furthermore governed by the Third Party Custodian’s General Terms and Conditions (as this term is defined in the General Terms and Conditions of operation of the accounts number [***]), as supplemented, where applicable, by the provisions of this pledge agreement, which the Pledgor expressly declares having read and approved. In the event of a contradiction between the provisions of the General Terms and Conditions and the provisions of this pledge agreement, the latter will prevail.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CONSEQUENCE, THE PARTIES HAVE AGREED AS FOLLOWS: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 PURPOSE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Pledgor hereby represents that it exclusively pledges in favour of the Beneficiary, which so accepts, the accounts number</w:t>
      </w:r>
    </w:p>
    <w:p>
      <w:pPr>
        <w:spacing w:after="0" w:line="43" w:lineRule="exact"/>
        <w:rPr>
          <w:sz w:val="20"/>
          <w:szCs w:val="20"/>
          <w:color w:val="auto"/>
        </w:rPr>
      </w:pPr>
    </w:p>
    <w:p>
      <w:pPr>
        <w:jc w:val="both"/>
        <w:ind w:firstLine="8"/>
        <w:spacing w:after="0" w:line="232" w:lineRule="auto"/>
        <w:tabs>
          <w:tab w:leader="none" w:pos="537" w:val="left"/>
        </w:tabs>
        <w:numPr>
          <w:ilvl w:val="0"/>
          <w:numId w:val="74"/>
        </w:numPr>
        <w:rPr>
          <w:rFonts w:ascii="Arial" w:cs="Arial" w:eastAsia="Arial" w:hAnsi="Arial"/>
          <w:sz w:val="22"/>
          <w:szCs w:val="22"/>
          <w:color w:val="auto"/>
        </w:rPr>
      </w:pPr>
      <w:r>
        <w:rPr>
          <w:rFonts w:ascii="Arial" w:cs="Arial" w:eastAsia="Arial" w:hAnsi="Arial"/>
          <w:sz w:val="22"/>
          <w:szCs w:val="22"/>
          <w:color w:val="auto"/>
        </w:rPr>
        <w:t>credited with cash and financial instruments (the “</w:t>
      </w:r>
      <w:r>
        <w:rPr>
          <w:rFonts w:ascii="Arial" w:cs="Arial" w:eastAsia="Arial" w:hAnsi="Arial"/>
          <w:sz w:val="22"/>
          <w:szCs w:val="22"/>
          <w:b w:val="1"/>
          <w:bCs w:val="1"/>
          <w:color w:val="auto"/>
        </w:rPr>
        <w:t>Pledged Account</w:t>
      </w:r>
      <w:r>
        <w:rPr>
          <w:rFonts w:ascii="Arial" w:cs="Arial" w:eastAsia="Arial" w:hAnsi="Arial"/>
          <w:sz w:val="22"/>
          <w:szCs w:val="22"/>
          <w:color w:val="auto"/>
        </w:rPr>
        <w:t>”) notably credited with 1,000,000 shares of GasLog Ltd, ISIN n° [***], and all related rights (all moneys payable and any and all other accessory or other rights, benefits and proceeds in respect of, or derived from, the shares, whether present or future and whether by way of capital reduction, redemption, substitution, exchange, bonus or preference, conversion or otherwise, including subscription rights, dividends, option rights, liquidation proceeds and voting rights) which are or will be deposited with the Third Party Custodian on the Pledged Account (the “</w:t>
      </w:r>
      <w:r>
        <w:rPr>
          <w:rFonts w:ascii="Arial" w:cs="Arial" w:eastAsia="Arial" w:hAnsi="Arial"/>
          <w:sz w:val="22"/>
          <w:szCs w:val="22"/>
          <w:b w:val="1"/>
          <w:bCs w:val="1"/>
          <w:color w:val="auto"/>
        </w:rPr>
        <w:t>Pledged Assets</w:t>
      </w:r>
      <w:r>
        <w:rPr>
          <w:rFonts w:ascii="Arial" w:cs="Arial" w:eastAsia="Arial" w:hAnsi="Arial"/>
          <w:sz w:val="22"/>
          <w:szCs w:val="22"/>
          <w:color w:val="auto"/>
        </w:rPr>
        <w:t>”).</w:t>
      </w:r>
    </w:p>
    <w:p>
      <w:pPr>
        <w:spacing w:after="0" w:line="216" w:lineRule="exact"/>
        <w:rPr>
          <w:sz w:val="20"/>
          <w:szCs w:val="20"/>
          <w:color w:val="auto"/>
        </w:rPr>
      </w:pPr>
    </w:p>
    <w:p>
      <w:pPr>
        <w:jc w:val="both"/>
        <w:ind w:right="20"/>
        <w:spacing w:after="0"/>
        <w:rPr>
          <w:sz w:val="20"/>
          <w:szCs w:val="20"/>
          <w:color w:val="auto"/>
        </w:rPr>
      </w:pPr>
      <w:r>
        <w:rPr>
          <w:rFonts w:ascii="Arial" w:cs="Arial" w:eastAsia="Arial" w:hAnsi="Arial"/>
          <w:sz w:val="22"/>
          <w:szCs w:val="22"/>
          <w:b w:val="1"/>
          <w:bCs w:val="1"/>
          <w:i w:val="1"/>
          <w:iCs w:val="1"/>
          <w:color w:val="auto"/>
        </w:rPr>
        <w:t>This pledge is governed by the provisions of Articles 2 paragraph 13 and 59 to 61-1 of the Commercial Code of Monaco, enacted by Law n° 1.224 of 28 December 1999, as well as by Sovereign Ordinance n° 14.309 of 28 December 1999, as amended.</w:t>
      </w:r>
    </w:p>
    <w:p>
      <w:pPr>
        <w:spacing w:after="0" w:line="21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Pledgor represents that there exists no prior lien or security or similar rights of the Third Party Custodian or any other person over the Pledged Assets or the Pledged Account, and he undertakes that it will be the same for the duration of the pledge.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Third Party Custodian and the Beneficiary are hereby authorised, at all times, to communicate among themselves and to the Pledgor any information relating to the Pledged Assets, Pledged Account and the secured claims, and the Pledgor expressly waives any rights to bank secrecy and data protection in so far as they would be applicable.</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1" w:name="page72"/>
    <w:bookmarkEnd w:id="71"/>
    <w:p>
      <w:pPr>
        <w:jc w:val="both"/>
        <w:spacing w:after="0"/>
        <w:rPr>
          <w:sz w:val="20"/>
          <w:szCs w:val="20"/>
          <w:color w:val="auto"/>
        </w:rPr>
      </w:pPr>
      <w:r>
        <w:rPr>
          <w:rFonts w:ascii="Arial" w:cs="Arial" w:eastAsia="Arial" w:hAnsi="Arial"/>
          <w:sz w:val="22"/>
          <w:szCs w:val="22"/>
          <w:color w:val="auto"/>
        </w:rPr>
        <w:t>The pledge is effective on the date of the signature of this pledge, and the Third Party Custodian confirms that the 1,000,000 shares of GasLog Ltd, ISIN n° [***] are credited to the aforementioned Pledged Account and these assets are not pledged in favour of CMB Monaco at the date of signature of this agreement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 CAPACITY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Pledgor represents that it is not subject to any decisions or proceedings whatsoever that may adversely affect its legal capacity and that the Pledged Account and Pledged Assets are not currently subject to any other pledge agreement, rights of set-off or other third party rights of any nature, or court order or other interim measure, or any pending instructions from the Pledgor to the Third Party Custodian, and that the Pledgor is the owner thereof.</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Pledgor represents that its obligations under this pledge are in accordance with its corporate objects and corporate interests.</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case of omission or misrepresentation in connection with the representations in this Article 2, the Beneficiary is ipso jure authorised to require, immediate repayment and/or acceleration by reason of default of all of the Secured Obligations defined under Article 3.</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Third Party Custodian remains foreign to the event of default and its occurrence that only concern the Pledgor and the Beneficiary, that they recognize by the signature of the pledge.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 SECURED OBLIGATIONS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Parties agree that this pledge is to secure the payment and discharge of any and all present or future, conditional or unconditional claims and obligations which the Beneficiary as Lender may have against the Pledgor as Borrower under the Facility Agreement or any other Finance Document (as defined in the Facility Agreement), all of them as amended, varied, supplemented, novated or restated from time to time, including but not limited to all interest and commissions due or to become due thereon, as well as all costs, fees and expenses, including, but not limited to, court or reasonable out-of-court costs and reasonable attorney’s expenses arising in connection therewith or with the protection, preservation, or realization of this pledge “</w:t>
      </w:r>
      <w:r>
        <w:rPr>
          <w:rFonts w:ascii="Arial" w:cs="Arial" w:eastAsia="Arial" w:hAnsi="Arial"/>
          <w:sz w:val="22"/>
          <w:szCs w:val="22"/>
          <w:b w:val="1"/>
          <w:bCs w:val="1"/>
          <w:color w:val="auto"/>
        </w:rPr>
        <w:t>Secured Obligations</w:t>
      </w:r>
      <w:r>
        <w:rPr>
          <w:rFonts w:ascii="Arial" w:cs="Arial" w:eastAsia="Arial" w:hAnsi="Arial"/>
          <w:sz w:val="22"/>
          <w:szCs w:val="22"/>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Pursuant to Article 60-1 of the Commercial Code, the pledge is established when the Pledgor is divested of the Pledged Account and the Pledged Assets.</w:t>
      </w:r>
    </w:p>
    <w:p>
      <w:pPr>
        <w:spacing w:after="0" w:line="27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Furthermore, the Pledgor and the Third Party Custodian agree that the present pledge shall, without any further formality, cause divestment of the Pledged Account and the Pledged Assets and that the amount shall be precisely determined should the pledge be enforced.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Consequently, the Pledgor may not dispose of any of the Pledged Assets. </w:t>
      </w:r>
      <w:r>
        <w:rPr>
          <w:rFonts w:ascii="Arial" w:cs="Arial" w:eastAsia="Arial" w:hAnsi="Arial"/>
          <w:sz w:val="18"/>
          <w:szCs w:val="18"/>
          <w:color w:val="auto"/>
        </w:rPr>
        <w:t>However, exceptions to this principle may be agreed,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Beneficiary’s prior express written consent.</w:t>
      </w:r>
    </w:p>
    <w:p>
      <w:pPr>
        <w:spacing w:after="0" w:line="36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2" w:name="page73"/>
    <w:bookmarkEnd w:id="72"/>
    <w:p>
      <w:pPr>
        <w:jc w:val="both"/>
        <w:spacing w:after="0"/>
        <w:rPr>
          <w:sz w:val="20"/>
          <w:szCs w:val="20"/>
          <w:color w:val="auto"/>
        </w:rPr>
      </w:pPr>
      <w:r>
        <w:rPr>
          <w:rFonts w:ascii="Arial" w:cs="Arial" w:eastAsia="Arial" w:hAnsi="Arial"/>
          <w:sz w:val="22"/>
          <w:szCs w:val="22"/>
          <w:color w:val="auto"/>
        </w:rPr>
        <w:t>Notwithstanding this pledge, the Pledgor may freely dispose of its dividends, or other distributions over the shares, provided that the Third Party Custodian has not been instructed in writing by the Beneficiary that the pledge is enforced in accordance with Article 5.</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additional liquidities or shares credited to the Pledged Account shall ipso jure be included in the scope of the pledge. The same shall apply in respect of any asset supplementing the Pledged Assets as a consequence of any transactions that the Pledgor is authorised to carry out. The fruits and the proceeds of the Pledged Assets shall increase the Pledged Assets falling under this pledge.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regards to the Pledgor’s voting rights in relation with shares forming part of the Pledged Assets, the Pledgor shall be entitled to exercise its voting rights and instruct the Third Party Custodian accordingly and will be attending the general meetings of GasLog Ltd., provided that the Third Party Custodian has not been instructed in writing by the Beneficiary that the pledge is enforced in accordance with Article 5. However, the Pledgor must refrain from exercising its rights in a manner (i) liable to be contrary to the Beneficiary’s interest in its capacity as secured creditor and/or (ii) that will lead to any deterioration in the value of the Pledged Assets.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 INFORMATION OF THE BENEFICIARY</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Third Party Custodian shall maintain the Pledged Account in accordance with the terms of this pledge and applicable regulations.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Pledgor shall inform the Beneficiary as soon as possible in case this pledge is prejudiced or jeopardised by actions of third parties (including, but without being limited to, by attachments). Such information shall be accompanied, in case of any attachment, by a copy of the order for attachment, as well as all documents required for the filing of an objection against the attachment, and, in case of any other actions by third parties, by copies evidencing which actions have or will be taken, respectively, as well as all documents required for the filing of an objection against such 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Pledgor and the Third Party Custodian undertake not to close the Pledged Account without the consent of the Beneficiary.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dividends or other permitted distributions, the Pledgor and the Third Party Custodian undertake not to move the Pledged Assets without the consent of the Beneficiary.</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and from the Beneficiary’s instruction to Third Party Custodian under Article 5, the Third Party Custodian undertakes to prioritise the Beneficiary’s instructions and to cancel or bypass any subsequent instructions from the Pledgor or a third party concerning transfers or similar actions. The Third Party Custodian undertakes to honour the Beneficiary’s instructions in this respect.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Third Party Custodian waives any preferential right it may have over the Pledged Account and the Pledged Assets, including but not limited to rights of retention and set off.</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Third Party Custodian is hereby formally instructed by the Pledgor for the duration of this agreement, and is irrevocably authorized to establish contact at all times with the Beneficiary in relation to the Pledged Account and the Pledged Assets and provide any information the Beneficiary may request in relation thereto (e.g. bank statements etc …) what the Pledgor recognizes and accepts by signing this pledge releasing the Third Party Custodian from any responsibility in this regard.</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b w:val="1"/>
          <w:bCs w:val="1"/>
          <w:color w:val="auto"/>
        </w:rPr>
        <w:t>ARTICLE 5 - ENFORCEMENT</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relations between the Pledgor and the Beneficiary, failing performance and/or timely payment of any of the Secured Obligations, the Beneficiary may enforce the Pledge in accordance with the provisions of Article 61-1 of the Commercial Code, whereupon the Beneficiary will instruct the Third Party Custodian that the pledge is enforced.</w:t>
      </w: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 the relations between the Beneficiary and the Third Party Custodian, at the first request of the Beneficiary, the Third Party Custodian shall proceed with the enforcement of the pledge according to the modalities mentioned below.</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Beneficiary undertakes to send to the Third Party Custodian a notice of enforcement in which the Beneficiary indicates that the Pledgor is in default under the Secured Obligations and asking the Third Party Custodian to enforce the pledge. The Beneficiary undertakes to specify in this notice of default especially the quantity of the Pledged Assets targeted, the mode of enforcement of the pledge, either the sale of the Pledged Assets on the stock exchange where they are traded, or their appropriation by the Beneficiary, the account to which the Third Party Custodian will have to transfer the Pledged Assets or credit the proceeds of the sale according to the option chosen.</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Pledgor refrains from raising any dispute with the Third Party Custodian about the reasons for the enforcement of the pledge requested by the Beneficiary, the Third Party Custodian being foreign to the Facility Agreement. The Pledgor and the Beneficiary release the Third Party Custodian from all liability in this regard.</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Upon the receipt of the enforcement notice from the Beneficiary, the Third Party Custodian must enforce the pledge and give instructions to execute the option chosen by the Beneficiary within two working days, except for the exceptions mentioned below.</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Given the nature of the Pledged Assets, the complete execution will be carried out as soon as possible subject to intermediaries and market conditions which are outside of the will of the Third Party Custodian, the Beneficiary therefore relieves the Third Party Custodian of responsibility as regards the time of the execution (when not depending from the Third Party Custodian) and the sale price of the Pledged Assets, in the event that this option has been chosen, the Third party Custodian will in no case be responsible for the price at which the sale of the shares will be made (given that the sale or appropriation must be made at the current listed price).</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Third Party Custodian will be unable to enforce the pledge and execute the Beneficiary’s instructions in the event of circumstances beyond its control being the “force majeure” (as defined in Monegasque legislation and case law) such as the market conditions (in case of sale option), a blocking ordered by judicial, extra-judicial or administrative authorities, what the Beneficiary acknowledges and accepts by signing this pledge releasing the Third Party Custodian from any responsibility in this regard. The Third Party Custodian will inform the Beneficiary by writing.</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All costs, fees and taxes payable in connection with the enforcement of the pledge shall be borne by the Pledgor and shall be deducted from the proceeds of such enforcement.</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4" w:name="page75"/>
    <w:bookmarkEnd w:id="74"/>
    <w:p>
      <w:pPr>
        <w:jc w:val="both"/>
        <w:spacing w:after="0" w:line="297" w:lineRule="auto"/>
        <w:rPr>
          <w:sz w:val="20"/>
          <w:szCs w:val="20"/>
          <w:color w:val="auto"/>
        </w:rPr>
      </w:pPr>
      <w:r>
        <w:rPr>
          <w:rFonts w:ascii="Arial" w:cs="Arial" w:eastAsia="Arial" w:hAnsi="Arial"/>
          <w:sz w:val="19"/>
          <w:szCs w:val="19"/>
          <w:color w:val="auto"/>
        </w:rPr>
        <w:t>Once the enforcement of the pledge and its execution by the Third Party Custodian is duly completed in relation to all Pledged Assets, the pledge ends automatically and immediately. No longer any obligation or liability will be maintained for the Third Party Custodian relating to the pledge, which the Beneficiary acknowledges and accepts by the signature hereof.</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case of enforcement of the pledge and in particular in the event of a choice of appropriation of GasLog Ltd shares, the Beneficiary will take care of the information of the company regarding the change of shareholders, if needed, and all the related consequences.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 PLEDGOR COMMITMENTS</w:t>
      </w:r>
    </w:p>
    <w:p>
      <w:pPr>
        <w:spacing w:after="0" w:line="24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Pledgor undertakes, at its own cost, to execute all instructions and documents and to do all things as are required or useful for the purpose of creating or perfecting or protecting the Pledged Account and Pledged Assets, created or intended to be created pursuant to this pledge, or to otherwise implement this pledge, in particular by enabling the Beneficiary to exercise its rights and remedies hereunder and by facilitating the realisation of the pledge.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 ENTIRE AGREEMENT</w:t>
      </w:r>
    </w:p>
    <w:p>
      <w:pPr>
        <w:spacing w:after="0" w:line="2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pledge, including any other documents referred to herein, constitute the entire agreement and understanding among the Parties with respect to the Pledged Assets and Pledged Account, and shall supersede all prior oral and written agreements or understandings of the Parties relating to the Pledged Assets and the Pledged Account.</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provision or representation of this pledge which is prohibited or deemed invalid or unenforceable shall be ineffective without invalidating the remaining provisions hereof.</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Any term and provision of this pledge may only be amended or modified with the written consent of the Parties and the observance of any term of this pledge may only be waived either generally or in a particular instance and either retroactively or prospectively, with the written consent of the Parties.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 NOTICES AND CORRESPONDENCE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All notices and other correspondence to be provided to the Pledgor shall be sent to the following addresses: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 Ceres Monaco SAM</w:t>
      </w:r>
    </w:p>
    <w:p>
      <w:pPr>
        <w:spacing w:after="0" w:line="238" w:lineRule="auto"/>
        <w:rPr>
          <w:sz w:val="20"/>
          <w:szCs w:val="20"/>
          <w:color w:val="auto"/>
        </w:rPr>
      </w:pPr>
      <w:r>
        <w:rPr>
          <w:rFonts w:ascii="Arial" w:cs="Arial" w:eastAsia="Arial" w:hAnsi="Arial"/>
          <w:sz w:val="22"/>
          <w:szCs w:val="22"/>
          <w:color w:val="auto"/>
        </w:rPr>
        <w:t>Gildo Pastor Centre</w:t>
      </w:r>
    </w:p>
    <w:p>
      <w:pPr>
        <w:spacing w:after="0" w:line="230" w:lineRule="auto"/>
        <w:rPr>
          <w:sz w:val="20"/>
          <w:szCs w:val="20"/>
          <w:color w:val="auto"/>
        </w:rPr>
      </w:pPr>
      <w:r>
        <w:rPr>
          <w:rFonts w:ascii="Arial" w:cs="Arial" w:eastAsia="Arial" w:hAnsi="Arial"/>
          <w:sz w:val="22"/>
          <w:szCs w:val="22"/>
          <w:color w:val="auto"/>
        </w:rPr>
        <w:t>7 rue du Gabian</w:t>
      </w:r>
    </w:p>
    <w:p>
      <w:pPr>
        <w:spacing w:after="0" w:line="231" w:lineRule="auto"/>
        <w:rPr>
          <w:sz w:val="20"/>
          <w:szCs w:val="20"/>
          <w:color w:val="auto"/>
        </w:rPr>
      </w:pPr>
      <w:r>
        <w:rPr>
          <w:rFonts w:ascii="Arial" w:cs="Arial" w:eastAsia="Arial" w:hAnsi="Arial"/>
          <w:sz w:val="22"/>
          <w:szCs w:val="22"/>
          <w:color w:val="auto"/>
        </w:rPr>
        <w:t>MC98000 Monaco</w:t>
      </w:r>
    </w:p>
    <w:p>
      <w:pPr>
        <w:spacing w:after="0"/>
        <w:rPr>
          <w:sz w:val="20"/>
          <w:szCs w:val="20"/>
          <w:color w:val="auto"/>
        </w:rPr>
      </w:pPr>
      <w:r>
        <w:rPr>
          <w:rFonts w:ascii="Arial" w:cs="Arial" w:eastAsia="Arial" w:hAnsi="Arial"/>
          <w:sz w:val="22"/>
          <w:szCs w:val="22"/>
          <w:color w:val="auto"/>
        </w:rPr>
        <w:t>[***]</w:t>
      </w: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spacing w:after="0"/>
        <w:rPr>
          <w:sz w:val="20"/>
          <w:szCs w:val="20"/>
          <w:color w:val="auto"/>
        </w:rPr>
      </w:pPr>
      <w:r>
        <w:rPr>
          <w:rFonts w:ascii="Arial" w:cs="Arial" w:eastAsia="Arial" w:hAnsi="Arial"/>
          <w:sz w:val="19"/>
          <w:szCs w:val="19"/>
          <w:color w:val="auto"/>
        </w:rPr>
        <w:t>All notices and other correspondence to be provided to the Third Party Custodian shall be sent to the following addresses: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CMB Monaco</w:t>
      </w:r>
    </w:p>
    <w:p>
      <w:pPr>
        <w:spacing w:after="0" w:line="238" w:lineRule="auto"/>
        <w:rPr>
          <w:sz w:val="20"/>
          <w:szCs w:val="20"/>
          <w:color w:val="auto"/>
        </w:rPr>
      </w:pPr>
      <w:r>
        <w:rPr>
          <w:rFonts w:ascii="Arial" w:cs="Arial" w:eastAsia="Arial" w:hAnsi="Arial"/>
          <w:sz w:val="22"/>
          <w:szCs w:val="22"/>
          <w:color w:val="auto"/>
        </w:rPr>
        <w:t>23 avenue de la Costa</w:t>
      </w:r>
    </w:p>
    <w:p>
      <w:pPr>
        <w:spacing w:after="0" w:line="230" w:lineRule="auto"/>
        <w:rPr>
          <w:sz w:val="20"/>
          <w:szCs w:val="20"/>
          <w:color w:val="auto"/>
        </w:rPr>
      </w:pPr>
      <w:r>
        <w:rPr>
          <w:rFonts w:ascii="Arial" w:cs="Arial" w:eastAsia="Arial" w:hAnsi="Arial"/>
          <w:sz w:val="22"/>
          <w:szCs w:val="22"/>
          <w:color w:val="auto"/>
        </w:rPr>
        <w:t>MC 98000 Monaco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All notices and other correspondence to be provided to the Beneficiary shall be sent to the following addresses: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Citibank NA, London Branch</w:t>
      </w:r>
    </w:p>
    <w:p>
      <w:pPr>
        <w:spacing w:after="0" w:line="238" w:lineRule="auto"/>
        <w:rPr>
          <w:sz w:val="20"/>
          <w:szCs w:val="20"/>
          <w:color w:val="auto"/>
        </w:rPr>
      </w:pPr>
      <w:r>
        <w:rPr>
          <w:rFonts w:ascii="Arial" w:cs="Arial" w:eastAsia="Arial" w:hAnsi="Arial"/>
          <w:sz w:val="22"/>
          <w:szCs w:val="22"/>
          <w:color w:val="auto"/>
        </w:rPr>
        <w:t>33, Canada square, Canary Wharf, London E14 5LB, England</w:t>
      </w:r>
    </w:p>
    <w:p>
      <w:pPr>
        <w:spacing w:after="0"/>
        <w:rPr>
          <w:sz w:val="20"/>
          <w:szCs w:val="20"/>
          <w:color w:val="auto"/>
        </w:rPr>
      </w:pPr>
      <w:r>
        <w:rPr>
          <w:rFonts w:ascii="Arial" w:cs="Arial" w:eastAsia="Arial" w:hAnsi="Arial"/>
          <w:sz w:val="22"/>
          <w:szCs w:val="22"/>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a copy to</w:t>
      </w:r>
      <w:r>
        <w:rPr>
          <w:rFonts w:ascii="Arial" w:cs="Arial" w:eastAsia="Arial" w:hAnsi="Arial"/>
          <w:sz w:val="18"/>
          <w:szCs w:val="18"/>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Citibank International Limited, Greece</w:t>
      </w:r>
    </w:p>
    <w:p>
      <w:pPr>
        <w:spacing w:after="0" w:line="230" w:lineRule="auto"/>
        <w:rPr>
          <w:sz w:val="20"/>
          <w:szCs w:val="20"/>
          <w:color w:val="auto"/>
        </w:rPr>
      </w:pPr>
      <w:r>
        <w:rPr>
          <w:rFonts w:ascii="Arial" w:cs="Arial" w:eastAsia="Arial" w:hAnsi="Arial"/>
          <w:sz w:val="22"/>
          <w:szCs w:val="22"/>
          <w:color w:val="auto"/>
        </w:rPr>
        <w:t>8 Othonos Street,</w:t>
      </w:r>
    </w:p>
    <w:p>
      <w:pPr>
        <w:spacing w:after="0" w:line="231" w:lineRule="auto"/>
        <w:rPr>
          <w:sz w:val="20"/>
          <w:szCs w:val="20"/>
          <w:color w:val="auto"/>
        </w:rPr>
      </w:pPr>
      <w:r>
        <w:rPr>
          <w:rFonts w:ascii="Arial" w:cs="Arial" w:eastAsia="Arial" w:hAnsi="Arial"/>
          <w:sz w:val="22"/>
          <w:szCs w:val="22"/>
          <w:color w:val="auto"/>
        </w:rPr>
        <w:t>10557, Athens, Greece</w:t>
      </w: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Any notification period provided for by this agreement will begin to run on the day the letter is sent.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 APPLICABLE LAW - CHOICE OF JURISDICTION</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agreement and all consequences thereof shall be governed by the laws of Monaco. Any dispute pertaining to this pledge shall be exclusively referred to the courts of the Principality of Monaco</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 DURATION OF THE PLEDGE</w:t>
      </w:r>
    </w:p>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to the cases mentioned in article 5 hereof, given the evergreen duration, the Third Party Custodian may terminate the pledge at any time with a notice sent by registered letter with acknowledgment of receipt to the Beneficiary and the Pledgor of 60 (sixty) calendar days allowing the Pledgor and the Beneficiary to do the necessary to find another solution.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no solution insuring maintenance of a first ranking pledge over the Pledged Assets in a manner satisfactory to the Beneficiary is found, the Beneficiary may, at its discretion, execute the pledge in accordance with article 5 of this agreement at any time as from the receipt of the aforementioned notice from the Third Party Custodian, the Pledgor is granting its express consent to it. In such a case, the Third Party Custodian shall not terminate the pledge and close the Pledged Account until the pledge is executed in accordance with article 5 of this agreement.</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ARTICLE 11 – COSTS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Pledgor shall bear the costs hereof, including in particular stamp and registration duties, as well as all costs ancillary or consequential hereto.</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the Beneficiary’s express request, the Pledgor shall ensure registration of this pledge, in accordance with the provisions of Article 60-2 of the Commercial Code of Monaco and Article 2bis of Law 580 dated July, 29th, 1953, for a fixed fee of 10€, plus 0,50€ per page of registered documents.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Full powers are given to the Beneficiary or any duly appointed agent in order to register the present pledge.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 SIGNATURES</w:t>
      </w:r>
    </w:p>
    <w:p>
      <w:pPr>
        <w:spacing w:after="0" w:line="249" w:lineRule="exact"/>
        <w:rPr>
          <w:sz w:val="20"/>
          <w:szCs w:val="20"/>
          <w:color w:val="auto"/>
        </w:rPr>
      </w:pPr>
    </w:p>
    <w:p>
      <w:pPr>
        <w:jc w:val="both"/>
        <w:spacing w:after="0" w:line="201" w:lineRule="auto"/>
        <w:rPr>
          <w:sz w:val="20"/>
          <w:szCs w:val="20"/>
          <w:color w:val="auto"/>
        </w:rPr>
      </w:pPr>
      <w:r>
        <w:rPr>
          <w:rFonts w:ascii="Arial" w:cs="Arial" w:eastAsia="Arial" w:hAnsi="Arial"/>
          <w:sz w:val="20"/>
          <w:szCs w:val="20"/>
          <w:color w:val="auto"/>
        </w:rPr>
        <w:t>The Parties hereby agree to either proceed with wet signatures hereof or electronically sign this pledge in accordance with the provisions of Laws n° 1.383 dated August 2nd, 2011 and n° 1.482 dated December 17</w:t>
      </w:r>
      <w:r>
        <w:rPr>
          <w:rFonts w:ascii="Arial" w:cs="Arial" w:eastAsia="Arial" w:hAnsi="Arial"/>
          <w:sz w:val="32"/>
          <w:szCs w:val="32"/>
          <w:color w:val="auto"/>
          <w:vertAlign w:val="superscript"/>
        </w:rPr>
        <w:t>th</w:t>
      </w:r>
      <w:r>
        <w:rPr>
          <w:rFonts w:ascii="Arial" w:cs="Arial" w:eastAsia="Arial" w:hAnsi="Arial"/>
          <w:sz w:val="20"/>
          <w:szCs w:val="20"/>
          <w:color w:val="auto"/>
        </w:rPr>
        <w:t>, 2019 relating to the Digital Economy, as well as of Ordinance n° 6.525 dated August 16</w:t>
      </w:r>
      <w:r>
        <w:rPr>
          <w:rFonts w:ascii="Arial" w:cs="Arial" w:eastAsia="Arial" w:hAnsi="Arial"/>
          <w:sz w:val="32"/>
          <w:szCs w:val="32"/>
          <w:color w:val="auto"/>
          <w:vertAlign w:val="superscript"/>
        </w:rPr>
        <w:t>th</w:t>
      </w:r>
      <w:r>
        <w:rPr>
          <w:rFonts w:ascii="Arial" w:cs="Arial" w:eastAsia="Arial" w:hAnsi="Arial"/>
          <w:sz w:val="20"/>
          <w:szCs w:val="20"/>
          <w:color w:val="auto"/>
        </w:rPr>
        <w:t>, 2017, through the service provider “DocuSign France” which will ensure the security and integrity of the digital copies of this pledge in accordance with the above-mentioned laws and texts.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of the Parties hereby undertake to take all appropriate measures to ensure that the signature of this pledge is made by its representative duly authorized for this purpose.</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exclusive purposes of registration formalities with the Monegasque administrations, the Parties agree to sign original paper copies of this pledge, the electronic signature being proof between the Parties.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Signed on December 31, 2020, in 4 originals (one for registration), in English and in French language.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auto"/>
        </w:rPr>
        <w:t>Pledgor*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BLENHEIM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Athanasios Thanopoulos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Athanasios Thanopoulos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Attorney In Fact</w:t>
      </w:r>
    </w:p>
    <w:p>
      <w:pPr>
        <w:spacing w:after="0" w:line="200" w:lineRule="exact"/>
        <w:rPr>
          <w:sz w:val="20"/>
          <w:szCs w:val="20"/>
          <w:color w:val="auto"/>
        </w:rPr>
      </w:pPr>
    </w:p>
    <w:p>
      <w:pPr>
        <w:spacing w:after="0" w:line="2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Pledgor’s signature preceded by the handwritten mention: “Good for pledge over accounts number [***] notably credited with 1,000,000 shares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GasLog Ltd owned by Blenheim Holdings Ltd and all related rights, according to the aforementioned conditions, in guarantee of the Secured Obligations.”</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auto"/>
        </w:rPr>
        <w:t>Beneficiary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CITIBANK N.A., London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Vassilios Maroulis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Vassilios Maroulis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b w:val="1"/>
          <w:bCs w:val="1"/>
          <w:color w:val="auto"/>
        </w:rPr>
        <w:t>Third Party Custodian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CMB MONACO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 Federico Limiti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Federico Limiti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Edouard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Edouard Cure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Head of Legal Dept.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4"/>
      <w:numFmt w:val="bullet"/>
      <w:start w:val="1"/>
    </w:lvl>
  </w:abstractNum>
  <w:abstractNum w:abstractNumId="1">
    <w:nsid w:val="5C482A97"/>
    <w:multiLevelType w:val="hybridMultilevel"/>
    <w:lvl w:ilvl="0">
      <w:lvlJc w:val="left"/>
      <w:lvlText w:val="6"/>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4"/>
      <w:numFmt w:val="bullet"/>
      <w:start w:val="1"/>
    </w:lvl>
  </w:abstractNum>
  <w:abstractNum w:abstractNumId="4">
    <w:nsid w:val="51EAD36B"/>
    <w:multiLevelType w:val="hybridMultilevel"/>
    <w:lvl w:ilvl="0">
      <w:lvlJc w:val="left"/>
      <w:lvlText w:val="6"/>
      <w:numFmt w:val="bullet"/>
      <w:start w:val="1"/>
    </w:lvl>
  </w:abstractNum>
  <w:abstractNum w:abstractNumId="5">
    <w:nsid w:val="2D517796"/>
    <w:multiLevelType w:val="hybridMultilevel"/>
    <w:lvl w:ilvl="0">
      <w:lvlJc w:val="left"/>
      <w:lvlText w:val="(%1)"/>
      <w:numFmt w:val="decimal"/>
      <w:start w:val="2"/>
    </w:lvl>
  </w:abstractNum>
  <w:abstractNum w:abstractNumId="6">
    <w:nsid w:val="580BD78F"/>
    <w:multiLevelType w:val="hybridMultilevel"/>
    <w:lvl w:ilvl="0">
      <w:lvlJc w:val="left"/>
      <w:lvlText w:val="4"/>
      <w:numFmt w:val="bullet"/>
      <w:start w:val="1"/>
    </w:lvl>
  </w:abstractNum>
  <w:abstractNum w:abstractNumId="7">
    <w:nsid w:val="153EA438"/>
    <w:multiLevelType w:val="hybridMultilevel"/>
    <w:lvl w:ilvl="0">
      <w:lvlJc w:val="left"/>
      <w:lvlText w:val="6"/>
      <w:numFmt w:val="bullet"/>
      <w:start w:val="1"/>
    </w:lvl>
  </w:abstractNum>
  <w:abstractNum w:abstractNumId="8">
    <w:nsid w:val="3855585C"/>
    <w:multiLevelType w:val="hybridMultilevel"/>
    <w:lvl w:ilvl="0">
      <w:lvlJc w:val="left"/>
      <w:lvlText w:val="(%1)"/>
      <w:numFmt w:val="decimal"/>
      <w:start w:val="3"/>
    </w:lvl>
  </w:abstractNum>
  <w:abstractNum w:abstractNumId="9">
    <w:nsid w:val="70A64E2A"/>
    <w:multiLevelType w:val="hybridMultilevel"/>
    <w:lvl w:ilvl="0">
      <w:lvlJc w:val="left"/>
      <w:lvlText w:val="(%1)"/>
      <w:numFmt w:val="lowerLetter"/>
      <w:start w:val="1"/>
    </w:lvl>
  </w:abstractNum>
  <w:abstractNum w:abstractNumId="10">
    <w:nsid w:val="6A2342E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
    <w:nsid w:val="2A487CB0"/>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2">
    <w:nsid w:val="1D4ED43B"/>
    <w:multiLevelType w:val="hybridMultilevel"/>
    <w:lvl w:ilvl="0">
      <w:lvlJc w:val="left"/>
      <w:lvlText w:val="%1."/>
      <w:numFmt w:val="upperLetter"/>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2"/>
    </w:lvl>
  </w:abstractNum>
  <w:abstractNum w:abstractNumId="15">
    <w:nsid w:val="57E4CCAF"/>
    <w:multiLevelType w:val="hybridMultilevel"/>
    <w:lvl w:ilvl="0">
      <w:lvlJc w:val="left"/>
      <w:lvlText w:val="(%1)"/>
      <w:numFmt w:val="lowerLetter"/>
      <w:start w:val="1"/>
    </w:lvl>
  </w:abstractNum>
  <w:abstractNum w:abstractNumId="16">
    <w:nsid w:val="7A6D8D3C"/>
    <w:multiLevelType w:val="hybridMultilevel"/>
    <w:lvl w:ilvl="0">
      <w:lvlJc w:val="left"/>
      <w:lvlText w:val="%1."/>
      <w:numFmt w:val="decimal"/>
      <w:start w:val="3"/>
    </w:lvl>
  </w:abstractNum>
  <w:abstractNum w:abstractNumId="17">
    <w:nsid w:val="4B588F54"/>
    <w:multiLevelType w:val="hybridMultilevel"/>
    <w:lvl w:ilvl="0">
      <w:lvlJc w:val="left"/>
      <w:lvlText w:val="(%1)"/>
      <w:numFmt w:val="lowerLetter"/>
      <w:start w:val="1"/>
    </w:lvl>
  </w:abstractNum>
  <w:abstractNum w:abstractNumId="18">
    <w:nsid w:val="542289EC"/>
    <w:multiLevelType w:val="hybridMultilevel"/>
    <w:lvl w:ilvl="0">
      <w:lvlJc w:val="left"/>
      <w:lvlText w:val="%1."/>
      <w:numFmt w:val="decimal"/>
      <w:start w:val="4"/>
    </w:lvl>
  </w:abstractNum>
  <w:abstractNum w:abstractNumId="19">
    <w:nsid w:val="6DE91B18"/>
    <w:multiLevelType w:val="hybridMultilevel"/>
    <w:lvl w:ilvl="0">
      <w:lvlJc w:val="left"/>
      <w:lvlText w:val="%1."/>
      <w:numFmt w:val="decimal"/>
      <w:start w:val="5"/>
    </w:lvl>
  </w:abstractNum>
  <w:abstractNum w:abstractNumId="20">
    <w:nsid w:val="38437FDB"/>
    <w:multiLevelType w:val="hybridMultilevel"/>
    <w:lvl w:ilvl="0">
      <w:lvlJc w:val="left"/>
      <w:lvlText w:val="(%1)"/>
      <w:numFmt w:val="lowerLetter"/>
      <w:start w:val="1"/>
    </w:lvl>
  </w:abstractNum>
  <w:abstractNum w:abstractNumId="21">
    <w:nsid w:val="7644A45C"/>
    <w:multiLevelType w:val="hybridMultilevel"/>
    <w:lvl w:ilvl="0">
      <w:lvlJc w:val="left"/>
      <w:lvlText w:val="(%1)"/>
      <w:numFmt w:val="lowerLetter"/>
      <w:start w:val="9"/>
    </w:lvl>
  </w:abstractNum>
  <w:abstractNum w:abstractNumId="22">
    <w:nsid w:val="32FFF902"/>
    <w:multiLevelType w:val="hybridMultilevel"/>
    <w:lvl w:ilvl="0">
      <w:lvlJc w:val="left"/>
      <w:lvlText w:val="%1."/>
      <w:numFmt w:val="decimal"/>
      <w:start w:val="6"/>
    </w:lvl>
  </w:abstractNum>
  <w:abstractNum w:abstractNumId="23">
    <w:nsid w:val="684A481A"/>
    <w:multiLevelType w:val="hybridMultilevel"/>
    <w:lvl w:ilvl="0">
      <w:lvlJc w:val="left"/>
      <w:lvlText w:val="(%1)"/>
      <w:numFmt w:val="lowerLetter"/>
      <w:start w:val="1"/>
    </w:lvl>
  </w:abstractNum>
  <w:abstractNum w:abstractNumId="24">
    <w:nsid w:val="579478FE"/>
    <w:multiLevelType w:val="hybridMultilevel"/>
    <w:lvl w:ilvl="0">
      <w:lvlJc w:val="left"/>
      <w:lvlText w:val="(%1)"/>
      <w:numFmt w:val="lowerLetter"/>
      <w:start w:val="2"/>
    </w:lvl>
  </w:abstractNum>
  <w:abstractNum w:abstractNumId="25">
    <w:nsid w:val="749ABB43"/>
    <w:multiLevelType w:val="hybridMultilevel"/>
    <w:lvl w:ilvl="0">
      <w:lvlJc w:val="left"/>
      <w:lvlText w:val="%1."/>
      <w:numFmt w:val="decimal"/>
      <w:start w:val="7"/>
    </w:lvl>
  </w:abstractNum>
  <w:abstractNum w:abstractNumId="26">
    <w:nsid w:val="3DC240FB"/>
    <w:multiLevelType w:val="hybridMultilevel"/>
    <w:lvl w:ilvl="0">
      <w:lvlJc w:val="left"/>
      <w:lvlText w:val="(%1)"/>
      <w:numFmt w:val="lowerLetter"/>
      <w:start w:val="1"/>
    </w:lvl>
  </w:abstractNum>
  <w:abstractNum w:abstractNumId="27">
    <w:nsid w:val="1BA026FA"/>
    <w:multiLevelType w:val="hybridMultilevel"/>
    <w:lvl w:ilvl="0">
      <w:lvlJc w:val="left"/>
      <w:lvlText w:val="%1."/>
      <w:numFmt w:val="decimal"/>
      <w:start w:val="8"/>
    </w:lvl>
  </w:abstractNum>
  <w:abstractNum w:abstractNumId="28">
    <w:nsid w:val="79A1DEAA"/>
    <w:multiLevelType w:val="hybridMultilevel"/>
    <w:lvl w:ilvl="0">
      <w:lvlJc w:val="left"/>
      <w:lvlText w:val="%1."/>
      <w:numFmt w:val="decimal"/>
      <w:start w:val="9"/>
    </w:lvl>
  </w:abstractNum>
  <w:abstractNum w:abstractNumId="29">
    <w:nsid w:val="75C6C33A"/>
    <w:multiLevelType w:val="hybridMultilevel"/>
    <w:lvl w:ilvl="0">
      <w:lvlJc w:val="left"/>
      <w:lvlText w:val="%1."/>
      <w:numFmt w:val="decimal"/>
      <w:start w:val="10"/>
    </w:lvl>
  </w:abstractNum>
  <w:abstractNum w:abstractNumId="30">
    <w:nsid w:val="12E685FB"/>
    <w:multiLevelType w:val="hybridMultilevel"/>
    <w:lvl w:ilvl="0">
      <w:lvlJc w:val="left"/>
      <w:lvlText w:val="%1."/>
      <w:numFmt w:val="decimal"/>
      <w:start w:val="11"/>
    </w:lvl>
  </w:abstractNum>
  <w:abstractNum w:abstractNumId="31">
    <w:nsid w:val="70C6A529"/>
    <w:multiLevelType w:val="hybridMultilevel"/>
    <w:lvl w:ilvl="0">
      <w:lvlJc w:val="left"/>
      <w:lvlText w:val="%1."/>
      <w:numFmt w:val="decimal"/>
      <w:start w:val="12"/>
    </w:lvl>
  </w:abstractNum>
  <w:abstractNum w:abstractNumId="32">
    <w:nsid w:val="520EEDD1"/>
    <w:multiLevelType w:val="hybridMultilevel"/>
    <w:lvl w:ilvl="0">
      <w:lvlJc w:val="left"/>
      <w:lvlText w:val="%1."/>
      <w:numFmt w:val="decimal"/>
      <w:start w:val="13"/>
    </w:lvl>
  </w:abstractNum>
  <w:abstractNum w:abstractNumId="33">
    <w:nsid w:val="374A3FE6"/>
    <w:multiLevelType w:val="hybridMultilevel"/>
    <w:lvl w:ilvl="0">
      <w:lvlJc w:val="left"/>
      <w:lvlText w:val="%1."/>
      <w:numFmt w:val="decimal"/>
      <w:start w:val="14"/>
    </w:lvl>
  </w:abstractNum>
  <w:abstractNum w:abstractNumId="34">
    <w:nsid w:val="4F4EF005"/>
    <w:multiLevelType w:val="hybridMultilevel"/>
    <w:lvl w:ilvl="0">
      <w:lvlJc w:val="left"/>
      <w:lvlText w:val="%1."/>
      <w:numFmt w:val="decimal"/>
      <w:start w:val="15"/>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2"/>
    </w:lvl>
  </w:abstractNum>
  <w:abstractNum w:abstractNumId="37">
    <w:nsid w:val="275AC794"/>
    <w:multiLevelType w:val="hybridMultilevel"/>
    <w:lvl w:ilvl="0">
      <w:lvlJc w:val="left"/>
      <w:lvlText w:val="%1."/>
      <w:numFmt w:val="decimal"/>
      <w:start w:val="3"/>
    </w:lvl>
  </w:abstractNum>
  <w:abstractNum w:abstractNumId="38">
    <w:nsid w:val="39386575"/>
    <w:multiLevelType w:val="hybridMultilevel"/>
    <w:lvl w:ilvl="0">
      <w:lvlJc w:val="left"/>
      <w:lvlText w:val="(%1)"/>
      <w:numFmt w:val="lowerLetter"/>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1."/>
      <w:numFmt w:val="decimal"/>
      <w:start w:val="2"/>
    </w:lvl>
    <w:lvl w:ilvl="1">
      <w:lvlJc w:val="left"/>
      <w:lvlText w:val="(%2)"/>
      <w:numFmt w:val="lowerLetter"/>
      <w:start w:val="35"/>
    </w:lvl>
  </w:abstractNum>
  <w:abstractNum w:abstractNumId="42">
    <w:nsid w:val="47398C89"/>
    <w:multiLevelType w:val="hybridMultilevel"/>
    <w:lvl w:ilvl="0">
      <w:lvlJc w:val="left"/>
      <w:lvlText w:val="%1"/>
      <w:numFmt w:val="decimal"/>
      <w:start w:val="1"/>
    </w:lvl>
    <w:lvl w:ilvl="1">
      <w:lvlJc w:val="left"/>
      <w:lvlText w:val="(%2)"/>
      <w:numFmt w:val="lowerLetter"/>
      <w:start w:val="5"/>
    </w:lvl>
  </w:abstractNum>
  <w:abstractNum w:abstractNumId="43">
    <w:nsid w:val="354FE9F9"/>
    <w:multiLevelType w:val="hybridMultilevel"/>
    <w:lvl w:ilvl="0">
      <w:lvlJc w:val="left"/>
      <w:lvlText w:val="%1"/>
      <w:numFmt w:val="decimal"/>
      <w:start w:val="1"/>
    </w:lvl>
    <w:lvl w:ilvl="1">
      <w:lvlJc w:val="left"/>
      <w:lvlText w:val="(%2)"/>
      <w:numFmt w:val="lowerLetter"/>
      <w:start w:val="6"/>
    </w:lvl>
  </w:abstractNum>
  <w:abstractNum w:abstractNumId="44">
    <w:nsid w:val="15B5AF5C"/>
    <w:multiLevelType w:val="hybridMultilevel"/>
    <w:lvl w:ilvl="0">
      <w:lvlJc w:val="left"/>
      <w:lvlText w:val="%1."/>
      <w:numFmt w:val="decimal"/>
      <w:start w:val="4"/>
    </w:lvl>
    <w:lvl w:ilvl="1">
      <w:lvlJc w:val="left"/>
      <w:lvlText w:val="%2"/>
      <w:numFmt w:val="lowerLetter"/>
      <w:start w:val="1"/>
    </w:lvl>
  </w:abstractNum>
  <w:abstractNum w:abstractNumId="45">
    <w:nsid w:val="741226BB"/>
    <w:multiLevelType w:val="hybridMultilevel"/>
    <w:lvl w:ilvl="0">
      <w:lvlJc w:val="left"/>
      <w:lvlText w:val="%1."/>
      <w:numFmt w:val="decimal"/>
      <w:start w:val="5"/>
    </w:lvl>
    <w:lvl w:ilvl="1">
      <w:lvlJc w:val="left"/>
      <w:lvlText w:val="(%2)"/>
      <w:numFmt w:val="lowerLetter"/>
      <w:start w:val="1"/>
    </w:lvl>
  </w:abstractNum>
  <w:abstractNum w:abstractNumId="46">
    <w:nsid w:val="D34B6A8"/>
    <w:multiLevelType w:val="hybridMultilevel"/>
    <w:lvl w:ilvl="0">
      <w:lvlJc w:val="left"/>
      <w:lvlText w:val="(%1)"/>
      <w:numFmt w:val="lowerLetter"/>
      <w:start w:val="4"/>
    </w:lvl>
  </w:abstractNum>
  <w:abstractNum w:abstractNumId="47">
    <w:nsid w:val="10233C99"/>
    <w:multiLevelType w:val="hybridMultilevel"/>
    <w:lvl w:ilvl="0">
      <w:lvlJc w:val="left"/>
      <w:lvlText w:val="%1."/>
      <w:numFmt w:val="decimal"/>
      <w:start w:val="6"/>
    </w:lvl>
  </w:abstractNum>
  <w:abstractNum w:abstractNumId="48">
    <w:nsid w:val="3F6AB60F"/>
    <w:multiLevelType w:val="hybridMultilevel"/>
    <w:lvl w:ilvl="0">
      <w:lvlJc w:val="left"/>
      <w:lvlText w:val="%1."/>
      <w:numFmt w:val="decimal"/>
      <w:start w:val="7"/>
    </w:lvl>
    <w:lvl w:ilvl="1">
      <w:lvlJc w:val="left"/>
      <w:lvlText w:val="(%2)"/>
      <w:numFmt w:val="lowerLetter"/>
      <w:start w:val="1"/>
    </w:lvl>
  </w:abstractNum>
  <w:abstractNum w:abstractNumId="49">
    <w:nsid w:val="61574095"/>
    <w:multiLevelType w:val="hybridMultilevel"/>
    <w:lvl w:ilvl="0">
      <w:lvlJc w:val="left"/>
      <w:lvlText w:val="(%1)"/>
      <w:numFmt w:val="lowerLetter"/>
      <w:start w:val="2"/>
    </w:lvl>
  </w:abstractNum>
  <w:abstractNum w:abstractNumId="50">
    <w:nsid w:val="7E0C57B1"/>
    <w:multiLevelType w:val="hybridMultilevel"/>
    <w:lvl w:ilvl="0">
      <w:lvlJc w:val="left"/>
      <w:lvlText w:val="(%1)"/>
      <w:numFmt w:val="lowerLetter"/>
      <w:start w:val="6"/>
    </w:lvl>
    <w:lvl w:ilvl="1">
      <w:lvlJc w:val="left"/>
      <w:lvlText w:val="(%2)"/>
      <w:numFmt w:val="lowerRoman"/>
      <w:start w:val="1"/>
    </w:lvl>
  </w:abstractNum>
  <w:abstractNum w:abstractNumId="51">
    <w:nsid w:val="77AE35EB"/>
    <w:multiLevelType w:val="hybridMultilevel"/>
    <w:lvl w:ilvl="0">
      <w:lvlJc w:val="left"/>
      <w:lvlText w:val="%1"/>
      <w:numFmt w:val="lowerLetter"/>
      <w:start w:val="1"/>
    </w:lvl>
    <w:lvl w:ilvl="1">
      <w:lvlJc w:val="left"/>
      <w:lvlText w:val="(%2)"/>
      <w:numFmt w:val="lowerLetter"/>
      <w:start w:val="35"/>
    </w:lvl>
  </w:abstractNum>
  <w:abstractNum w:abstractNumId="52">
    <w:nsid w:val="579BE4F1"/>
    <w:multiLevelType w:val="hybridMultilevel"/>
    <w:lvl w:ilvl="0">
      <w:lvlJc w:val="left"/>
      <w:lvlText w:val="(%1)"/>
      <w:numFmt w:val="lowerLetter"/>
      <w:start w:val="10"/>
    </w:lvl>
    <w:lvl w:ilvl="1">
      <w:lvlJc w:val="left"/>
      <w:lvlText w:val="%2"/>
      <w:numFmt w:val="lowerLetter"/>
      <w:start w:val="1"/>
    </w:lvl>
  </w:abstractNum>
  <w:abstractNum w:abstractNumId="53">
    <w:nsid w:val="310C50B3"/>
    <w:multiLevelType w:val="hybridMultilevel"/>
    <w:lvl w:ilvl="0">
      <w:lvlJc w:val="left"/>
      <w:lvlText w:val="%1"/>
      <w:numFmt w:val="decimal"/>
      <w:start w:val="1"/>
    </w:lvl>
    <w:lvl w:ilvl="1">
      <w:lvlJc w:val="left"/>
      <w:lvlText w:val="(%2)"/>
      <w:numFmt w:val="lowerLetter"/>
      <w:start w:val="13"/>
    </w:lvl>
  </w:abstractNum>
  <w:abstractNum w:abstractNumId="54">
    <w:nsid w:val="5FF87E05"/>
    <w:multiLevelType w:val="hybridMultilevel"/>
    <w:lvl w:ilvl="0">
      <w:lvlJc w:val="left"/>
      <w:lvlText w:val="%1."/>
      <w:numFmt w:val="decimal"/>
      <w:start w:val="9"/>
    </w:lvl>
    <w:lvl w:ilvl="1">
      <w:lvlJc w:val="left"/>
      <w:lvlText w:val="%2"/>
      <w:numFmt w:val="lowerLetter"/>
      <w:start w:val="1"/>
    </w:lvl>
  </w:abstractNum>
  <w:abstractNum w:abstractNumId="55">
    <w:nsid w:val="2F305DEF"/>
    <w:multiLevelType w:val="hybridMultilevel"/>
    <w:lvl w:ilvl="0">
      <w:lvlJc w:val="left"/>
      <w:lvlText w:val="%1."/>
      <w:numFmt w:val="decimal"/>
      <w:start w:val="11"/>
    </w:lvl>
    <w:lvl w:ilvl="1">
      <w:lvlJc w:val="left"/>
      <w:lvlText w:val="(%2)"/>
      <w:numFmt w:val="lowerLetter"/>
      <w:start w:val="1"/>
    </w:lvl>
  </w:abstractNum>
  <w:abstractNum w:abstractNumId="56">
    <w:nsid w:val="25A70BF7"/>
    <w:multiLevelType w:val="hybridMultilevel"/>
    <w:lvl w:ilvl="0">
      <w:lvlJc w:val="left"/>
      <w:lvlText w:val="%1."/>
      <w:numFmt w:val="decimal"/>
      <w:start w:val="13"/>
    </w:lvl>
  </w:abstractNum>
  <w:abstractNum w:abstractNumId="57">
    <w:nsid w:val="1DBABF00"/>
    <w:multiLevelType w:val="hybridMultilevel"/>
    <w:lvl w:ilvl="0">
      <w:lvlJc w:val="left"/>
      <w:lvlText w:val="%1."/>
      <w:numFmt w:val="decimal"/>
      <w:start w:val="15"/>
    </w:lvl>
    <w:lvl w:ilvl="1">
      <w:lvlJc w:val="left"/>
      <w:lvlText w:val="(%2)"/>
      <w:numFmt w:val="lowerLetter"/>
      <w:start w:val="1"/>
    </w:lvl>
  </w:abstractNum>
  <w:abstractNum w:abstractNumId="58">
    <w:nsid w:val="4AD084E9"/>
    <w:multiLevelType w:val="hybridMultilevel"/>
    <w:lvl w:ilvl="0">
      <w:lvlJc w:val="left"/>
      <w:lvlText w:val="%1"/>
      <w:numFmt w:val="decimal"/>
      <w:start w:val="1"/>
    </w:lvl>
    <w:lvl w:ilvl="1">
      <w:lvlJc w:val="left"/>
      <w:lvlText w:val="(%2)"/>
      <w:numFmt w:val="lowerLetter"/>
      <w:start w:val="3"/>
    </w:lvl>
  </w:abstractNum>
  <w:abstractNum w:abstractNumId="59">
    <w:nsid w:val="1F48EAA1"/>
    <w:multiLevelType w:val="hybridMultilevel"/>
    <w:lvl w:ilvl="0">
      <w:lvlJc w:val="left"/>
      <w:lvlText w:val="%1."/>
      <w:numFmt w:val="decimal"/>
      <w:start w:val="16"/>
    </w:lvl>
    <w:lvl w:ilvl="1">
      <w:lvlJc w:val="left"/>
      <w:lvlText w:val="%2"/>
      <w:numFmt w:val="lowerLetter"/>
      <w:start w:val="1"/>
    </w:lvl>
  </w:abstractNum>
  <w:abstractNum w:abstractNumId="60">
    <w:nsid w:val="1381823A"/>
    <w:multiLevelType w:val="hybridMultilevel"/>
    <w:lvl w:ilvl="0">
      <w:lvlJc w:val="left"/>
      <w:lvlText w:val="%1."/>
      <w:numFmt w:val="decimal"/>
      <w:start w:val="17"/>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decimal"/>
      <w:start w:val="19"/>
    </w:lvl>
  </w:abstractNum>
  <w:abstractNum w:abstractNumId="63">
    <w:nsid w:val="6590700B"/>
    <w:multiLevelType w:val="hybridMultilevel"/>
    <w:lvl w:ilvl="0">
      <w:lvlJc w:val="left"/>
      <w:lvlText w:val="%1."/>
      <w:numFmt w:val="decimal"/>
      <w:start w:val="20"/>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lowerLetter"/>
      <w:start w:val="2"/>
    </w:lvl>
  </w:abstractNum>
  <w:abstractNum w:abstractNumId="67">
    <w:nsid w:val="799D0247"/>
    <w:multiLevelType w:val="hybridMultilevel"/>
    <w:lvl w:ilvl="0">
      <w:lvlJc w:val="left"/>
      <w:lvlText w:val="%1)"/>
      <w:numFmt w:val="lowerLetter"/>
      <w:start w:val="3"/>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lowerLetter"/>
      <w:start w:val="3"/>
    </w:lvl>
  </w:abstractNum>
  <w:abstractNum w:abstractNumId="71">
    <w:nsid w:val="1EBA5D23"/>
    <w:multiLevelType w:val="hybridMultilevel"/>
    <w:lvl w:ilvl="0">
      <w:lvlJc w:val="left"/>
      <w:lvlText w:val="%1)"/>
      <w:numFmt w:val="lowerLetter"/>
      <w:start w:val="2"/>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2021-01-11T10:51:23Z</dcterms:created>
  <dcterms:modified xsi:type="dcterms:W3CDTF">2021-01-11T10:51:23Z</dcterms:modified>
</cp:coreProperties>
</file>