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9"/>
          <w:szCs w:val="19"/>
          <w:b w:val="1"/>
          <w:bCs w:val="1"/>
          <w:color w:val="auto"/>
        </w:rPr>
        <w:t>UNITED STATES</w:t>
      </w:r>
    </w:p>
    <w:p>
      <w:pPr>
        <w:spacing w:after="0" w:line="29"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SECURITIES AND EXCHANGE COMMISSION</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Washington, D.C. 20549</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11320" w:type="dxa"/>
            <w:vAlign w:val="bottom"/>
          </w:tcPr>
          <w:p>
            <w:pPr>
              <w:jc w:val="center"/>
              <w:ind w:left="585"/>
              <w:spacing w:after="0"/>
              <w:rPr>
                <w:sz w:val="20"/>
                <w:szCs w:val="20"/>
                <w:color w:val="auto"/>
              </w:rPr>
            </w:pPr>
            <w:r>
              <w:rPr>
                <w:rFonts w:ascii="Arial" w:cs="Arial" w:eastAsia="Arial" w:hAnsi="Arial"/>
                <w:sz w:val="19"/>
                <w:szCs w:val="19"/>
                <w:b w:val="1"/>
                <w:bCs w:val="1"/>
                <w:color w:val="auto"/>
                <w:w w:val="95"/>
              </w:rPr>
              <w:t>Form 6-K</w:t>
            </w:r>
          </w:p>
        </w:tc>
        <w:tc>
          <w:tcPr>
            <w:tcW w:w="720" w:type="dxa"/>
            <w:vAlign w:val="bottom"/>
          </w:tcPr>
          <w:p>
            <w:pPr>
              <w:spacing w:after="0"/>
              <w:rPr>
                <w:sz w:val="21"/>
                <w:szCs w:val="21"/>
                <w:color w:val="auto"/>
              </w:rPr>
            </w:pPr>
          </w:p>
        </w:tc>
      </w:tr>
      <w:tr>
        <w:trPr>
          <w:trHeight w:val="437"/>
        </w:trPr>
        <w:tc>
          <w:tcPr>
            <w:tcW w:w="11320" w:type="dxa"/>
            <w:vAlign w:val="bottom"/>
          </w:tcPr>
          <w:p>
            <w:pPr>
              <w:jc w:val="center"/>
              <w:ind w:left="585"/>
              <w:spacing w:after="0"/>
              <w:rPr>
                <w:sz w:val="20"/>
                <w:szCs w:val="20"/>
                <w:color w:val="auto"/>
              </w:rPr>
            </w:pPr>
            <w:r>
              <w:rPr>
                <w:rFonts w:ascii="Arial" w:cs="Arial" w:eastAsia="Arial" w:hAnsi="Arial"/>
                <w:sz w:val="19"/>
                <w:szCs w:val="19"/>
                <w:b w:val="1"/>
                <w:bCs w:val="1"/>
                <w:color w:val="auto"/>
                <w:w w:val="98"/>
              </w:rPr>
              <w:t>REPORT OF FOREIGN PRIVATE ISSUER PURSUANT TO RULE 13a-16 OR 15d-16 UNDER THE SECURITIES</w:t>
            </w:r>
          </w:p>
        </w:tc>
        <w:tc>
          <w:tcPr>
            <w:tcW w:w="720" w:type="dxa"/>
            <w:vAlign w:val="bottom"/>
          </w:tcPr>
          <w:p>
            <w:pPr>
              <w:spacing w:after="0"/>
              <w:rPr>
                <w:sz w:val="24"/>
                <w:szCs w:val="24"/>
                <w:color w:val="auto"/>
              </w:rPr>
            </w:pPr>
          </w:p>
        </w:tc>
      </w:tr>
      <w:tr>
        <w:trPr>
          <w:trHeight w:val="247"/>
        </w:trPr>
        <w:tc>
          <w:tcPr>
            <w:tcW w:w="11320" w:type="dxa"/>
            <w:vAlign w:val="bottom"/>
          </w:tcPr>
          <w:p>
            <w:pPr>
              <w:jc w:val="center"/>
              <w:ind w:left="585"/>
              <w:spacing w:after="0"/>
              <w:rPr>
                <w:sz w:val="20"/>
                <w:szCs w:val="20"/>
                <w:color w:val="auto"/>
              </w:rPr>
            </w:pPr>
            <w:r>
              <w:rPr>
                <w:rFonts w:ascii="Arial" w:cs="Arial" w:eastAsia="Arial" w:hAnsi="Arial"/>
                <w:sz w:val="19"/>
                <w:szCs w:val="19"/>
                <w:b w:val="1"/>
                <w:bCs w:val="1"/>
                <w:color w:val="auto"/>
                <w:w w:val="98"/>
              </w:rPr>
              <w:t>EXCHANGE ACT OF 1934</w:t>
            </w:r>
          </w:p>
        </w:tc>
        <w:tc>
          <w:tcPr>
            <w:tcW w:w="720" w:type="dxa"/>
            <w:vAlign w:val="bottom"/>
          </w:tcPr>
          <w:p>
            <w:pPr>
              <w:spacing w:after="0"/>
              <w:rPr>
                <w:sz w:val="21"/>
                <w:szCs w:val="21"/>
                <w:color w:val="auto"/>
              </w:rPr>
            </w:pPr>
          </w:p>
        </w:tc>
      </w:tr>
      <w:tr>
        <w:trPr>
          <w:trHeight w:val="456"/>
        </w:trPr>
        <w:tc>
          <w:tcPr>
            <w:tcW w:w="11320" w:type="dxa"/>
            <w:vAlign w:val="bottom"/>
          </w:tcPr>
          <w:p>
            <w:pPr>
              <w:spacing w:after="0"/>
              <w:rPr>
                <w:sz w:val="20"/>
                <w:szCs w:val="20"/>
                <w:color w:val="auto"/>
              </w:rPr>
            </w:pPr>
            <w:r>
              <w:rPr>
                <w:rFonts w:ascii="Arial" w:cs="Arial" w:eastAsia="Arial" w:hAnsi="Arial"/>
                <w:sz w:val="19"/>
                <w:szCs w:val="19"/>
                <w:color w:val="auto"/>
              </w:rPr>
              <w:t>For the month of February 2019</w:t>
            </w:r>
          </w:p>
        </w:tc>
        <w:tc>
          <w:tcPr>
            <w:tcW w:w="720" w:type="dxa"/>
            <w:vAlign w:val="bottom"/>
          </w:tcPr>
          <w:p>
            <w:pPr>
              <w:spacing w:after="0"/>
              <w:rPr>
                <w:sz w:val="24"/>
                <w:szCs w:val="24"/>
                <w:color w:val="auto"/>
              </w:rPr>
            </w:pPr>
          </w:p>
        </w:tc>
      </w:tr>
      <w:tr>
        <w:trPr>
          <w:trHeight w:val="456"/>
        </w:trPr>
        <w:tc>
          <w:tcPr>
            <w:tcW w:w="11320" w:type="dxa"/>
            <w:vAlign w:val="bottom"/>
          </w:tcPr>
          <w:p>
            <w:pPr>
              <w:spacing w:after="0"/>
              <w:rPr>
                <w:sz w:val="20"/>
                <w:szCs w:val="20"/>
                <w:color w:val="auto"/>
              </w:rPr>
            </w:pPr>
            <w:r>
              <w:rPr>
                <w:rFonts w:ascii="Arial" w:cs="Arial" w:eastAsia="Arial" w:hAnsi="Arial"/>
                <w:sz w:val="19"/>
                <w:szCs w:val="19"/>
                <w:color w:val="auto"/>
              </w:rPr>
              <w:t>Commission File Number 001-35466</w:t>
            </w:r>
          </w:p>
        </w:tc>
        <w:tc>
          <w:tcPr>
            <w:tcW w:w="720" w:type="dxa"/>
            <w:vAlign w:val="bottom"/>
          </w:tcPr>
          <w:p>
            <w:pPr>
              <w:spacing w:after="0"/>
              <w:rPr>
                <w:sz w:val="24"/>
                <w:szCs w:val="24"/>
                <w:color w:val="auto"/>
              </w:rPr>
            </w:pPr>
          </w:p>
        </w:tc>
      </w:tr>
      <w:tr>
        <w:trPr>
          <w:trHeight w:val="443"/>
        </w:trPr>
        <w:tc>
          <w:tcPr>
            <w:tcW w:w="11320" w:type="dxa"/>
            <w:vAlign w:val="bottom"/>
          </w:tcPr>
          <w:p>
            <w:pPr>
              <w:jc w:val="center"/>
              <w:ind w:left="565"/>
              <w:spacing w:after="0"/>
              <w:rPr>
                <w:sz w:val="20"/>
                <w:szCs w:val="20"/>
                <w:color w:val="auto"/>
              </w:rPr>
            </w:pPr>
            <w:r>
              <w:rPr>
                <w:rFonts w:ascii="Arial" w:cs="Arial" w:eastAsia="Arial" w:hAnsi="Arial"/>
                <w:sz w:val="19"/>
                <w:szCs w:val="19"/>
                <w:b w:val="1"/>
                <w:bCs w:val="1"/>
                <w:color w:val="auto"/>
                <w:w w:val="92"/>
              </w:rPr>
              <w:t>GasLog Ltd</w:t>
            </w:r>
          </w:p>
        </w:tc>
        <w:tc>
          <w:tcPr>
            <w:tcW w:w="720" w:type="dxa"/>
            <w:vAlign w:val="bottom"/>
          </w:tcPr>
          <w:p>
            <w:pPr>
              <w:spacing w:after="0"/>
              <w:rPr>
                <w:sz w:val="24"/>
                <w:szCs w:val="24"/>
                <w:color w:val="auto"/>
              </w:rPr>
            </w:pPr>
          </w:p>
        </w:tc>
      </w:tr>
      <w:tr>
        <w:trPr>
          <w:trHeight w:val="241"/>
        </w:trPr>
        <w:tc>
          <w:tcPr>
            <w:tcW w:w="11320" w:type="dxa"/>
            <w:vAlign w:val="bottom"/>
          </w:tcPr>
          <w:p>
            <w:pPr>
              <w:jc w:val="center"/>
              <w:ind w:left="585"/>
              <w:spacing w:after="0"/>
              <w:rPr>
                <w:sz w:val="20"/>
                <w:szCs w:val="20"/>
                <w:color w:val="auto"/>
              </w:rPr>
            </w:pPr>
            <w:r>
              <w:rPr>
                <w:rFonts w:ascii="Arial" w:cs="Arial" w:eastAsia="Arial" w:hAnsi="Arial"/>
                <w:sz w:val="19"/>
                <w:szCs w:val="19"/>
                <w:color w:val="auto"/>
                <w:w w:val="92"/>
              </w:rPr>
              <w:t>(Translation of registrant’s name into English)</w:t>
            </w:r>
          </w:p>
        </w:tc>
        <w:tc>
          <w:tcPr>
            <w:tcW w:w="720" w:type="dxa"/>
            <w:vAlign w:val="bottom"/>
          </w:tcPr>
          <w:p>
            <w:pPr>
              <w:spacing w:after="0"/>
              <w:rPr>
                <w:sz w:val="20"/>
                <w:szCs w:val="20"/>
                <w:color w:val="auto"/>
              </w:rPr>
            </w:pPr>
          </w:p>
        </w:tc>
      </w:tr>
      <w:tr>
        <w:trPr>
          <w:trHeight w:val="443"/>
        </w:trPr>
        <w:tc>
          <w:tcPr>
            <w:tcW w:w="11320" w:type="dxa"/>
            <w:vAlign w:val="bottom"/>
          </w:tcPr>
          <w:p>
            <w:pPr>
              <w:jc w:val="center"/>
              <w:ind w:left="585"/>
              <w:spacing w:after="0"/>
              <w:rPr>
                <w:sz w:val="20"/>
                <w:szCs w:val="20"/>
                <w:color w:val="auto"/>
              </w:rPr>
            </w:pPr>
            <w:r>
              <w:rPr>
                <w:rFonts w:ascii="Arial" w:cs="Arial" w:eastAsia="Arial" w:hAnsi="Arial"/>
                <w:sz w:val="19"/>
                <w:szCs w:val="19"/>
                <w:color w:val="auto"/>
                <w:w w:val="91"/>
              </w:rPr>
              <w:t>Gildo Pastor Center</w:t>
            </w:r>
          </w:p>
        </w:tc>
        <w:tc>
          <w:tcPr>
            <w:tcW w:w="720" w:type="dxa"/>
            <w:vAlign w:val="bottom"/>
          </w:tcPr>
          <w:p>
            <w:pPr>
              <w:spacing w:after="0"/>
              <w:rPr>
                <w:sz w:val="24"/>
                <w:szCs w:val="24"/>
                <w:color w:val="auto"/>
              </w:rPr>
            </w:pPr>
          </w:p>
        </w:tc>
      </w:tr>
      <w:tr>
        <w:trPr>
          <w:trHeight w:val="228"/>
        </w:trPr>
        <w:tc>
          <w:tcPr>
            <w:tcW w:w="11320" w:type="dxa"/>
            <w:vAlign w:val="bottom"/>
          </w:tcPr>
          <w:p>
            <w:pPr>
              <w:jc w:val="center"/>
              <w:ind w:left="585"/>
              <w:spacing w:after="0"/>
              <w:rPr>
                <w:sz w:val="20"/>
                <w:szCs w:val="20"/>
                <w:color w:val="auto"/>
              </w:rPr>
            </w:pPr>
            <w:r>
              <w:rPr>
                <w:rFonts w:ascii="Arial" w:cs="Arial" w:eastAsia="Arial" w:hAnsi="Arial"/>
                <w:sz w:val="19"/>
                <w:szCs w:val="19"/>
                <w:color w:val="auto"/>
                <w:w w:val="89"/>
              </w:rPr>
              <w:t>7 Rue du Gabian</w:t>
            </w:r>
          </w:p>
        </w:tc>
        <w:tc>
          <w:tcPr>
            <w:tcW w:w="720" w:type="dxa"/>
            <w:vAlign w:val="bottom"/>
          </w:tcPr>
          <w:p>
            <w:pPr>
              <w:spacing w:after="0"/>
              <w:rPr>
                <w:sz w:val="19"/>
                <w:szCs w:val="19"/>
                <w:color w:val="auto"/>
              </w:rPr>
            </w:pPr>
          </w:p>
        </w:tc>
      </w:tr>
      <w:tr>
        <w:trPr>
          <w:trHeight w:val="228"/>
        </w:trPr>
        <w:tc>
          <w:tcPr>
            <w:tcW w:w="11320" w:type="dxa"/>
            <w:vAlign w:val="bottom"/>
          </w:tcPr>
          <w:p>
            <w:pPr>
              <w:jc w:val="center"/>
              <w:ind w:left="585"/>
              <w:spacing w:after="0"/>
              <w:rPr>
                <w:sz w:val="20"/>
                <w:szCs w:val="20"/>
                <w:color w:val="auto"/>
              </w:rPr>
            </w:pPr>
            <w:r>
              <w:rPr>
                <w:rFonts w:ascii="Arial" w:cs="Arial" w:eastAsia="Arial" w:hAnsi="Arial"/>
                <w:sz w:val="19"/>
                <w:szCs w:val="19"/>
                <w:color w:val="auto"/>
                <w:w w:val="91"/>
              </w:rPr>
              <w:t>MC 98000, Monaco</w:t>
            </w:r>
          </w:p>
        </w:tc>
        <w:tc>
          <w:tcPr>
            <w:tcW w:w="720" w:type="dxa"/>
            <w:vAlign w:val="bottom"/>
          </w:tcPr>
          <w:p>
            <w:pPr>
              <w:spacing w:after="0"/>
              <w:rPr>
                <w:sz w:val="19"/>
                <w:szCs w:val="19"/>
                <w:color w:val="auto"/>
              </w:rPr>
            </w:pPr>
          </w:p>
        </w:tc>
      </w:tr>
      <w:tr>
        <w:trPr>
          <w:trHeight w:val="241"/>
        </w:trPr>
        <w:tc>
          <w:tcPr>
            <w:tcW w:w="11320" w:type="dxa"/>
            <w:vAlign w:val="bottom"/>
          </w:tcPr>
          <w:p>
            <w:pPr>
              <w:jc w:val="center"/>
              <w:ind w:left="565"/>
              <w:spacing w:after="0"/>
              <w:rPr>
                <w:sz w:val="20"/>
                <w:szCs w:val="20"/>
                <w:color w:val="auto"/>
              </w:rPr>
            </w:pPr>
            <w:r>
              <w:rPr>
                <w:rFonts w:ascii="Arial" w:cs="Arial" w:eastAsia="Arial" w:hAnsi="Arial"/>
                <w:sz w:val="19"/>
                <w:szCs w:val="19"/>
                <w:color w:val="auto"/>
                <w:w w:val="93"/>
              </w:rPr>
              <w:t>(Address of principal executive office)</w:t>
            </w:r>
          </w:p>
        </w:tc>
        <w:tc>
          <w:tcPr>
            <w:tcW w:w="720" w:type="dxa"/>
            <w:vAlign w:val="bottom"/>
          </w:tcPr>
          <w:p>
            <w:pPr>
              <w:spacing w:after="0"/>
              <w:rPr>
                <w:sz w:val="20"/>
                <w:szCs w:val="20"/>
                <w:color w:val="auto"/>
              </w:rPr>
            </w:pPr>
          </w:p>
        </w:tc>
      </w:tr>
      <w:tr>
        <w:trPr>
          <w:trHeight w:val="456"/>
        </w:trPr>
        <w:tc>
          <w:tcPr>
            <w:tcW w:w="11320" w:type="dxa"/>
            <w:vAlign w:val="bottom"/>
          </w:tcPr>
          <w:p>
            <w:pPr>
              <w:spacing w:after="0"/>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w:t>
            </w:r>
          </w:p>
        </w:tc>
        <w:tc>
          <w:tcPr>
            <w:tcW w:w="720" w:type="dxa"/>
            <w:vAlign w:val="bottom"/>
          </w:tcPr>
          <w:p>
            <w:pPr>
              <w:spacing w:after="0"/>
              <w:rPr>
                <w:sz w:val="24"/>
                <w:szCs w:val="24"/>
                <w:color w:val="auto"/>
              </w:rPr>
            </w:pPr>
          </w:p>
        </w:tc>
      </w:tr>
      <w:tr>
        <w:trPr>
          <w:trHeight w:val="456"/>
        </w:trPr>
        <w:tc>
          <w:tcPr>
            <w:tcW w:w="11320" w:type="dxa"/>
            <w:vAlign w:val="bottom"/>
          </w:tcPr>
          <w:p>
            <w:pPr>
              <w:spacing w:after="0"/>
              <w:rPr>
                <w:sz w:val="20"/>
                <w:szCs w:val="20"/>
                <w:color w:val="auto"/>
              </w:rPr>
            </w:pPr>
            <w:r>
              <w:rPr>
                <w:rFonts w:ascii="Arial" w:cs="Arial" w:eastAsia="Arial" w:hAnsi="Arial"/>
                <w:sz w:val="19"/>
                <w:szCs w:val="19"/>
                <w:color w:val="auto"/>
              </w:rPr>
              <w:t>Form 20-F þ  Form 40-F o</w:t>
            </w:r>
          </w:p>
        </w:tc>
        <w:tc>
          <w:tcPr>
            <w:tcW w:w="720" w:type="dxa"/>
            <w:vAlign w:val="bottom"/>
          </w:tcPr>
          <w:p>
            <w:pPr>
              <w:spacing w:after="0"/>
              <w:rPr>
                <w:sz w:val="24"/>
                <w:szCs w:val="24"/>
                <w:color w:val="auto"/>
              </w:rPr>
            </w:pPr>
          </w:p>
        </w:tc>
      </w:tr>
      <w:tr>
        <w:trPr>
          <w:trHeight w:val="456"/>
        </w:trPr>
        <w:tc>
          <w:tcPr>
            <w:tcW w:w="11320" w:type="dxa"/>
            <w:vAlign w:val="bottom"/>
          </w:tcPr>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w:t>
            </w:r>
          </w:p>
        </w:tc>
        <w:tc>
          <w:tcPr>
            <w:tcW w:w="720" w:type="dxa"/>
            <w:vAlign w:val="bottom"/>
          </w:tcPr>
          <w:p>
            <w:pPr>
              <w:ind w:left="580"/>
              <w:spacing w:after="0"/>
              <w:rPr>
                <w:sz w:val="20"/>
                <w:szCs w:val="20"/>
                <w:color w:val="auto"/>
              </w:rPr>
            </w:pPr>
            <w:r>
              <w:rPr>
                <w:rFonts w:ascii="Arial" w:cs="Arial" w:eastAsia="Arial" w:hAnsi="Arial"/>
                <w:sz w:val="19"/>
                <w:szCs w:val="19"/>
                <w:color w:val="auto"/>
              </w:rPr>
              <w:t>o</w:t>
            </w:r>
          </w:p>
        </w:tc>
      </w:tr>
      <w:tr>
        <w:trPr>
          <w:trHeight w:val="456"/>
        </w:trPr>
        <w:tc>
          <w:tcPr>
            <w:tcW w:w="11320" w:type="dxa"/>
            <w:vAlign w:val="bottom"/>
          </w:tcPr>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w:t>
            </w:r>
          </w:p>
        </w:tc>
        <w:tc>
          <w:tcPr>
            <w:tcW w:w="720" w:type="dxa"/>
            <w:vAlign w:val="bottom"/>
          </w:tcPr>
          <w:p>
            <w:pPr>
              <w:ind w:left="580"/>
              <w:spacing w:after="0"/>
              <w:rPr>
                <w:sz w:val="20"/>
                <w:szCs w:val="20"/>
                <w:color w:val="auto"/>
              </w:rPr>
            </w:pPr>
            <w:r>
              <w:rPr>
                <w:rFonts w:ascii="Arial" w:cs="Arial" w:eastAsia="Arial" w:hAnsi="Arial"/>
                <w:sz w:val="19"/>
                <w:szCs w:val="19"/>
                <w:color w:val="auto"/>
              </w:rPr>
              <w:t>o</w:t>
            </w:r>
          </w:p>
        </w:tc>
      </w:tr>
      <w:tr>
        <w:trPr>
          <w:trHeight w:val="369"/>
        </w:trPr>
        <w:tc>
          <w:tcPr>
            <w:tcW w:w="113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322" w:right="80" w:bottom="1440" w:gutter="0" w:footer="0" w:header="0"/>
        </w:sectPr>
      </w:pPr>
    </w:p>
    <w:bookmarkStart w:id="1" w:name="page2"/>
    <w:bookmarkEnd w:id="1"/>
    <w:p>
      <w:pPr>
        <w:ind w:left="400"/>
        <w:spacing w:after="0"/>
        <w:rPr>
          <w:sz w:val="20"/>
          <w:szCs w:val="20"/>
          <w:color w:val="auto"/>
        </w:rPr>
      </w:pPr>
      <w:r>
        <w:rPr>
          <w:rFonts w:ascii="Arial" w:cs="Arial" w:eastAsia="Arial" w:hAnsi="Arial"/>
          <w:sz w:val="17"/>
          <w:szCs w:val="17"/>
          <w:color w:val="auto"/>
        </w:rPr>
        <w:t>The press release issued by GasLog Ltd on February 14, 2019 relating to its 2019 Annual General Meeting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00"/>
        <w:spacing w:after="0"/>
        <w:rPr>
          <w:sz w:val="20"/>
          <w:szCs w:val="20"/>
          <w:color w:val="auto"/>
        </w:rPr>
      </w:pPr>
      <w:r>
        <w:rPr>
          <w:rFonts w:ascii="Arial" w:cs="Arial" w:eastAsia="Arial" w:hAnsi="Arial"/>
          <w:sz w:val="19"/>
          <w:szCs w:val="19"/>
          <w:color w:val="auto"/>
        </w:rPr>
        <w:t>EXHIBIT LIST</w:t>
      </w:r>
    </w:p>
    <w:p>
      <w:pPr>
        <w:spacing w:after="0" w:line="238" w:lineRule="exact"/>
        <w:rPr>
          <w:sz w:val="20"/>
          <w:szCs w:val="20"/>
          <w:color w:val="auto"/>
        </w:rPr>
      </w:pPr>
    </w:p>
    <w:p>
      <w:pPr>
        <w:spacing w:after="0"/>
        <w:tabs>
          <w:tab w:leader="none" w:pos="1160" w:val="left"/>
        </w:tabs>
        <w:rPr>
          <w:sz w:val="20"/>
          <w:szCs w:val="20"/>
          <w:color w:val="auto"/>
        </w:rPr>
      </w:pPr>
      <w:r>
        <w:rPr>
          <w:rFonts w:ascii="Arial" w:cs="Arial" w:eastAsia="Arial" w:hAnsi="Arial"/>
          <w:sz w:val="19"/>
          <w:szCs w:val="19"/>
          <w:color w:val="auto"/>
        </w:rPr>
        <w:t>Exhibit</w:t>
      </w:r>
      <w:r>
        <w:rPr>
          <w:sz w:val="20"/>
          <w:szCs w:val="20"/>
          <w:color w:val="auto"/>
        </w:rPr>
        <w:tab/>
      </w:r>
      <w:r>
        <w:rPr>
          <w:rFonts w:ascii="Arial" w:cs="Arial" w:eastAsia="Arial" w:hAnsi="Arial"/>
          <w:sz w:val="19"/>
          <w:szCs w:val="19"/>
          <w:color w:val="auto"/>
        </w:rPr>
        <w:t>Description</w:t>
      </w:r>
    </w:p>
    <w:p>
      <w:pPr>
        <w:spacing w:after="0" w:line="238" w:lineRule="exact"/>
        <w:rPr>
          <w:sz w:val="20"/>
          <w:szCs w:val="20"/>
          <w:color w:val="auto"/>
        </w:rPr>
      </w:pPr>
    </w:p>
    <w:p>
      <w:pPr>
        <w:spacing w:after="0"/>
        <w:tabs>
          <w:tab w:leader="none" w:pos="1160" w:val="left"/>
        </w:tabs>
        <w:rPr>
          <w:sz w:val="20"/>
          <w:szCs w:val="20"/>
          <w:color w:val="auto"/>
        </w:rPr>
      </w:pPr>
      <w:r>
        <w:rPr>
          <w:rFonts w:ascii="Arial" w:cs="Arial" w:eastAsia="Arial" w:hAnsi="Arial"/>
          <w:sz w:val="19"/>
          <w:szCs w:val="19"/>
          <w:color w:val="auto"/>
        </w:rPr>
        <w:t>99.1</w:t>
      </w:r>
      <w:r>
        <w:rPr>
          <w:sz w:val="20"/>
          <w:szCs w:val="20"/>
          <w:color w:val="auto"/>
        </w:rPr>
        <w:tab/>
      </w:r>
      <w:r>
        <w:rPr>
          <w:rFonts w:ascii="Arial" w:cs="Arial" w:eastAsia="Arial" w:hAnsi="Arial"/>
          <w:sz w:val="16"/>
          <w:szCs w:val="16"/>
          <w:color w:val="auto"/>
        </w:rPr>
        <w:t>Press Release Dated February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646670" cy="31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140"/>
          </w:cols>
          <w:pgMar w:left="120" w:top="213" w:right="980"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9"/>
          <w:szCs w:val="19"/>
          <w:color w:val="auto"/>
        </w:rPr>
        <w:t>SIGNATURES</w:t>
      </w:r>
    </w:p>
    <w:p>
      <w:pPr>
        <w:spacing w:after="0" w:line="238" w:lineRule="exact"/>
        <w:rPr>
          <w:sz w:val="20"/>
          <w:szCs w:val="20"/>
          <w:color w:val="auto"/>
        </w:rPr>
      </w:pPr>
    </w:p>
    <w:p>
      <w:pPr>
        <w:ind w:right="800" w:firstLine="397"/>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Date: February 14, 2019</w:t>
      </w:r>
    </w:p>
    <w:p>
      <w:pPr>
        <w:spacing w:after="0" w:line="238" w:lineRule="exact"/>
        <w:rPr>
          <w:sz w:val="20"/>
          <w:szCs w:val="20"/>
          <w:color w:val="auto"/>
        </w:rPr>
      </w:pPr>
    </w:p>
    <w:p>
      <w:pPr>
        <w:ind w:left="6120"/>
        <w:spacing w:after="0"/>
        <w:rPr>
          <w:sz w:val="20"/>
          <w:szCs w:val="20"/>
          <w:color w:val="auto"/>
        </w:rPr>
      </w:pPr>
      <w:r>
        <w:rPr>
          <w:rFonts w:ascii="Arial" w:cs="Arial" w:eastAsia="Arial" w:hAnsi="Arial"/>
          <w:sz w:val="19"/>
          <w:szCs w:val="19"/>
          <w:color w:val="auto"/>
        </w:rPr>
        <w:t>GASLOG LTD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920" w:type="dxa"/>
            <w:vAlign w:val="bottom"/>
          </w:tcPr>
          <w:p>
            <w:pPr>
              <w:ind w:left="6400"/>
              <w:spacing w:after="0"/>
              <w:rPr>
                <w:sz w:val="20"/>
                <w:szCs w:val="20"/>
                <w:color w:val="auto"/>
              </w:rPr>
            </w:pPr>
            <w:r>
              <w:rPr>
                <w:rFonts w:ascii="Arial" w:cs="Arial" w:eastAsia="Arial" w:hAnsi="Arial"/>
                <w:sz w:val="19"/>
                <w:szCs w:val="19"/>
                <w:color w:val="auto"/>
              </w:rPr>
              <w:t>by</w:t>
            </w:r>
          </w:p>
        </w:tc>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Paul A. Wogan</w:t>
            </w:r>
          </w:p>
        </w:tc>
        <w:tc>
          <w:tcPr>
            <w:tcW w:w="40" w:type="dxa"/>
            <w:vAlign w:val="bottom"/>
          </w:tcPr>
          <w:p>
            <w:pPr>
              <w:spacing w:after="0"/>
              <w:rPr>
                <w:sz w:val="21"/>
                <w:szCs w:val="21"/>
                <w:color w:val="auto"/>
              </w:rPr>
            </w:pPr>
          </w:p>
        </w:tc>
      </w:tr>
      <w:tr>
        <w:trPr>
          <w:trHeight w:val="209"/>
        </w:trPr>
        <w:tc>
          <w:tcPr>
            <w:tcW w:w="6920" w:type="dxa"/>
            <w:vAlign w:val="bottom"/>
          </w:tcPr>
          <w:p>
            <w:pPr>
              <w:spacing w:after="0"/>
              <w:rPr>
                <w:sz w:val="18"/>
                <w:szCs w:val="18"/>
                <w:color w:val="auto"/>
              </w:rPr>
            </w:pPr>
          </w:p>
        </w:tc>
        <w:tc>
          <w:tcPr>
            <w:tcW w:w="640" w:type="dxa"/>
            <w:vAlign w:val="bottom"/>
          </w:tcPr>
          <w:p>
            <w:pPr>
              <w:spacing w:after="0" w:line="209" w:lineRule="exact"/>
              <w:rPr>
                <w:sz w:val="20"/>
                <w:szCs w:val="20"/>
                <w:color w:val="auto"/>
              </w:rPr>
            </w:pPr>
            <w:r>
              <w:rPr>
                <w:rFonts w:ascii="Arial" w:cs="Arial" w:eastAsia="Arial" w:hAnsi="Arial"/>
                <w:sz w:val="19"/>
                <w:szCs w:val="19"/>
                <w:color w:val="auto"/>
              </w:rPr>
              <w:t>Name:</w:t>
            </w:r>
          </w:p>
        </w:tc>
        <w:tc>
          <w:tcPr>
            <w:tcW w:w="4440" w:type="dxa"/>
            <w:vAlign w:val="bottom"/>
          </w:tcPr>
          <w:p>
            <w:pPr>
              <w:ind w:left="140"/>
              <w:spacing w:after="0" w:line="209" w:lineRule="exact"/>
              <w:rPr>
                <w:sz w:val="20"/>
                <w:szCs w:val="20"/>
                <w:color w:val="auto"/>
              </w:rPr>
            </w:pPr>
            <w:r>
              <w:rPr>
                <w:rFonts w:ascii="Arial" w:cs="Arial" w:eastAsia="Arial" w:hAnsi="Arial"/>
                <w:sz w:val="19"/>
                <w:szCs w:val="19"/>
                <w:color w:val="auto"/>
              </w:rPr>
              <w:t>Paul A. Wogan</w:t>
            </w:r>
          </w:p>
        </w:tc>
        <w:tc>
          <w:tcPr>
            <w:tcW w:w="40" w:type="dxa"/>
            <w:vAlign w:val="bottom"/>
          </w:tcPr>
          <w:p>
            <w:pPr>
              <w:spacing w:after="0"/>
              <w:rPr>
                <w:sz w:val="18"/>
                <w:szCs w:val="18"/>
                <w:color w:val="auto"/>
              </w:rPr>
            </w:pPr>
          </w:p>
        </w:tc>
      </w:tr>
      <w:tr>
        <w:trPr>
          <w:trHeight w:val="241"/>
        </w:trPr>
        <w:tc>
          <w:tcPr>
            <w:tcW w:w="69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9"/>
                <w:szCs w:val="19"/>
                <w:color w:val="auto"/>
              </w:rPr>
              <w:t>Title:</w:t>
            </w:r>
          </w:p>
        </w:tc>
        <w:tc>
          <w:tcPr>
            <w:tcW w:w="4440" w:type="dxa"/>
            <w:vAlign w:val="bottom"/>
          </w:tcPr>
          <w:p>
            <w:pPr>
              <w:ind w:left="140"/>
              <w:spacing w:after="0"/>
              <w:rPr>
                <w:sz w:val="20"/>
                <w:szCs w:val="20"/>
                <w:color w:val="auto"/>
              </w:rPr>
            </w:pPr>
            <w:r>
              <w:rPr>
                <w:rFonts w:ascii="Arial" w:cs="Arial" w:eastAsia="Arial" w:hAnsi="Arial"/>
                <w:sz w:val="19"/>
                <w:szCs w:val="19"/>
                <w:color w:val="auto"/>
              </w:rPr>
              <w:t>Chief Executive Officer</w:t>
            </w:r>
          </w:p>
        </w:tc>
        <w:tc>
          <w:tcPr>
            <w:tcW w:w="40" w:type="dxa"/>
            <w:vAlign w:val="bottom"/>
          </w:tcPr>
          <w:p>
            <w:pPr>
              <w:spacing w:after="0"/>
              <w:rPr>
                <w:sz w:val="20"/>
                <w:szCs w:val="20"/>
                <w:color w:val="auto"/>
              </w:rPr>
            </w:pPr>
          </w:p>
        </w:tc>
      </w:tr>
      <w:tr>
        <w:trPr>
          <w:trHeight w:val="369"/>
        </w:trPr>
        <w:tc>
          <w:tcPr>
            <w:tcW w:w="69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3" w:right="80"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GasLog Ltd. Announces 2019 Annual General Meeting</w:t>
      </w:r>
    </w:p>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18"/>
          <w:szCs w:val="18"/>
          <w:b w:val="1"/>
          <w:bCs w:val="1"/>
          <w:color w:val="auto"/>
        </w:rPr>
        <w:t xml:space="preserve">MONACO – February 14, 2019 </w:t>
      </w:r>
      <w:r>
        <w:rPr>
          <w:rFonts w:ascii="Arial" w:cs="Arial" w:eastAsia="Arial" w:hAnsi="Arial"/>
          <w:sz w:val="18"/>
          <w:szCs w:val="18"/>
          <w:color w:val="auto"/>
        </w:rPr>
        <w:t>– GasLog Ltd. (“GasLog”) (NYSE: GLOG), an international owner, operator and manager of liquefied natural gas</w:t>
      </w:r>
      <w:r>
        <w:rPr>
          <w:rFonts w:ascii="Arial" w:cs="Arial" w:eastAsia="Arial" w:hAnsi="Arial"/>
          <w:sz w:val="18"/>
          <w:szCs w:val="18"/>
          <w:b w:val="1"/>
          <w:bCs w:val="1"/>
          <w:color w:val="auto"/>
        </w:rPr>
        <w:t xml:space="preserve"> </w:t>
      </w:r>
      <w:r>
        <w:rPr>
          <w:rFonts w:ascii="Arial" w:cs="Arial" w:eastAsia="Arial" w:hAnsi="Arial"/>
          <w:sz w:val="18"/>
          <w:szCs w:val="18"/>
          <w:color w:val="auto"/>
        </w:rPr>
        <w:t>(“LNG”) carriers, announced today that its Board of Directors has called an annual general meeting to be held in Monaco on Friday, May 10, 2019.</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Shareholders of record at the close of business on Friday, March 15, 2019, will be entitled to receive notice of, and to vote at, the annual general meeting and at any adjournments or postponements thereof.</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Formal notice of the meeting and GasLog’s proxy statement will be sent to shareholders of the Company in due course.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GasLog Ltd.</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GasLog is an international owner, operator and manager of LNG carriers providing support to international energy companies as part of their LNG logistics chain. GasLog’s consolidated owned fleet consists of 34 LNG carriers (25 ships on the water and nine on order). GasLog also has an additional LNG carrier which was sold to a subsidiary of Mitsui &amp; Co. Ltd. and leased back under a long-term bareboat charter. GasLog’s consolidated fleet currently includes 14 LNG carriers in operation owned by GasLog Partners. GasLog’s principal executive offices are at Gildo Pastor Center, 7 Rue du Gabian, MC 98000, Monaco. Visit GasLog’s website at http://www.gaslogltd.com.</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Contacts:</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Head of Investor Relations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Phone: +44-203-388-3116</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Email: ir@gaslogltd.com</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Deputy Head of Investor Relations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Phone: +1-212-223-0643</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Email: 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646670" cy="31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sectPr>
      <w:pgSz w:w="12240" w:h="15840" w:orient="portrait"/>
      <w:cols w:equalWidth="0" w:num="1">
        <w:col w:w="12000"/>
      </w:cols>
      <w:pgMar w:left="120" w:top="0"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2019-11-26T07:06:59Z</dcterms:created>
  <dcterms:modified xsi:type="dcterms:W3CDTF">2019-11-26T07:06:59Z</dcterms:modified>
</cp:coreProperties>
</file>