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May 2016</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2"/>
              </w:rPr>
              <w:t>c/o GasLog Monaco S.A.M.</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Form 20-F  þ  Form 40-F o</w:t>
            </w:r>
          </w:p>
        </w:tc>
        <w:tc>
          <w:tcPr>
            <w:tcW w:w="1400" w:type="dxa"/>
            <w:vAlign w:val="bottom"/>
          </w:tcPr>
          <w:p>
            <w:pPr>
              <w:spacing w:after="0"/>
              <w:rPr>
                <w:sz w:val="24"/>
                <w:szCs w:val="24"/>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277"/>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right="160" w:firstLine="324"/>
        <w:spacing w:after="0" w:line="277" w:lineRule="auto"/>
        <w:rPr>
          <w:sz w:val="20"/>
          <w:szCs w:val="20"/>
          <w:color w:val="auto"/>
        </w:rPr>
      </w:pPr>
      <w:r>
        <w:rPr>
          <w:rFonts w:ascii="Arial" w:cs="Arial" w:eastAsia="Arial" w:hAnsi="Arial"/>
          <w:sz w:val="18"/>
          <w:szCs w:val="18"/>
          <w:color w:val="auto"/>
        </w:rPr>
        <w:t>The press release issued by GasLog Ltd. on May 6, 2016 relating to its results for the first quarter of 2016 and the related financial report are attached hereto as Exhibits 99.1 and 99.2, respectively.</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Exhibit 99.2 to this Report on Form 6-K shall be incorporated by reference into our registration statements on Form F-3 (File Nos. 333-188817, 333-194894 and 333-210169),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6, 2016</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Financial Report for the Three Months Ended March 31, 2016</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Management’s Discussion and Analysis of Financial Condition and Results of Operation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Unaudited Condensed Consolidated Financial Statements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0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Wogan</w:t>
      </w:r>
    </w:p>
    <w:p>
      <w:pPr>
        <w:spacing w:after="0" w:line="2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740"/>
        <w:spacing w:after="0"/>
        <w:tabs>
          <w:tab w:leader="none" w:pos="7360" w:val="left"/>
        </w:tabs>
        <w:rPr>
          <w:sz w:val="20"/>
          <w:szCs w:val="20"/>
          <w:color w:val="auto"/>
        </w:rPr>
      </w:pPr>
      <w:r>
        <w:rPr>
          <w:rFonts w:ascii="Arial" w:cs="Arial" w:eastAsia="Arial" w:hAnsi="Arial"/>
          <w:sz w:val="18"/>
          <w:szCs w:val="18"/>
          <w:color w:val="auto"/>
        </w:rPr>
        <w:t>Title:</w:t>
        <w:tab/>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00"/>
          </w:cols>
          <w:pgMar w:left="240" w:top="409"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Ended March 31, 2016</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Monaco, May 6, 2016, GasLog Ltd. and its subsidiaries (“GasLog” or “Group” or “Company”) (NYSE: GLOG)</w:t>
      </w:r>
      <w:r>
        <w:rPr>
          <w:rFonts w:ascii="Arial" w:cs="Arial" w:eastAsia="Arial" w:hAnsi="Arial"/>
          <w:sz w:val="18"/>
          <w:szCs w:val="18"/>
          <w:color w:val="auto"/>
        </w:rPr>
        <w:t>, an international owner, operator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of liquefied natural gas (“LNG”) carriers, today reported its financial results for the quarter ended March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29"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Signed a $575.2 million refinancing for all of GasLog’s 2016 and 2017 debt maturities that was completed in April 2016.</w:t>
      </w:r>
    </w:p>
    <w:p>
      <w:pPr>
        <w:spacing w:after="0" w:line="225" w:lineRule="exact"/>
        <w:rPr>
          <w:rFonts w:ascii="Arial" w:cs="Arial" w:eastAsia="Arial" w:hAnsi="Arial"/>
          <w:sz w:val="18"/>
          <w:szCs w:val="18"/>
          <w:color w:val="auto"/>
        </w:rPr>
      </w:pPr>
    </w:p>
    <w:p>
      <w:pPr>
        <w:ind w:left="700" w:right="60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a subsidiary of Mitsui Co. Ltd. (“Mitsui”), thereby entering the Japanese financing market.</w:t>
      </w:r>
    </w:p>
    <w:p>
      <w:pPr>
        <w:spacing w:after="0" w:line="170" w:lineRule="exact"/>
        <w:rPr>
          <w:rFonts w:ascii="Arial" w:cs="Arial" w:eastAsia="Arial" w:hAnsi="Arial"/>
          <w:sz w:val="18"/>
          <w:szCs w:val="18"/>
          <w:color w:val="auto"/>
        </w:rPr>
      </w:pPr>
    </w:p>
    <w:p>
      <w:pPr>
        <w:ind w:left="700" w:right="14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Successful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on March 29, 2016 and the commencement of its 10-year charter to a subsidiary of BG Group plc. (“BG Group”), now owned by Royal Dutch Shell plc (“Shell”).</w:t>
      </w:r>
    </w:p>
    <w:p>
      <w:pPr>
        <w:spacing w:after="0" w:line="170" w:lineRule="exact"/>
        <w:rPr>
          <w:rFonts w:ascii="Arial" w:cs="Arial" w:eastAsia="Arial" w:hAnsi="Arial"/>
          <w:sz w:val="18"/>
          <w:szCs w:val="18"/>
          <w:color w:val="auto"/>
        </w:rPr>
      </w:pPr>
    </w:p>
    <w:p>
      <w:pPr>
        <w:ind w:left="700" w:right="300" w:hanging="692"/>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a front-end engineering design study with Keppel Offshore and Marine Ltd. (“Keppel”) for the conversion of LNG carriers into floating LNG storage and regasification units (“FSRU”).</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May 26, 2016.</w:t>
      </w:r>
    </w:p>
    <w:p>
      <w:pPr>
        <w:spacing w:after="0" w:line="106" w:lineRule="exact"/>
        <w:rPr>
          <w:rFonts w:ascii="Arial" w:cs="Arial" w:eastAsia="Arial" w:hAnsi="Arial"/>
          <w:sz w:val="18"/>
          <w:szCs w:val="18"/>
          <w:color w:val="auto"/>
        </w:rPr>
      </w:pPr>
    </w:p>
    <w:p>
      <w:pPr>
        <w:ind w:left="700" w:hanging="692"/>
        <w:spacing w:after="0"/>
        <w:tabs>
          <w:tab w:leader="none" w:pos="70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EBITDA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of $62.2 million (Q1 2015: $62.0 million), loss of $5.4 million (Q1 2015: profit of $13.9 million) and Loss per share of $0.23</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(Q1</w:t>
      </w:r>
    </w:p>
    <w:p>
      <w:pPr>
        <w:ind w:left="700"/>
        <w:spacing w:after="0"/>
        <w:rPr>
          <w:rFonts w:ascii="Arial" w:cs="Arial" w:eastAsia="Arial" w:hAnsi="Arial"/>
          <w:sz w:val="34"/>
          <w:szCs w:val="34"/>
          <w:color w:val="auto"/>
          <w:vertAlign w:val="superscript"/>
        </w:rPr>
      </w:pPr>
      <w:r>
        <w:rPr>
          <w:rFonts w:ascii="Arial" w:cs="Arial" w:eastAsia="Arial" w:hAnsi="Arial"/>
          <w:sz w:val="18"/>
          <w:szCs w:val="18"/>
          <w:color w:val="auto"/>
        </w:rPr>
        <w:t>2015: Earnings per share of $0.05), for the quarter ended March 31, 2016.</w:t>
      </w:r>
    </w:p>
    <w:p>
      <w:pPr>
        <w:spacing w:after="0" w:line="154" w:lineRule="exact"/>
        <w:rPr>
          <w:rFonts w:ascii="Arial" w:cs="Arial" w:eastAsia="Arial" w:hAnsi="Arial"/>
          <w:sz w:val="34"/>
          <w:szCs w:val="34"/>
          <w:color w:val="auto"/>
          <w:vertAlign w:val="superscript"/>
        </w:rPr>
      </w:pPr>
    </w:p>
    <w:p>
      <w:pPr>
        <w:ind w:left="700" w:hanging="692"/>
        <w:spacing w:after="0"/>
        <w:tabs>
          <w:tab w:leader="none" w:pos="700" w:val="left"/>
        </w:tabs>
        <w:numPr>
          <w:ilvl w:val="0"/>
          <w:numId w:val="1"/>
        </w:numPr>
        <w:rPr>
          <w:rFonts w:ascii="Arial" w:cs="Arial" w:eastAsia="Arial" w:hAnsi="Arial"/>
          <w:sz w:val="32"/>
          <w:szCs w:val="32"/>
          <w:color w:val="auto"/>
          <w:vertAlign w:val="superscript"/>
        </w:rPr>
      </w:pPr>
      <w:r>
        <w:rPr>
          <w:rFonts w:ascii="Arial" w:cs="Arial" w:eastAsia="Arial" w:hAnsi="Arial"/>
          <w:sz w:val="17"/>
          <w:szCs w:val="17"/>
          <w:color w:val="auto"/>
        </w:rPr>
        <w:t>Adjusted EBITDA</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of $62.2 million (Q1 2015: $63.6 million), Adjusted Profit</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of $6.1 million (Q1 2015: $20.2 million) and Adjusted Loss per</w:t>
      </w:r>
    </w:p>
    <w:p>
      <w:pPr>
        <w:ind w:left="700"/>
        <w:spacing w:after="0" w:line="234" w:lineRule="auto"/>
        <w:rPr>
          <w:rFonts w:ascii="Arial" w:cs="Arial" w:eastAsia="Arial" w:hAnsi="Arial"/>
          <w:sz w:val="32"/>
          <w:szCs w:val="32"/>
          <w:color w:val="auto"/>
          <w:vertAlign w:val="superscript"/>
        </w:rPr>
      </w:pPr>
      <w:r>
        <w:rPr>
          <w:rFonts w:ascii="Arial" w:cs="Arial" w:eastAsia="Arial" w:hAnsi="Arial"/>
          <w:sz w:val="18"/>
          <w:szCs w:val="18"/>
          <w:color w:val="auto"/>
        </w:rPr>
        <w:t>share</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of $0.09</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(Q1 2015: Adjusted Earnings per share of $0.13) for the quarter ended March 31, 2016.</w:t>
      </w:r>
    </w:p>
    <w:p>
      <w:pPr>
        <w:spacing w:after="0" w:line="80" w:lineRule="exact"/>
        <w:rPr>
          <w:sz w:val="20"/>
          <w:szCs w:val="20"/>
          <w:color w:val="auto"/>
        </w:rPr>
      </w:pPr>
    </w:p>
    <w:p>
      <w:pPr>
        <w:ind w:left="360" w:right="100" w:hanging="352"/>
        <w:spacing w:after="0" w:line="218" w:lineRule="auto"/>
        <w:tabs>
          <w:tab w:leader="none" w:pos="36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EBITDA, Adjusted EBITDA, Adjusted Profit and Adjusted Earnings/Loss per share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203" w:lineRule="exact"/>
        <w:rPr>
          <w:rFonts w:ascii="Arial" w:cs="Arial" w:eastAsia="Arial" w:hAnsi="Arial"/>
          <w:sz w:val="30"/>
          <w:szCs w:val="30"/>
          <w:color w:val="auto"/>
          <w:vertAlign w:val="superscript"/>
        </w:rPr>
      </w:pPr>
    </w:p>
    <w:p>
      <w:pPr>
        <w:ind w:left="360" w:right="340" w:hanging="352"/>
        <w:spacing w:after="0" w:line="207" w:lineRule="auto"/>
        <w:tabs>
          <w:tab w:leader="none" w:pos="36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EPS and Adjusted EPS are negatively affected by the profit attributable to the non-controlling interest of $10.6 million and the dividend on preferred stock of $2.5 million for the quarter ended March 31, 2016 ($9.5 million and $0, respectively, for the quarter ended March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Paul Wogan, Chief Executive Officer, stated: “GasLog completed two major financing transactions in recent weeks, meaning we have no debt maturities until 2018 and we are now focusing on extending our 2018 debt maturities.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During the quarter, we took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the first of the eight newbuilding vessels we have on order. This vessel has a ten-year contract with a subsidiary of Shell and is one of seven vessels with multi-year contracts due to be delivered between now and 2019. All eight vessels have committed bank financing. Through these long-term charters with Shell, GasLog has contracted revenue for 74% of the available days through to the end of 2018 giving significant revenue and cash flow visibility.</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short-term LNG shipping market continues to be challenging, with a number of vessels waiting to service projects that have either been delayed or out of action in recent months. The presence of these vessels in the spot market has resulted in low levels of overall fleet utilization and low rates, a situation which we believe will start to improve as additional production from Australia and the US ramps up through the rest of the year. The long-term supply and demand outlook for LNG shipping remains positive, especially given the lack of new orders, which reinforces our view that we will see a future shortfall of vessels required to transport the new volumes.</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GasLog’s master limited partnership (“MLP”), GasLog Partners LP (“GasLog Partners” or the “Partnership”), last week reported quarterly results with strong distributable cash flow, coverage well in excess of its target and expressed confidence in paying its distribution for a multi-year period. At GasLog, we have 12 vessels with multi-year charters all of which are future drop-down candidates. This significant and differentiated pipeline of assets not only provides GasLog Partners with a number of years of future distribution growth but also, if required, allows GasLog to support GasLog Partners’ existing cash flows. GasLog Partners is a cost-efficient source of equity for GasLog providing liquidity to grow and enhances the valuation through the general partner/limited partner (“GP/LP”) distributions and incentive distribution rights (“IDRs”).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March 11, 2016, the board of directors declared a dividend on the Series A Preference Shares of $0.546875 per share, or $2.52 million in the aggregate, payable on April 1, 2016 to holders of record as of March 31, 2016. GasLog paid the declared dividend to the transfer agent on March 30, 2016.</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May 5, 2016, the board of directors declared a quarterly cash dividend of $0.14 per common share payable on May 26, 2016 to shareholders of record as of May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February 18, 2016, subsidiaries of GasLog and GasLog Partners entered into credit agreements (the “Credit Agreements”) to refinance debt maturities that were scheduled to become due in 2016 and 2017. The Credit Agreements are comprised of a five-year senior tranche facility of up to $396.50 million and a two-year bullet junior tranche of up to $180.0 million. The vessels covered by the Credit Agreements are the Partnership-owned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Methane Shirley Elisabeth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and the GasLog-owned</w:t>
      </w:r>
      <w:r>
        <w:rPr>
          <w:rFonts w:ascii="Arial" w:cs="Arial" w:eastAsia="Arial" w:hAnsi="Arial"/>
          <w:sz w:val="17"/>
          <w:szCs w:val="17"/>
          <w:i w:val="1"/>
          <w:iCs w:val="1"/>
          <w:color w:val="auto"/>
        </w:rPr>
        <w:t xml:space="preserve"> Methane Lydon Volney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Becki Anne</w:t>
      </w:r>
      <w:r>
        <w:rPr>
          <w:rFonts w:ascii="Arial" w:cs="Arial" w:eastAsia="Arial" w:hAnsi="Arial"/>
          <w:sz w:val="17"/>
          <w:szCs w:val="17"/>
          <w:color w:val="auto"/>
        </w:rPr>
        <w:t>. On April 5, 2016, $575.2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drawn under the Credit Agreements and used to partially refinance $644.0 million of outstanding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Sale and Leaseback of the </w:t>
      </w:r>
      <w:r>
        <w:rPr>
          <w:rFonts w:ascii="Arial" w:cs="Arial" w:eastAsia="Arial" w:hAnsi="Arial"/>
          <w:sz w:val="18"/>
          <w:szCs w:val="18"/>
          <w:b w:val="1"/>
          <w:bCs w:val="1"/>
          <w:i w:val="1"/>
          <w:iCs w:val="1"/>
          <w:u w:val="single" w:color="auto"/>
          <w:color w:val="auto"/>
        </w:rPr>
        <w:t>Methane Julia Louise</w:t>
      </w:r>
      <w:r>
        <w:rPr>
          <w:rFonts w:ascii="Arial" w:cs="Arial" w:eastAsia="Arial" w:hAnsi="Arial"/>
          <w:sz w:val="18"/>
          <w:szCs w:val="18"/>
          <w:b w:val="1"/>
          <w:bCs w:val="1"/>
          <w:u w:val="single" w:color="auto"/>
          <w:color w:val="auto"/>
        </w:rPr>
        <w:t xml:space="preserve"> with a subsidiary of Mitsui</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On February 24, 2016, GasLog’s subsidiary, GAS-twenty six Ltd., completed the ship sale and leaseback transaction with a subsidiary of Mitsui, for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Mitsui has the right to on-sell and lease back the vessel. The vessel was sold to Mitsui for a cash consideration of $217.0 million.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Following the completion of this transaction, the outstanding debt of GAS-twenty six Ltd. of $230.0 million was prepaid. This leaseback meets the definition of a finance lease under IFRS.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Greece</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On March 29, 2016, GasLog took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an LNG carrier of 174,000 cubic meters capacity with tri-fuel diesel electric propulsion constructed by Samsung Heavy Industries Co. Ltd. (“Samsung”). The vessel is chartered out to Methane Services Limited (“MSL”), a subsidiary of BG Group, now owned by Shell, from its delivery until 2026, with an option for the charterer to extend the terms of the charter at specified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FSRU market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recently begun to investigate entering the FSRU market and signed two pre-engineering studies with Keppel for the potential conversion of both a Steam and TFDE vessel from our existing fleet. We also appointed Bruno Larsen as Head of FSRU Development. Mr. Larsen has extensive experience in the LNG and FSRU sectors and will be responsible for leading GasLog’s commercial FSRU activities.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8"/>
        </w:trPr>
        <w:tc>
          <w:tcPr>
            <w:tcW w:w="154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ind w:left="160"/>
              <w:spacing w:after="0"/>
              <w:rPr>
                <w:sz w:val="20"/>
                <w:szCs w:val="20"/>
                <w:color w:val="auto"/>
              </w:rPr>
            </w:pPr>
            <w:r>
              <w:rPr>
                <w:rFonts w:ascii="Arial" w:cs="Arial" w:eastAsia="Arial" w:hAnsi="Arial"/>
                <w:sz w:val="18"/>
                <w:szCs w:val="18"/>
                <w:b w:val="1"/>
                <w:bCs w:val="1"/>
                <w:color w:val="auto"/>
                <w:w w:val="89"/>
              </w:rPr>
              <w:t>For the 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 of U.S. dollars except per share data</w:t>
            </w:r>
          </w:p>
        </w:tc>
        <w:tc>
          <w:tcPr>
            <w:tcW w:w="240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March 31, 2015</w:t>
            </w:r>
          </w:p>
        </w:tc>
        <w:tc>
          <w:tcPr>
            <w:tcW w:w="22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596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240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tcBorders>
            <w:shd w:val="clear" w:color="auto" w:fill="E5FFFF"/>
          </w:tcPr>
          <w:p>
            <w:pPr>
              <w:jc w:val="right"/>
              <w:ind w:right="7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88"/>
              </w:rPr>
              <w:t>104.4</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Profit/(loss)</w:t>
            </w:r>
          </w:p>
        </w:tc>
        <w:tc>
          <w:tcPr>
            <w:tcW w:w="26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57"/>
        </w:trPr>
        <w:tc>
          <w:tcPr>
            <w:tcW w:w="59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2640" w:type="dxa"/>
            <w:vAlign w:val="bottom"/>
            <w:gridSpan w:val="2"/>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20.2</w:t>
            </w:r>
          </w:p>
        </w:tc>
        <w:tc>
          <w:tcPr>
            <w:tcW w:w="106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Profit/(loss) attributable to the owners of GasLog</w:t>
            </w:r>
          </w:p>
        </w:tc>
        <w:tc>
          <w:tcPr>
            <w:tcW w:w="26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(15.9)</w:t>
            </w:r>
          </w:p>
        </w:tc>
      </w:tr>
      <w:tr>
        <w:trPr>
          <w:trHeight w:val="257"/>
        </w:trPr>
        <w:tc>
          <w:tcPr>
            <w:tcW w:w="596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2640" w:type="dxa"/>
            <w:vAlign w:val="bottom"/>
            <w:gridSpan w:val="2"/>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62.0</w:t>
            </w:r>
          </w:p>
        </w:tc>
        <w:tc>
          <w:tcPr>
            <w:tcW w:w="106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62.3</w:t>
            </w:r>
          </w:p>
        </w:tc>
      </w:tr>
      <w:tr>
        <w:trPr>
          <w:trHeight w:val="257"/>
        </w:trPr>
        <w:tc>
          <w:tcPr>
            <w:tcW w:w="5960" w:type="dxa"/>
            <w:vAlign w:val="bottom"/>
            <w:gridSpan w:val="2"/>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26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r>
      <w:tr>
        <w:trPr>
          <w:trHeight w:val="216"/>
        </w:trPr>
        <w:tc>
          <w:tcPr>
            <w:tcW w:w="59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w:t>
            </w:r>
          </w:p>
        </w:tc>
        <w:tc>
          <w:tcPr>
            <w:tcW w:w="2640" w:type="dxa"/>
            <w:vAlign w:val="bottom"/>
            <w:gridSpan w:val="2"/>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0.05</w:t>
            </w:r>
          </w:p>
        </w:tc>
        <w:tc>
          <w:tcPr>
            <w:tcW w:w="1060" w:type="dxa"/>
            <w:vAlign w:val="bottom"/>
            <w:gridSpan w:val="2"/>
            <w:shd w:val="clear" w:color="auto" w:fill="E5FF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w w:val="97"/>
              </w:rPr>
              <w:t>(0.23)</w:t>
            </w:r>
          </w:p>
        </w:tc>
      </w:tr>
      <w:tr>
        <w:trPr>
          <w:trHeight w:val="390"/>
        </w:trPr>
        <w:tc>
          <w:tcPr>
            <w:tcW w:w="596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26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(0.09)</w:t>
            </w:r>
          </w:p>
        </w:tc>
      </w:tr>
    </w:tbl>
    <w:p>
      <w:pPr>
        <w:spacing w:after="0" w:line="68" w:lineRule="exact"/>
        <w:rPr>
          <w:sz w:val="20"/>
          <w:szCs w:val="20"/>
          <w:color w:val="auto"/>
        </w:rPr>
      </w:pPr>
    </w:p>
    <w:p>
      <w:pPr>
        <w:ind w:left="360" w:right="40" w:hanging="352"/>
        <w:spacing w:after="0" w:line="238" w:lineRule="auto"/>
        <w:tabs>
          <w:tab w:leader="none" w:pos="3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There were 1,643 operating days for the quarter ended March 31, 2016, as compared to 1,354 operating days for the quarter ended March 31, 2015. The increase in operating days resulted from the new vessel deliveries and on-the-water vessel acquisitions during the previous periods. Specifically, we acquired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on March 31, 2015 and we took delivery of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on April 30, 2015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Greece </w:t>
      </w:r>
      <w:r>
        <w:rPr>
          <w:rFonts w:ascii="Arial" w:cs="Arial" w:eastAsia="Arial" w:hAnsi="Arial"/>
          <w:sz w:val="18"/>
          <w:szCs w:val="18"/>
          <w:color w:val="auto"/>
        </w:rPr>
        <w:t>on March 29, 2016.</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Loss was $5.3 million for the quarter ended March 31, 2016 ($13.9 million profit for the quarter ended March 31, 2015). This decrease in profit is mainly attributable to decreased revenues from certain of our vessels operating in the current weak spot market, increased financial costs derived mainly from higher average outstanding debt and increased amortization of deferred loan fees, increased unrealized losses on interest rate swaps and increased depreciation and operating expenses due to the increased fleet and scheduled repairs and maintenance expenditures.</w:t>
      </w:r>
    </w:p>
    <w:p>
      <w:pPr>
        <w:spacing w:after="0" w:line="175"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was $6.2 million for the quarter ended March 31, 2016 ($20.2 million for the quarter ended March 31, 2015) adjusted for the effects of the non-cash loss on swaps, the write-off and accelerated amortization of unamortized loan fees and the foreign exchange gains/losses.</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Loss attributable to the owners of GasLog was $15.9 million ($4.3 million profit for the quarter ended March 31, 2015). The decrease in profit attributable to the owners of GasLog resulted from the decrease in profit mentioned above and the increase in profit attributable to the non-controlling interest (GasLog Partners’ third party owners) following the dropdown of three vessels to GasLog Partners on July 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$62.3 million for the quarter ended March 31, 2016 ($62.0 million for the quarter ended March 31,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$62.2 million for the quarter ended March 31, 2016 ($63.6 million for the quarter ended March 31, 2015).</w:t>
      </w:r>
    </w:p>
    <w:p>
      <w:pPr>
        <w:sectPr>
          <w:pgSz w:w="11900" w:h="16838" w:orient="portrait"/>
          <w:cols w:equalWidth="0" w:num="1">
            <w:col w:w="11420"/>
          </w:cols>
          <w:pgMar w:left="240" w:top="405" w:right="239" w:bottom="908"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908" w:gutter="0" w:footer="0" w:header="0"/>
          <w:type w:val="continuous"/>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EPS was a $0.23 loss for the quarter ended March 31, 2016 ($0.05 earnings for the quarter ended March 31, 2015). The decrease in EPS is attributable to the decrease in profit, the dividend on preferred stock (no dividend on preferred stock was declared in the quarter ended March 31, 2015) and the increase in profit attributable to non-controlling unitholders of GasLog Partners following the dropdown of three vessels on July 1, 2015.</w:t>
      </w:r>
    </w:p>
    <w:p>
      <w:pPr>
        <w:spacing w:after="0" w:line="16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a $0.09 loss for the quarter ended March 31, 2016 ($0.13 earnings for the quarter ended March 31, 2015). The decrease in Adjusted EPS is attributable to the decrease in Adjusted Profit, the increase in profit attributable to non-controlling interest and the dividend on preferred stock in the quarter ended March 31, 2016.</w:t>
      </w:r>
    </w:p>
    <w:p>
      <w:pPr>
        <w:spacing w:after="0" w:line="20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Revenues were $104.4 million for the quarter ended March 31, 2016 ($97.3 million for the quarter ended March 31, 2015). The increase was mainly driven by the new acquisitions and deliveries in our fleet, which was partially offset by the adverse impact of the current weak spot market for certain of our vessels.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Vessel operating and supervision costs were $28.5 million for the quarter ended March 31, 2016 ($21.9 million for the quarter ended March 31, 2015).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Voyage expenses and commissions were $5.3 million for the quarter ended March 31, 2016 ($2.7 million for the quarter ended March 31, 2015).</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fixed assets was $28.2 million for the quarter ended March 31, 2016 ($22.7 million for the quarter ended March 31, 2015).</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increase in revenues, vessel operating and supervision costs, voyage expenses and commissions and depreciation of fixed assets was mainly attributable to the increase in operating days from our increased fleet discussed above. The vessel operating and supervision costs were further increased due to increased scheduled technical maintenance expenditures, while the voyage expenses and commissions also increased due to the net allocation of pool results in accordance with profit sharing terms specified in the Pool Agreement with Dynagas Ltd. and Golar LNG Ltd.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were $8.7 million for the quarter ended March 31, 2016 ($11.2 million for the quarter ended March 31, 2015).</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costs were $29.2 million for the quarter ended March 31, 2016 ($18.5 million for the quarter ended March 31, 2015). The increase is mainly attributable to an increase of $4.8 million in interest expense deriving from higher weighted average outstanding debt and realized loss on cash flow hedges, an increase in the amortization of deferred loan fees of $4.1 million resulting mainly from the write off and accelerated amortization of unamortized fees, and a finance lease charge of $1.1 million in 2016. An analysis of financial costs is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6"/>
          </w:tcPr>
          <w:p>
            <w:pPr>
              <w:ind w:left="52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6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6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15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Amortization of deferred loan issuance costs and premium</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6,027</w:t>
            </w:r>
          </w:p>
        </w:tc>
      </w:tr>
      <w:tr>
        <w:trPr>
          <w:trHeight w:val="216"/>
        </w:trPr>
        <w:tc>
          <w:tcPr>
            <w:tcW w:w="638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5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13,558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18,313</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Interest expense on bond and realized loss on cross-currency swaps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r>
      <w:tr>
        <w:trPr>
          <w:trHeight w:val="216"/>
        </w:trPr>
        <w:tc>
          <w:tcPr>
            <w:tcW w:w="63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15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0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1,067</w:t>
            </w: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Other financial costs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947</w:t>
            </w:r>
          </w:p>
        </w:tc>
      </w:tr>
      <w:tr>
        <w:trPr>
          <w:trHeight w:val="223"/>
        </w:trPr>
        <w:tc>
          <w:tcPr>
            <w:tcW w:w="638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18,528</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29,179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swaps was $10.4 million for the quarter ended March 31, 2016 ($7.0 million loss for the quarter ended March 31, 2015). An analysis of loss on swaps is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0" w:type="dxa"/>
            <w:vAlign w:val="bottom"/>
            <w:gridSpan w:val="7"/>
          </w:tcPr>
          <w:p>
            <w:pPr>
              <w:ind w:left="52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4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3"/>
              </w:rPr>
              <w:t>March 31, 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74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Loss on swaps</w:t>
            </w:r>
          </w:p>
        </w:tc>
        <w:tc>
          <w:tcPr>
            <w:tcW w:w="4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2,197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1,928</w:t>
            </w:r>
          </w:p>
        </w:tc>
        <w:tc>
          <w:tcPr>
            <w:tcW w:w="80" w:type="dxa"/>
            <w:vAlign w:val="bottom"/>
          </w:tcPr>
          <w:p>
            <w:pPr>
              <w:spacing w:after="0"/>
              <w:rPr>
                <w:sz w:val="18"/>
                <w:szCs w:val="18"/>
                <w:color w:val="auto"/>
              </w:rPr>
            </w:pPr>
          </w:p>
        </w:tc>
      </w:tr>
      <w:tr>
        <w:trPr>
          <w:trHeight w:val="216"/>
        </w:trPr>
        <w:tc>
          <w:tcPr>
            <w:tcW w:w="7460" w:type="dxa"/>
            <w:vAlign w:val="bottom"/>
            <w:shd w:val="clear" w:color="auto" w:fill="E5FFFF"/>
          </w:tcPr>
          <w:p>
            <w:pPr>
              <w:spacing w:after="0"/>
              <w:rPr>
                <w:sz w:val="20"/>
                <w:szCs w:val="20"/>
                <w:color w:val="auto"/>
              </w:rPr>
            </w:pPr>
            <w:r>
              <w:rPr>
                <w:rFonts w:ascii="Arial" w:cs="Arial" w:eastAsia="Arial" w:hAnsi="Arial"/>
                <w:sz w:val="18"/>
                <w:szCs w:val="18"/>
                <w:color w:val="auto"/>
              </w:rPr>
              <w:t>Unrealized loss on interest rate swaps held for trading</w:t>
            </w:r>
          </w:p>
        </w:tc>
        <w:tc>
          <w:tcPr>
            <w:tcW w:w="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4,509</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8,137</w:t>
            </w:r>
          </w:p>
        </w:tc>
        <w:tc>
          <w:tcPr>
            <w:tcW w:w="80" w:type="dxa"/>
            <w:vAlign w:val="bottom"/>
            <w:shd w:val="clear" w:color="auto" w:fill="E5FFFF"/>
          </w:tcPr>
          <w:p>
            <w:pPr>
              <w:spacing w:after="0"/>
              <w:rPr>
                <w:sz w:val="18"/>
                <w:szCs w:val="18"/>
                <w:color w:val="auto"/>
              </w:rPr>
            </w:pPr>
          </w:p>
        </w:tc>
      </w:tr>
      <w:tr>
        <w:trPr>
          <w:trHeight w:val="202"/>
        </w:trPr>
        <w:tc>
          <w:tcPr>
            <w:tcW w:w="7460" w:type="dxa"/>
            <w:vAlign w:val="bottom"/>
          </w:tcPr>
          <w:p>
            <w:pPr>
              <w:spacing w:after="0" w:line="201" w:lineRule="exact"/>
              <w:rPr>
                <w:sz w:val="20"/>
                <w:szCs w:val="20"/>
                <w:color w:val="auto"/>
              </w:rPr>
            </w:pPr>
            <w:r>
              <w:rPr>
                <w:rFonts w:ascii="Arial" w:cs="Arial" w:eastAsia="Arial" w:hAnsi="Arial"/>
                <w:sz w:val="18"/>
                <w:szCs w:val="18"/>
                <w:color w:val="auto"/>
                <w:w w:val="96"/>
              </w:rPr>
              <w:t>Recycled loss of cash flow hedges reclassified to profit or loss in relation to derivatives no longer</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460" w:type="dxa"/>
            <w:vAlign w:val="bottom"/>
          </w:tcPr>
          <w:p>
            <w:pPr>
              <w:ind w:left="140"/>
              <w:spacing w:after="0"/>
              <w:rPr>
                <w:sz w:val="20"/>
                <w:szCs w:val="20"/>
                <w:color w:val="auto"/>
              </w:rPr>
            </w:pPr>
            <w:r>
              <w:rPr>
                <w:rFonts w:ascii="Arial" w:cs="Arial" w:eastAsia="Arial" w:hAnsi="Arial"/>
                <w:sz w:val="18"/>
                <w:szCs w:val="18"/>
                <w:color w:val="auto"/>
              </w:rPr>
              <w:t>designated as hedges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20"/>
                <w:szCs w:val="20"/>
                <w:color w:val="auto"/>
              </w:rPr>
            </w:pPr>
          </w:p>
        </w:tc>
      </w:tr>
      <w:tr>
        <w:trPr>
          <w:trHeight w:val="230"/>
        </w:trPr>
        <w:tc>
          <w:tcPr>
            <w:tcW w:w="7460" w:type="dxa"/>
            <w:vAlign w:val="bottom"/>
            <w:shd w:val="clear" w:color="auto" w:fill="E5FFFF"/>
          </w:tcPr>
          <w:p>
            <w:pPr>
              <w:spacing w:after="0"/>
              <w:rPr>
                <w:sz w:val="20"/>
                <w:szCs w:val="20"/>
                <w:color w:val="auto"/>
              </w:rPr>
            </w:pPr>
            <w:r>
              <w:rPr>
                <w:rFonts w:ascii="Arial" w:cs="Arial" w:eastAsia="Arial" w:hAnsi="Arial"/>
                <w:sz w:val="18"/>
                <w:szCs w:val="18"/>
                <w:color w:val="auto"/>
              </w:rPr>
              <w:t>Ineffective portion on cash flow hedges</w:t>
            </w:r>
          </w:p>
        </w:tc>
        <w:tc>
          <w:tcPr>
            <w:tcW w:w="4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82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(11)</w:t>
            </w:r>
          </w:p>
        </w:tc>
        <w:tc>
          <w:tcPr>
            <w:tcW w:w="2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146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6,979</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GasLog’s contracted charter revenues are estimated to increase from $412.5 million for the fiscal year 2015 to $482.9 million for the fiscal year 2017, based on contracts in effect as of March 31, 2016 (including six of the seven LNG carriers on order for which we have secured time charters), but without including</w:t>
      </w:r>
    </w:p>
    <w:p>
      <w:pPr>
        <w:ind w:right="180"/>
        <w:spacing w:after="0" w:line="205" w:lineRule="auto"/>
        <w:rPr>
          <w:sz w:val="20"/>
          <w:szCs w:val="20"/>
          <w:color w:val="auto"/>
        </w:rPr>
      </w:pPr>
      <w:r>
        <w:rPr>
          <w:rFonts w:ascii="Arial" w:cs="Arial" w:eastAsia="Arial" w:hAnsi="Arial"/>
          <w:sz w:val="18"/>
          <w:szCs w:val="18"/>
          <w:color w:val="auto"/>
        </w:rPr>
        <w:t xml:space="preserve">any extension options. As of March 31, 2016, the total future firm contracted revenue stood at $3.6 billion </w:t>
      </w:r>
      <w:r>
        <w:rPr>
          <w:rFonts w:ascii="Arial" w:cs="Arial" w:eastAsia="Arial" w:hAnsi="Arial"/>
          <w:sz w:val="30"/>
          <w:szCs w:val="30"/>
          <w:color w:val="auto"/>
          <w:vertAlign w:val="superscript"/>
        </w:rPr>
        <w:t>(1)</w:t>
      </w:r>
      <w:r>
        <w:rPr>
          <w:rFonts w:ascii="Arial" w:cs="Arial" w:eastAsia="Arial" w:hAnsi="Arial"/>
          <w:sz w:val="18"/>
          <w:szCs w:val="18"/>
          <w:color w:val="auto"/>
        </w:rPr>
        <w:t>, including the eight vessels owned by GasLog Partners and excluding the vessels operating in the spot market.</w:t>
      </w:r>
    </w:p>
    <w:p>
      <w:pPr>
        <w:spacing w:after="0" w:line="20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BG Group was acquired by Shell on February 15, 2016. This acquisition does not impact the contractual obligations under the existing charter party agreements.</w:t>
      </w:r>
    </w:p>
    <w:p>
      <w:pPr>
        <w:spacing w:after="0" w:line="170" w:lineRule="exact"/>
        <w:rPr>
          <w:sz w:val="20"/>
          <w:szCs w:val="20"/>
          <w:color w:val="auto"/>
        </w:rPr>
      </w:pPr>
    </w:p>
    <w:p>
      <w:pPr>
        <w:ind w:left="360" w:right="180" w:hanging="352"/>
        <w:spacing w:after="0" w:line="194" w:lineRule="auto"/>
        <w:tabs>
          <w:tab w:leader="none" w:pos="36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ectPr>
          <w:pgSz w:w="11900" w:h="16838" w:orient="portrait"/>
          <w:cols w:equalWidth="0" w:num="1">
            <w:col w:w="11420"/>
          </w:cols>
          <w:pgMar w:left="240" w:top="409" w:right="239"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March 31, 2016, GasLog had $284.0 million of cash and cash equivalents, of which $32.3 million was held in time deposits and the remaining balance in current accounts. Moreover, as of March 31, 2016, GasLog had $1.5 million held in time deposits with an initial duration of more than three months but less than a year that have been classified as short-term investments. As of March 31, 2016, GasLog had $23.6 million in restricted cash in relation to cash held in blocked accounts mainly in order to comply with the covenants under two of its credit facilities.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25, 2016, a supplemental deed was signed with the lenders of the GAS-eight Ltd., GAS-nine Ltd. and GAS-ten Ltd. loan facility, permitting GasLog to withdraw the $21.0 million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 million each. The bank guarantees bear interest at a margin and are available for a period of up to two years.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March 31, 2016, GasLog had an aggregate of $2.2 billion of indebtedness outstanding under twelve credit facilities, of which $785.5 million was repayable within one year, including $42.2 million under its revolving credit facility. As of March 31, 2016, GasLog had $120.1 million outstanding under the NOK bond agreement that is payable in June 2018 and had a $218.1 million finance lease liability related to the sale and leaseback of the </w:t>
      </w:r>
      <w:r>
        <w:rPr>
          <w:rFonts w:ascii="Arial" w:cs="Arial" w:eastAsia="Arial" w:hAnsi="Arial"/>
          <w:sz w:val="18"/>
          <w:szCs w:val="18"/>
          <w:i w:val="1"/>
          <w:iCs w:val="1"/>
          <w:color w:val="auto"/>
        </w:rPr>
        <w:t>Methane Julia</w:t>
      </w:r>
      <w:r>
        <w:rPr>
          <w:rFonts w:ascii="Arial" w:cs="Arial" w:eastAsia="Arial" w:hAnsi="Arial"/>
          <w:sz w:val="18"/>
          <w:szCs w:val="18"/>
          <w:color w:val="auto"/>
        </w:rPr>
        <w:t xml:space="preserve"> </w:t>
      </w:r>
      <w:r>
        <w:rPr>
          <w:rFonts w:ascii="Arial" w:cs="Arial" w:eastAsia="Arial" w:hAnsi="Arial"/>
          <w:sz w:val="18"/>
          <w:szCs w:val="18"/>
          <w:i w:val="1"/>
          <w:iCs w:val="1"/>
          <w:color w:val="auto"/>
        </w:rPr>
        <w:t>Louise</w:t>
      </w:r>
      <w:r>
        <w:rPr>
          <w:rFonts w:ascii="Arial" w:cs="Arial" w:eastAsia="Arial" w:hAnsi="Arial"/>
          <w:sz w:val="18"/>
          <w:szCs w:val="18"/>
          <w:color w:val="auto"/>
        </w:rPr>
        <w:t>.</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of March 31, 2016, there was undrawn availability of $1.15 billion under the debt financing agreement entered into on October 16, 2015 with 14 international banks to partially finance the delivery of our seven remaining newbuildings expected to be delivered in 2016, 2018 and 2019. Also, there was an undrawn amount of $7.8 million from the revolving facility of GAS-two Ltd. which was available to be drawn under certain conditions.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2016, GasLog’s current assets totalled $327.6 million while current liabilities totalled $870.4 million, resulting in a negative working capital position of $542.8 million. As discussed above, on April 5, 2016, $575.2 million was drawn under the Credit Agreements and used to partially refinance $644.0 million of outstanding debt. Following the completion of the refinancing, as of April 5, 2016, current indebtedness outstanding under nine credit facilities totalled $168.0 million.</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2016, GasLog’s commitments for capital expenditures are related to the seven LNG carriers on order, which have a gross aggregate contract price of approximately $1.43 billion. As of March 31, 2016, the total remaining balance of the contract prices of the seven newbuildings was $1.28 billion that GasLog expects to be funded with the $1.15 billion undrawn amount under the financing agreement entered into on October 16, 2015, as well as cash balances and cash from operations.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GasLog has hedged 40.8% of its expected floating interest rate exposure on its outstanding debt (including the finance lease liability) at a weighted average interest rate of approximately 4.6% (including margin) as of March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GasLog has five newbuildings on order at Samsung and two newbuildings on order at Hyundai Heavy Industries Co., Ltd. Our vessels presently under construction are on schedule and within budget. The expected delivery dates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Hulls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2"/>
              </w:rPr>
              <w:t>Delivery date</w:t>
            </w:r>
          </w:p>
        </w:tc>
      </w:tr>
      <w:tr>
        <w:trPr>
          <w:trHeight w:val="209"/>
        </w:trPr>
        <w:tc>
          <w:tcPr>
            <w:tcW w:w="2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Hull No. 2073</w:t>
            </w:r>
          </w:p>
        </w:tc>
        <w:tc>
          <w:tcPr>
            <w:tcW w:w="200" w:type="dxa"/>
            <w:vAlign w:val="bottom"/>
          </w:tcPr>
          <w:p>
            <w:pPr>
              <w:spacing w:after="0"/>
              <w:rPr>
                <w:sz w:val="18"/>
                <w:szCs w:val="18"/>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Q2 2016</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2102</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Q3 2016</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2103</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Q4 2016</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2130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Q1 2018</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2800</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Q1 2018</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2801</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Q1 2018</w:t>
            </w:r>
          </w:p>
        </w:tc>
      </w:tr>
      <w:tr>
        <w:trPr>
          <w:trHeight w:val="230"/>
        </w:trPr>
        <w:tc>
          <w:tcPr>
            <w:tcW w:w="22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Hull No. 2131</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Q1 2019</w:t>
            </w: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subsidiaries that own the vessels expected to be delivered in 2016 have signed seven to ten year time charters with MSL, a subsidiary of BG Group, now owned by Shell, at attractive rates. Our subsidiaries that own two of the vessels expected to be delivered in 2018 and one vessel expected to be delivered in 2019 have entered into 9.5 year time charters with MSL at similar rates. GasLog currently has one newbuilding on order that is not currently fixed on a long-term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Following the start-up of projects such as Queensland Curtis, Gladstone and Australia Pacific in 2015, we have seen continued momentum in new LNG liquefaction capacity in early 2016. In February 2016, Cheniere’s 22.5 million tons per annum (“mtpa”) Sabine Pass facility, the first of many new U.S. LNG liquefaction projects, began exporting LNG. A GasLog-owned vessel, the </w:t>
      </w:r>
      <w:r>
        <w:rPr>
          <w:rFonts w:ascii="Arial" w:cs="Arial" w:eastAsia="Arial" w:hAnsi="Arial"/>
          <w:sz w:val="18"/>
          <w:szCs w:val="18"/>
          <w:i w:val="1"/>
          <w:iCs w:val="1"/>
          <w:color w:val="auto"/>
        </w:rPr>
        <w:t>GasLog Salem,</w:t>
      </w:r>
      <w:r>
        <w:rPr>
          <w:rFonts w:ascii="Arial" w:cs="Arial" w:eastAsia="Arial" w:hAnsi="Arial"/>
          <w:sz w:val="18"/>
          <w:szCs w:val="18"/>
          <w:color w:val="auto"/>
        </w:rPr>
        <w:t xml:space="preserve"> was the third vessel to ship LNG from the project, delivering cargo to Brazil.</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March, Chevron’s Gorgon project (15 mtpa) shipped its maiden LNG cargo. The plant has experienced some technical issues and currently plans to restart production by early June. Australia Pacific Train 2 (4.5 mtpa) and Angola LNG (5.2 mtpa) are also due to start this year, with Chevron’s Wheatstone project (8.9 mtpa) and Shell’s Prelude (3.6 mtpa) due to deliver first cargos in 2017. Chevron’s Angola LNG project is also expected to re-start in the near future after almost two years of downtime for maintenance. In 2016, we expect LNG producing trains with a total annualized capacity of approximately 40 mtpa of new production to come online as the projects described above ramp up to their nameplate capacity.</w:t>
      </w:r>
    </w:p>
    <w:p>
      <w:pPr>
        <w:spacing w:after="0" w:line="1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 such projects coming onstream, we are seeing encouraging levels of tendering activity for vessels to transport these increased LNG volumes, with charterers considering on-the-water and newbuilding vessels for medium and long-term employment.</w:t>
      </w:r>
    </w:p>
    <w:p>
      <w:pPr>
        <w:sectPr>
          <w:pgSz w:w="11900" w:h="16838" w:orient="portrait"/>
          <w:cols w:equalWidth="0" w:num="1">
            <w:col w:w="11420"/>
          </w:cols>
          <w:pgMar w:left="240" w:top="405" w:right="239" w:bottom="462"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462" w:gutter="0" w:footer="0" w:header="0"/>
          <w:type w:val="continuous"/>
        </w:sectPr>
      </w:pPr>
    </w:p>
    <w:bookmarkStart w:id="7" w:name="page8"/>
    <w:bookmarkEnd w:id="7"/>
    <w:p>
      <w:pPr>
        <w:ind w:right="180"/>
        <w:spacing w:after="0" w:line="277" w:lineRule="auto"/>
        <w:rPr>
          <w:sz w:val="20"/>
          <w:szCs w:val="20"/>
          <w:color w:val="auto"/>
        </w:rPr>
      </w:pPr>
      <w:r>
        <w:rPr>
          <w:rFonts w:ascii="Arial" w:cs="Arial" w:eastAsia="Arial" w:hAnsi="Arial"/>
          <w:sz w:val="18"/>
          <w:szCs w:val="18"/>
          <w:color w:val="auto"/>
        </w:rPr>
        <w:t>Our long-term supply and demand outlook for LNG shipping remains positive. We continue to see a future shortfall of vessels required for the new projects coming online.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GasLog will host a conference call to discuss its results for the first quarter of 2016 at 8:30 a.m. ET (1:30 p.m. London Time) on Friday, May 6, 2016. Paul Wogan, Chief Executive Officer and Simon Crowe,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1 855 537 5839 (USA)</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44(0) 20 3107 0289 (United Kingdom)</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33(0) 1 70 80 71 53 (France)</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Passcode for the call is: 86788817</w:t>
      </w:r>
    </w:p>
    <w:p>
      <w:pPr>
        <w:spacing w:after="0" w:line="225" w:lineRule="exact"/>
        <w:rPr>
          <w:sz w:val="20"/>
          <w:szCs w:val="20"/>
          <w:color w:val="auto"/>
        </w:rPr>
      </w:pPr>
    </w:p>
    <w:p>
      <w:pPr>
        <w:ind w:right="2900"/>
        <w:spacing w:after="0" w:line="277"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EDT (7:00 p.m. London Time) on Friday, May 6, 2016, until 11:59 p.m. EDT (5:59 a.m. London Time) on Friday, May 13,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+44(0)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86788817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0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8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ectPr>
          <w:pgSz w:w="11900" w:h="16838" w:orient="portrait"/>
          <w:cols w:equalWidth="0" w:num="1">
            <w:col w:w="11400"/>
          </w:cols>
          <w:pgMar w:left="240" w:top="409" w:right="259" w:bottom="786"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786" w:gutter="0" w:footer="0" w:header="0"/>
          <w:type w:val="continuous"/>
        </w:sectPr>
      </w:pPr>
    </w:p>
    <w:bookmarkStart w:id="8" w:name="page9"/>
    <w:bookmarkEnd w:id="8"/>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As of December 31, 2015 and March 31, 2016</w:t>
            </w:r>
          </w:p>
        </w:tc>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December 31, 2015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9,511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6,274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17,998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28,937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28,957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28,572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61</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Tangible fixed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3,400,270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3,357,228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178,405</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156,619</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2400" w:type="dxa"/>
            <w:vAlign w:val="bottom"/>
          </w:tcPr>
          <w:p>
            <w:pPr>
              <w:spacing w:after="0"/>
              <w:rPr>
                <w:sz w:val="19"/>
                <w:szCs w:val="19"/>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227,768</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40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3,814,993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16,079</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1,345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6,496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2,519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6,000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Restricted cash</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62,718</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302,988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284,028</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4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327,575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2400" w:type="dxa"/>
            <w:vAlign w:val="bottom"/>
            <w:tcBorders>
              <w:bottom w:val="single" w:sz="8" w:color="E5FFFF"/>
            </w:tcBorders>
            <w:shd w:val="clear" w:color="auto" w:fill="E5FFFF"/>
          </w:tcPr>
          <w:p>
            <w:pPr>
              <w:spacing w:after="0"/>
              <w:rPr>
                <w:sz w:val="19"/>
                <w:szCs w:val="19"/>
                <w:color w:val="auto"/>
              </w:rPr>
            </w:pP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4,142,568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2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2400" w:type="dxa"/>
            <w:vAlign w:val="bottom"/>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Preferred stock</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810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Contributed surplus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1,020,292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1,008,353</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446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(8,829)</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Treasury shares</w:t>
            </w:r>
          </w:p>
        </w:tc>
        <w:tc>
          <w:tcPr>
            <w:tcW w:w="4460" w:type="dxa"/>
            <w:vAlign w:val="bottom"/>
            <w:gridSpan w:val="3"/>
          </w:tcPr>
          <w:p>
            <w:pPr>
              <w:jc w:val="right"/>
              <w:ind w:right="380"/>
              <w:spacing w:after="0"/>
              <w:rPr>
                <w:sz w:val="20"/>
                <w:szCs w:val="20"/>
                <w:color w:val="auto"/>
              </w:rPr>
            </w:pPr>
            <w:r>
              <w:rPr>
                <w:rFonts w:ascii="Arial" w:cs="Arial" w:eastAsia="Arial" w:hAnsi="Arial"/>
                <w:sz w:val="18"/>
                <w:szCs w:val="18"/>
                <w:color w:val="auto"/>
              </w:rPr>
              <w:t>(12,491)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1,846</w:t>
            </w: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4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440" w:type="dxa"/>
            <w:vAlign w:val="bottom"/>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506,246</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506,493</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24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1,475,130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2400" w:type="dxa"/>
            <w:vAlign w:val="bottom"/>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 accounts payable</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12,391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3,524</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163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14,243</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67,084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67,655</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636,987</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4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734,392</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870,364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shd w:val="clear" w:color="auto" w:fill="E5FFFF"/>
          </w:tcPr>
          <w:p>
            <w:pPr>
              <w:spacing w:after="0"/>
              <w:rPr>
                <w:sz w:val="18"/>
                <w:szCs w:val="18"/>
                <w:color w:val="auto"/>
              </w:rPr>
            </w:pPr>
          </w:p>
        </w:tc>
        <w:tc>
          <w:tcPr>
            <w:tcW w:w="1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460" w:type="dxa"/>
            <w:vAlign w:val="bottom"/>
            <w:gridSpan w:val="3"/>
          </w:tcPr>
          <w:p>
            <w:pPr>
              <w:jc w:val="right"/>
              <w:ind w:right="440"/>
              <w:spacing w:after="0"/>
              <w:rPr>
                <w:sz w:val="20"/>
                <w:szCs w:val="20"/>
                <w:color w:val="auto"/>
              </w:rPr>
            </w:pPr>
            <w:r>
              <w:rPr>
                <w:rFonts w:ascii="Arial" w:cs="Arial" w:eastAsia="Arial" w:hAnsi="Arial"/>
                <w:sz w:val="18"/>
                <w:szCs w:val="18"/>
                <w:color w:val="auto"/>
              </w:rPr>
              <w:t>58,531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1,737,500</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1,513,540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2400" w:type="dxa"/>
            <w:vAlign w:val="bottom"/>
          </w:tcPr>
          <w:p>
            <w:pPr>
              <w:spacing w:after="0"/>
              <w:rPr>
                <w:sz w:val="18"/>
                <w:szCs w:val="18"/>
                <w:color w:val="auto"/>
              </w:rPr>
            </w:pPr>
          </w:p>
        </w:tc>
        <w:tc>
          <w:tcPr>
            <w:tcW w:w="2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218,067</w:t>
            </w:r>
          </w:p>
        </w:tc>
        <w:tc>
          <w:tcPr>
            <w:tcW w:w="0" w:type="dxa"/>
            <w:vAlign w:val="bottom"/>
          </w:tcPr>
          <w:p>
            <w:pPr>
              <w:spacing w:after="0"/>
              <w:rPr>
                <w:sz w:val="1"/>
                <w:szCs w:val="1"/>
                <w:color w:val="auto"/>
              </w:rPr>
            </w:pPr>
          </w:p>
        </w:tc>
      </w:tr>
      <w:tr>
        <w:trPr>
          <w:trHeight w:val="230"/>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4460" w:type="dxa"/>
            <w:vAlign w:val="bottom"/>
            <w:gridSpan w:val="3"/>
            <w:shd w:val="clear" w:color="auto" w:fill="E5FFFF"/>
          </w:tcPr>
          <w:p>
            <w:pPr>
              <w:jc w:val="right"/>
              <w:ind w:right="440"/>
              <w:spacing w:after="0"/>
              <w:rPr>
                <w:sz w:val="20"/>
                <w:szCs w:val="20"/>
                <w:color w:val="auto"/>
              </w:rPr>
            </w:pPr>
            <w:r>
              <w:rPr>
                <w:rFonts w:ascii="Arial" w:cs="Arial" w:eastAsia="Arial" w:hAnsi="Arial"/>
                <w:sz w:val="18"/>
                <w:szCs w:val="18"/>
                <w:color w:val="auto"/>
              </w:rPr>
              <w:t>1,278</w:t>
            </w: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400" w:type="dxa"/>
            <w:vAlign w:val="bottom"/>
            <w:tcBorders>
              <w:bottom w:val="single" w:sz="8" w:color="E5FFFF"/>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1,797,309</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1,797,074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2400" w:type="dxa"/>
            <w:vAlign w:val="bottom"/>
            <w:tcBorders>
              <w:bottom w:val="single" w:sz="8" w:color="E5FFFF"/>
            </w:tcBorders>
            <w:shd w:val="clear" w:color="auto" w:fill="E5FFFF"/>
          </w:tcPr>
          <w:p>
            <w:pPr>
              <w:spacing w:after="0"/>
              <w:rPr>
                <w:sz w:val="19"/>
                <w:szCs w:val="19"/>
                <w:color w:val="auto"/>
              </w:rPr>
            </w:pPr>
          </w:p>
        </w:tc>
        <w:tc>
          <w:tcPr>
            <w:tcW w:w="1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4,142,568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0" w:type="dxa"/>
            <w:vAlign w:val="bottom"/>
            <w:vMerge w:val="restart"/>
          </w:tcPr>
          <w:p>
            <w:pPr>
              <w:jc w:val="right"/>
              <w:ind w:right="1930"/>
              <w:spacing w:after="0"/>
              <w:rPr>
                <w:sz w:val="20"/>
                <w:szCs w:val="20"/>
                <w:color w:val="auto"/>
              </w:rPr>
            </w:pPr>
            <w:r>
              <w:rPr>
                <w:rFonts w:ascii="Arial" w:cs="Arial" w:eastAsia="Arial" w:hAnsi="Arial"/>
                <w:sz w:val="18"/>
                <w:szCs w:val="18"/>
                <w:color w:val="auto"/>
              </w:rPr>
              <w:t>7</w:t>
            </w: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0C0C0"/>
            </w:tcBorders>
          </w:tcPr>
          <w:p>
            <w:pPr>
              <w:spacing w:after="0"/>
              <w:rPr>
                <w:sz w:val="21"/>
                <w:szCs w:val="21"/>
                <w:color w:val="auto"/>
              </w:rPr>
            </w:pPr>
          </w:p>
        </w:tc>
        <w:tc>
          <w:tcPr>
            <w:tcW w:w="240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0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38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97,326</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104,377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5520" w:type="dxa"/>
            <w:vAlign w:val="bottom"/>
            <w:gridSpan w:val="3"/>
          </w:tcPr>
          <w:p>
            <w:pPr>
              <w:jc w:val="right"/>
              <w:ind w:right="300"/>
              <w:spacing w:after="0"/>
              <w:rPr>
                <w:sz w:val="20"/>
                <w:szCs w:val="20"/>
                <w:color w:val="auto"/>
              </w:rPr>
            </w:pPr>
            <w:r>
              <w:rPr>
                <w:rFonts w:ascii="Arial" w:cs="Arial" w:eastAsia="Arial" w:hAnsi="Arial"/>
                <w:sz w:val="18"/>
                <w:szCs w:val="18"/>
                <w:color w:val="auto"/>
              </w:rPr>
              <w:t>(21,894)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55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(2,729)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5520" w:type="dxa"/>
            <w:vAlign w:val="bottom"/>
            <w:gridSpan w:val="3"/>
          </w:tcPr>
          <w:p>
            <w:pPr>
              <w:jc w:val="right"/>
              <w:ind w:right="300"/>
              <w:spacing w:after="0"/>
              <w:rPr>
                <w:sz w:val="20"/>
                <w:szCs w:val="20"/>
                <w:color w:val="auto"/>
              </w:rPr>
            </w:pPr>
            <w:r>
              <w:rPr>
                <w:rFonts w:ascii="Arial" w:cs="Arial" w:eastAsia="Arial" w:hAnsi="Arial"/>
                <w:sz w:val="18"/>
                <w:szCs w:val="18"/>
                <w:color w:val="auto"/>
              </w:rPr>
              <w:t>(22,695)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55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(11,159)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382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38,849</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38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(18,528)</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Financial income</w:t>
            </w:r>
          </w:p>
        </w:tc>
        <w:tc>
          <w:tcPr>
            <w:tcW w:w="5520" w:type="dxa"/>
            <w:vAlign w:val="bottom"/>
            <w:gridSpan w:val="3"/>
          </w:tcPr>
          <w:p>
            <w:pPr>
              <w:jc w:val="right"/>
              <w:ind w:right="360"/>
              <w:spacing w:after="0"/>
              <w:rPr>
                <w:sz w:val="20"/>
                <w:szCs w:val="20"/>
                <w:color w:val="auto"/>
              </w:rPr>
            </w:pPr>
            <w:r>
              <w:rPr>
                <w:rFonts w:ascii="Arial" w:cs="Arial" w:eastAsia="Arial" w:hAnsi="Arial"/>
                <w:sz w:val="18"/>
                <w:szCs w:val="18"/>
                <w:color w:val="auto"/>
              </w:rPr>
              <w:t>63</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55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color w:val="auto"/>
              </w:rPr>
              <w:t>(6,979)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5520" w:type="dxa"/>
            <w:vAlign w:val="bottom"/>
            <w:gridSpan w:val="3"/>
          </w:tcPr>
          <w:p>
            <w:pPr>
              <w:jc w:val="right"/>
              <w:ind w:right="360"/>
              <w:spacing w:after="0"/>
              <w:rPr>
                <w:sz w:val="20"/>
                <w:szCs w:val="20"/>
                <w:color w:val="auto"/>
              </w:rPr>
            </w:pPr>
            <w:r>
              <w:rPr>
                <w:rFonts w:ascii="Arial" w:cs="Arial" w:eastAsia="Arial" w:hAnsi="Arial"/>
                <w:sz w:val="18"/>
                <w:szCs w:val="18"/>
                <w:color w:val="auto"/>
              </w:rPr>
              <w:t>447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38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(24,997</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(39,057</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382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w:t>
            </w:r>
          </w:p>
        </w:tc>
        <w:tc>
          <w:tcPr>
            <w:tcW w:w="44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382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Owners of the Group</w:t>
            </w:r>
          </w:p>
        </w:tc>
        <w:tc>
          <w:tcPr>
            <w:tcW w:w="5520" w:type="dxa"/>
            <w:vAlign w:val="bottom"/>
            <w:gridSpan w:val="3"/>
          </w:tcPr>
          <w:p>
            <w:pPr>
              <w:jc w:val="right"/>
              <w:ind w:right="360"/>
              <w:spacing w:after="0"/>
              <w:rPr>
                <w:sz w:val="20"/>
                <w:szCs w:val="20"/>
                <w:color w:val="auto"/>
              </w:rPr>
            </w:pPr>
            <w:r>
              <w:rPr>
                <w:rFonts w:ascii="Arial" w:cs="Arial" w:eastAsia="Arial" w:hAnsi="Arial"/>
                <w:sz w:val="18"/>
                <w:szCs w:val="18"/>
                <w:color w:val="auto"/>
              </w:rPr>
              <w:t>4,342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552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color w:val="auto"/>
              </w:rPr>
              <w:t>9,510</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w:t>
            </w: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5520" w:type="dxa"/>
            <w:vAlign w:val="bottom"/>
            <w:gridSpan w:val="3"/>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0.05</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820" w:type="dxa"/>
            <w:vAlign w:val="bottom"/>
          </w:tcPr>
          <w:p>
            <w:pPr>
              <w:jc w:val="right"/>
              <w:ind w:right="2510"/>
              <w:spacing w:after="0"/>
              <w:rPr>
                <w:sz w:val="20"/>
                <w:szCs w:val="20"/>
                <w:color w:val="auto"/>
              </w:rPr>
            </w:pPr>
            <w:r>
              <w:rPr>
                <w:rFonts w:ascii="Arial" w:cs="Arial" w:eastAsia="Arial" w:hAnsi="Arial"/>
                <w:sz w:val="18"/>
                <w:szCs w:val="18"/>
                <w:color w:val="auto"/>
              </w:rPr>
              <w:t>8</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tcBorders>
              <w:bottom w:val="single" w:sz="8" w:color="C0C0C0"/>
            </w:tcBorders>
          </w:tcPr>
          <w:p>
            <w:pPr>
              <w:spacing w:after="0"/>
              <w:rPr>
                <w:sz w:val="21"/>
                <w:szCs w:val="21"/>
                <w:color w:val="auto"/>
              </w:rPr>
            </w:pPr>
          </w:p>
        </w:tc>
        <w:tc>
          <w:tcPr>
            <w:tcW w:w="38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 2015</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13,852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22,695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(447)</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18,528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29,179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Unrealized foreign exchange losses on cash and cash equivalents and short-term investments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1,068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w w:val="96"/>
              </w:rPr>
              <w:t>Unrealized loss on interest rate swaps held for trading including ineffective portion of cash flow hedges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4,498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284</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498</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60,913</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(8,805</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52,108</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68,242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(14,850</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37,258</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4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(500,537)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(197,797)</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(18,592)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26,603</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(491,473</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(192,154</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Proceeds from bank loans</w:t>
            </w:r>
          </w:p>
        </w:tc>
        <w:tc>
          <w:tcPr>
            <w:tcW w:w="194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460,000</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162,967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Proceeds from sale and finance leaseback</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Bank loan repayments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(21,580)</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(253,610)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(4,171)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(12,328)</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(87)</w:t>
            </w:r>
          </w:p>
        </w:tc>
        <w:tc>
          <w:tcPr>
            <w:tcW w:w="15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(Increase)/decrease in restricted cash</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(1,807)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39,095</w:t>
            </w:r>
          </w:p>
        </w:tc>
        <w:tc>
          <w:tcPr>
            <w:tcW w:w="0" w:type="dxa"/>
            <w:vAlign w:val="bottom"/>
          </w:tcPr>
          <w:p>
            <w:pPr>
              <w:spacing w:after="0"/>
              <w:rPr>
                <w:sz w:val="1"/>
                <w:szCs w:val="1"/>
                <w:color w:val="auto"/>
              </w:rPr>
            </w:pPr>
          </w:p>
        </w:tc>
      </w:tr>
      <w:tr>
        <w:trPr>
          <w:trHeight w:val="216"/>
        </w:trPr>
        <w:tc>
          <w:tcPr>
            <w:tcW w:w="790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194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(17,424)</w:t>
            </w:r>
          </w:p>
        </w:tc>
        <w:tc>
          <w:tcPr>
            <w:tcW w:w="15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1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414,931</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128,702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(40,361</w:t>
            </w:r>
          </w:p>
        </w:tc>
        <w:tc>
          <w:tcPr>
            <w:tcW w:w="440" w:type="dxa"/>
            <w:vAlign w:val="bottom"/>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(18,960</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211,974</w:t>
            </w:r>
          </w:p>
        </w:tc>
        <w:tc>
          <w:tcPr>
            <w:tcW w:w="440" w:type="dxa"/>
            <w:vAlign w:val="bottom"/>
            <w:tcBorders>
              <w:bottom w:val="single" w:sz="8" w:color="E5FF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171,613</w:t>
            </w:r>
          </w:p>
        </w:tc>
        <w:tc>
          <w:tcPr>
            <w:tcW w:w="44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284,028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EBITDA is defined as earnings before depreciation, amortization, interest income and expense, gain/loss on swaps and taxes. Adjusted EBITDA is defined as EBITDA before foreign exchange gains/losses. Adjusted Profit represents earnings before write-off and accelerated amortization of unamortized loan fees, foreign exchange gains/losses and non-cash gain/loss on swaps that includes (if any) (a) unrealized gain/loss on swaps held for trading, (b) recycled loss of cash flow hedges reclassified to profit or loss in relation to derivatives no longer designated as hedges and (c) ineffective portion of cash flow hedges. Adjusted EPS represents earnings attributable to owners of the Group before non-cash gain/loss on swaps as defined above, foreign exchange gains/losses and write-off and accelerated amortization of unamortized loan fees,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interest,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 fees, which items are affected by various and possibly changing financing methods, capital structure and historical cost basis and which items may significantly affect results of operations between periods.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Profit/(Loss):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3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900" w:type="dxa"/>
            <w:vAlign w:val="bottom"/>
          </w:tcPr>
          <w:p>
            <w:pPr>
              <w:spacing w:after="0"/>
              <w:rPr>
                <w:sz w:val="20"/>
                <w:szCs w:val="20"/>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 2015</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7900" w:type="dxa"/>
            <w:vAlign w:val="bottom"/>
            <w:tcBorders>
              <w:top w:val="single" w:sz="8" w:color="E5FFFF"/>
            </w:tcBorders>
            <w:shd w:val="clear" w:color="auto" w:fill="E5FFFF"/>
          </w:tcPr>
          <w:p>
            <w:pPr>
              <w:ind w:left="40"/>
              <w:spacing w:after="0"/>
              <w:rPr>
                <w:sz w:val="20"/>
                <w:szCs w:val="20"/>
                <w:color w:val="auto"/>
              </w:rPr>
            </w:pPr>
            <w:r>
              <w:rPr>
                <w:rFonts w:ascii="Arial" w:cs="Arial" w:eastAsia="Arial" w:hAnsi="Arial"/>
                <w:sz w:val="18"/>
                <w:szCs w:val="18"/>
                <w:color w:val="auto"/>
              </w:rPr>
              <w:t>Profit/(loss) for the period</w:t>
            </w: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13,852</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(5,298)</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of fixed assets</w:t>
            </w: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22,695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28,164</w:t>
            </w:r>
          </w:p>
        </w:tc>
        <w:tc>
          <w:tcPr>
            <w:tcW w:w="80" w:type="dxa"/>
            <w:vAlign w:val="bottom"/>
          </w:tcPr>
          <w:p>
            <w:pPr>
              <w:spacing w:after="0"/>
              <w:rPr>
                <w:sz w:val="18"/>
                <w:szCs w:val="18"/>
                <w:color w:val="auto"/>
              </w:rPr>
            </w:pPr>
          </w:p>
        </w:tc>
      </w:tr>
      <w:tr>
        <w:trPr>
          <w:trHeight w:val="216"/>
        </w:trPr>
        <w:tc>
          <w:tcPr>
            <w:tcW w:w="790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Financial costs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18,528</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80" w:type="dxa"/>
            <w:vAlign w:val="bottom"/>
            <w:shd w:val="clear" w:color="auto" w:fill="E5FFFF"/>
          </w:tcPr>
          <w:p>
            <w:pPr>
              <w:spacing w:after="0"/>
              <w:rPr>
                <w:sz w:val="18"/>
                <w:szCs w:val="18"/>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rPr>
              <w:t>Financial income</w:t>
            </w:r>
          </w:p>
        </w:tc>
        <w:tc>
          <w:tcPr>
            <w:tcW w:w="1940" w:type="dxa"/>
            <w:vAlign w:val="bottom"/>
            <w:gridSpan w:val="2"/>
          </w:tcPr>
          <w:p>
            <w:pPr>
              <w:jc w:val="right"/>
              <w:ind w:right="380"/>
              <w:spacing w:after="0"/>
              <w:rPr>
                <w:sz w:val="20"/>
                <w:szCs w:val="20"/>
                <w:color w:val="auto"/>
              </w:rPr>
            </w:pPr>
            <w:r>
              <w:rPr>
                <w:rFonts w:ascii="Arial" w:cs="Arial" w:eastAsia="Arial" w:hAnsi="Arial"/>
                <w:sz w:val="18"/>
                <w:szCs w:val="18"/>
                <w:color w:val="auto"/>
              </w:rPr>
              <w:t>(63)</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(202)</w:t>
            </w:r>
          </w:p>
        </w:tc>
      </w:tr>
      <w:tr>
        <w:trPr>
          <w:trHeight w:val="230"/>
        </w:trPr>
        <w:tc>
          <w:tcPr>
            <w:tcW w:w="7900" w:type="dxa"/>
            <w:vAlign w:val="bottom"/>
            <w:shd w:val="clear" w:color="auto" w:fill="E5FFFF"/>
          </w:tcPr>
          <w:p>
            <w:pPr>
              <w:ind w:left="40"/>
              <w:spacing w:after="0"/>
              <w:rPr>
                <w:sz w:val="20"/>
                <w:szCs w:val="20"/>
                <w:color w:val="auto"/>
              </w:rPr>
            </w:pPr>
            <w:r>
              <w:rPr>
                <w:rFonts w:ascii="Arial" w:cs="Arial" w:eastAsia="Arial" w:hAnsi="Arial"/>
                <w:sz w:val="18"/>
                <w:szCs w:val="18"/>
                <w:color w:val="auto"/>
              </w:rPr>
              <w:t>Loss on swaps</w:t>
            </w:r>
          </w:p>
        </w:tc>
        <w:tc>
          <w:tcPr>
            <w:tcW w:w="19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6,979</w:t>
            </w: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10,414</w:t>
            </w:r>
          </w:p>
        </w:tc>
        <w:tc>
          <w:tcPr>
            <w:tcW w:w="80" w:type="dxa"/>
            <w:vAlign w:val="bottom"/>
            <w:shd w:val="clear" w:color="auto" w:fill="E5FFFF"/>
          </w:tcPr>
          <w:p>
            <w:pPr>
              <w:spacing w:after="0"/>
              <w:rPr>
                <w:sz w:val="19"/>
                <w:szCs w:val="19"/>
                <w:color w:val="auto"/>
              </w:rPr>
            </w:pPr>
          </w:p>
        </w:tc>
      </w:tr>
      <w:tr>
        <w:trPr>
          <w:trHeight w:val="210"/>
        </w:trPr>
        <w:tc>
          <w:tcPr>
            <w:tcW w:w="7900" w:type="dxa"/>
            <w:vAlign w:val="bottom"/>
            <w:tcBorders>
              <w:bottom w:val="single" w:sz="8" w:color="E5FFFF"/>
            </w:tcBorders>
          </w:tcPr>
          <w:p>
            <w:pPr>
              <w:ind w:left="40"/>
              <w:spacing w:after="0"/>
              <w:rPr>
                <w:sz w:val="20"/>
                <w:szCs w:val="20"/>
                <w:color w:val="auto"/>
              </w:rPr>
            </w:pPr>
            <w:r>
              <w:rPr>
                <w:rFonts w:ascii="Arial" w:cs="Arial" w:eastAsia="Arial" w:hAnsi="Arial"/>
                <w:sz w:val="18"/>
                <w:szCs w:val="18"/>
                <w:b w:val="1"/>
                <w:bCs w:val="1"/>
                <w:color w:val="auto"/>
              </w:rPr>
              <w:t>EBITDA</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61,991</w:t>
            </w:r>
          </w:p>
        </w:tc>
        <w:tc>
          <w:tcPr>
            <w:tcW w:w="44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62,257</w:t>
            </w:r>
          </w:p>
        </w:tc>
        <w:tc>
          <w:tcPr>
            <w:tcW w:w="20" w:type="dxa"/>
            <w:vAlign w:val="bottom"/>
            <w:tcBorders>
              <w:bottom w:val="single" w:sz="8" w:color="E5FFFF"/>
            </w:tcBorders>
          </w:tcPr>
          <w:p>
            <w:pPr>
              <w:spacing w:after="0"/>
              <w:rPr>
                <w:sz w:val="18"/>
                <w:szCs w:val="18"/>
                <w:color w:val="auto"/>
              </w:rPr>
            </w:pPr>
          </w:p>
        </w:tc>
        <w:tc>
          <w:tcPr>
            <w:tcW w:w="80" w:type="dxa"/>
            <w:vAlign w:val="bottom"/>
            <w:tcBorders>
              <w:bottom w:val="single" w:sz="8" w:color="E5FFFF"/>
            </w:tcBorders>
          </w:tcPr>
          <w:p>
            <w:pPr>
              <w:spacing w:after="0"/>
              <w:rPr>
                <w:sz w:val="18"/>
                <w:szCs w:val="18"/>
                <w:color w:val="auto"/>
              </w:rPr>
            </w:pPr>
          </w:p>
        </w:tc>
      </w:tr>
      <w:tr>
        <w:trPr>
          <w:trHeight w:val="210"/>
        </w:trPr>
        <w:tc>
          <w:tcPr>
            <w:tcW w:w="7900" w:type="dxa"/>
            <w:vAlign w:val="bottom"/>
            <w:shd w:val="clear" w:color="auto" w:fill="E5FFFF"/>
          </w:tcPr>
          <w:p>
            <w:pPr>
              <w:ind w:left="40"/>
              <w:spacing w:after="0"/>
              <w:rPr>
                <w:sz w:val="20"/>
                <w:szCs w:val="20"/>
                <w:color w:val="auto"/>
              </w:rPr>
            </w:pPr>
            <w:r>
              <w:rPr>
                <w:rFonts w:ascii="Arial" w:cs="Arial" w:eastAsia="Arial" w:hAnsi="Arial"/>
                <w:sz w:val="18"/>
                <w:szCs w:val="18"/>
                <w:color w:val="auto"/>
              </w:rPr>
              <w:t>Foreign exchange losses/(gains), net</w:t>
            </w:r>
          </w:p>
        </w:tc>
        <w:tc>
          <w:tcPr>
            <w:tcW w:w="15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1,588</w:t>
            </w:r>
          </w:p>
        </w:tc>
        <w:tc>
          <w:tcPr>
            <w:tcW w:w="44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10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63,579</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Profit to Profit/(Loss):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ectPr>
          <w:pgSz w:w="11900" w:h="16838" w:orient="portrait"/>
          <w:cols w:equalWidth="0" w:num="1">
            <w:col w:w="11420"/>
          </w:cols>
          <w:pgMar w:left="240" w:top="4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Profit/(loss)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Non-cash loss on swaps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Write-off and accelerated amortization of unamortized loan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losses/(gains),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2015</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March 31, 2016</w:t>
            </w:r>
          </w:p>
        </w:tc>
      </w:tr>
      <w:tr>
        <w:trPr>
          <w:trHeight w:val="195"/>
        </w:trPr>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13,852</w:t>
            </w:r>
          </w:p>
        </w:tc>
        <w:tc>
          <w:tcPr>
            <w:tcW w:w="4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(5,298)</w:t>
            </w:r>
          </w:p>
        </w:tc>
        <w:tc>
          <w:tcPr>
            <w:tcW w:w="60" w:type="dxa"/>
            <w:vAlign w:val="bottom"/>
            <w:gridSpan w:val="2"/>
          </w:tcPr>
          <w:p>
            <w:pPr>
              <w:spacing w:after="0"/>
              <w:rPr>
                <w:sz w:val="16"/>
                <w:szCs w:val="16"/>
                <w:color w:val="auto"/>
              </w:rPr>
            </w:pPr>
          </w:p>
        </w:tc>
      </w:tr>
      <w:tr>
        <w:trPr>
          <w:trHeight w:val="216"/>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4,782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8,486</w:t>
            </w:r>
          </w:p>
        </w:tc>
        <w:tc>
          <w:tcPr>
            <w:tcW w:w="40" w:type="dxa"/>
            <w:vAlign w:val="bottom"/>
          </w:tcPr>
          <w:p>
            <w:pPr>
              <w:spacing w:after="0"/>
              <w:rPr>
                <w:sz w:val="18"/>
                <w:szCs w:val="18"/>
                <w:color w:val="auto"/>
              </w:rPr>
            </w:pPr>
          </w:p>
        </w:tc>
      </w:tr>
      <w:tr>
        <w:trPr>
          <w:trHeight w:val="216"/>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c>
          <w:tcPr>
            <w:tcW w:w="40" w:type="dxa"/>
            <w:vAlign w:val="bottom"/>
          </w:tcPr>
          <w:p>
            <w:pPr>
              <w:spacing w:after="0"/>
              <w:rPr>
                <w:sz w:val="18"/>
                <w:szCs w:val="18"/>
                <w:color w:val="auto"/>
              </w:rPr>
            </w:pPr>
          </w:p>
        </w:tc>
      </w:tr>
      <w:tr>
        <w:trPr>
          <w:trHeight w:val="244"/>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1,588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20,222</w:t>
            </w:r>
          </w:p>
        </w:tc>
        <w:tc>
          <w:tcPr>
            <w:tcW w:w="440" w:type="dxa"/>
            <w:vAlign w:val="bottom"/>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6,190</w:t>
            </w:r>
          </w:p>
        </w:tc>
        <w:tc>
          <w:tcPr>
            <w:tcW w:w="40" w:type="dxa"/>
            <w:vAlign w:val="bottom"/>
          </w:tcPr>
          <w:p>
            <w:pPr>
              <w:spacing w:after="0"/>
              <w:rPr>
                <w:sz w:val="19"/>
                <w:szCs w:val="19"/>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180" w:space="720"/>
            <w:col w:w="3520"/>
          </w:cols>
          <w:pgMar w:left="240" w:top="405"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Reconciliation of Adjusted Earnings/(Losses) Per Share to Earnings/(Losses)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 except shares and per share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700"/>
        <w:spacing w:after="0" w:line="258" w:lineRule="auto"/>
        <w:rPr>
          <w:sz w:val="20"/>
          <w:szCs w:val="20"/>
          <w:color w:val="auto"/>
        </w:rPr>
      </w:pPr>
      <w:r>
        <w:rPr>
          <w:rFonts w:ascii="Arial" w:cs="Arial" w:eastAsia="Arial" w:hAnsi="Arial"/>
          <w:sz w:val="18"/>
          <w:szCs w:val="18"/>
          <w:color w:val="auto"/>
        </w:rPr>
        <w:t>Profit/(loss) for the period attributable to owners of the Group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Dividend on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right="1120"/>
        <w:spacing w:after="0" w:line="266" w:lineRule="auto"/>
        <w:rPr>
          <w:sz w:val="20"/>
          <w:szCs w:val="20"/>
          <w:color w:val="auto"/>
        </w:rPr>
      </w:pPr>
      <w:r>
        <w:rPr>
          <w:rFonts w:ascii="Arial" w:cs="Arial" w:eastAsia="Arial" w:hAnsi="Arial"/>
          <w:sz w:val="18"/>
          <w:szCs w:val="18"/>
          <w:color w:val="auto"/>
        </w:rPr>
        <w:t>Profit/(loss) for the period available to owners of the Group used in EPS calculation Weighted average number of shares outstanding,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Earnings/(losses)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Profit/(loss) for the period available to owners of the Group used in EPS calculation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Non-cash loss on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Write-off and accelerated amortization of unamortized loan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losses/(gains),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ind w:left="140"/>
        <w:spacing w:after="0"/>
        <w:tabs>
          <w:tab w:leader="none" w:pos="2060" w:val="left"/>
        </w:tabs>
        <w:rPr>
          <w:sz w:val="20"/>
          <w:szCs w:val="20"/>
          <w:color w:val="auto"/>
        </w:rPr>
      </w:pPr>
      <w:r>
        <w:rPr>
          <w:rFonts w:ascii="Arial" w:cs="Arial" w:eastAsia="Arial" w:hAnsi="Arial"/>
          <w:sz w:val="18"/>
          <w:szCs w:val="18"/>
          <w:b w:val="1"/>
          <w:bCs w:val="1"/>
          <w:color w:val="auto"/>
        </w:rPr>
        <w:t>March 31, 2015</w:t>
      </w:r>
      <w:r>
        <w:rPr>
          <w:sz w:val="20"/>
          <w:szCs w:val="20"/>
          <w:color w:val="auto"/>
        </w:rPr>
        <w:tab/>
      </w:r>
      <w:r>
        <w:rPr>
          <w:rFonts w:ascii="Arial" w:cs="Arial" w:eastAsia="Arial" w:hAnsi="Arial"/>
          <w:sz w:val="16"/>
          <w:szCs w:val="16"/>
          <w:b w:val="1"/>
          <w:bCs w:val="1"/>
          <w:color w:val="auto"/>
        </w:rPr>
        <w:t>March 31, 2016</w:t>
      </w:r>
    </w:p>
    <w:p>
      <w:pPr>
        <w:spacing w:after="0" w:line="23" w:lineRule="exact"/>
        <w:rPr>
          <w:sz w:val="20"/>
          <w:szCs w:val="20"/>
          <w:color w:val="auto"/>
        </w:rPr>
      </w:pPr>
    </w:p>
    <w:p>
      <w:pPr>
        <w:jc w:val="both"/>
        <w:ind w:left="1080"/>
        <w:spacing w:after="0"/>
        <w:tabs>
          <w:tab w:leader="none" w:pos="2840" w:val="left"/>
        </w:tabs>
        <w:rPr>
          <w:sz w:val="20"/>
          <w:szCs w:val="20"/>
          <w:color w:val="auto"/>
        </w:rPr>
      </w:pPr>
      <w:r>
        <w:rPr>
          <w:rFonts w:ascii="Arial" w:cs="Arial" w:eastAsia="Arial" w:hAnsi="Arial"/>
          <w:sz w:val="18"/>
          <w:szCs w:val="18"/>
          <w:color w:val="auto"/>
        </w:rPr>
        <w:t>4,342</w:t>
      </w:r>
      <w:r>
        <w:rPr>
          <w:sz w:val="20"/>
          <w:szCs w:val="20"/>
          <w:color w:val="auto"/>
        </w:rPr>
        <w:tab/>
      </w:r>
      <w:r>
        <w:rPr>
          <w:rFonts w:ascii="Arial" w:cs="Arial" w:eastAsia="Arial" w:hAnsi="Arial"/>
          <w:sz w:val="18"/>
          <w:szCs w:val="18"/>
          <w:color w:val="auto"/>
        </w:rPr>
        <w:t>(15,898)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440" w:type="dxa"/>
            <w:vAlign w:val="bottom"/>
          </w:tcPr>
          <w:p>
            <w:pPr>
              <w:spacing w:after="0"/>
              <w:rPr>
                <w:sz w:val="18"/>
                <w:szCs w:val="18"/>
                <w:color w:val="auto"/>
              </w:rPr>
            </w:pPr>
          </w:p>
        </w:tc>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(18,413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80,495,749</w:t>
            </w:r>
          </w:p>
        </w:tc>
        <w:tc>
          <w:tcPr>
            <w:tcW w:w="4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80,496,499</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2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4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(0.23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500" w:type="dxa"/>
            <w:vAlign w:val="bottom"/>
          </w:tcPr>
          <w:p>
            <w:pPr>
              <w:jc w:val="right"/>
              <w:spacing w:after="0"/>
              <w:rPr>
                <w:sz w:val="20"/>
                <w:szCs w:val="20"/>
                <w:color w:val="auto"/>
              </w:rPr>
            </w:pPr>
            <w:r>
              <w:rPr>
                <w:rFonts w:ascii="Arial" w:cs="Arial" w:eastAsia="Arial" w:hAnsi="Arial"/>
                <w:sz w:val="18"/>
                <w:szCs w:val="18"/>
                <w:color w:val="auto"/>
              </w:rPr>
              <w:t>4,342</w:t>
            </w:r>
          </w:p>
        </w:tc>
        <w:tc>
          <w:tcPr>
            <w:tcW w:w="440" w:type="dxa"/>
            <w:vAlign w:val="bottom"/>
            <w:vMerge w:val="continue"/>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(18,413)</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4,782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8,486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1,588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180" w:space="720"/>
            <w:col w:w="3520"/>
          </w:cols>
          <w:pgMar w:left="240" w:top="405"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Adjusted Profit/(loss) attributable to owners of the Group</w:t>
            </w:r>
          </w:p>
        </w:tc>
        <w:tc>
          <w:tcPr>
            <w:tcW w:w="30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10,712</w:t>
            </w:r>
          </w:p>
        </w:tc>
        <w:tc>
          <w:tcPr>
            <w:tcW w:w="440" w:type="dxa"/>
            <w:vAlign w:val="bottom"/>
          </w:tcPr>
          <w:p>
            <w:pPr>
              <w:spacing w:after="0"/>
              <w:rPr>
                <w:sz w:val="18"/>
                <w:szCs w:val="18"/>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(6,925</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48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302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80,495,749</w:t>
            </w:r>
          </w:p>
        </w:tc>
        <w:tc>
          <w:tcPr>
            <w:tcW w:w="4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Adjusted earnings/(losses) per share</w:t>
            </w:r>
          </w:p>
        </w:tc>
        <w:tc>
          <w:tcPr>
            <w:tcW w:w="30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0.13</w:t>
            </w:r>
          </w:p>
        </w:tc>
        <w:tc>
          <w:tcPr>
            <w:tcW w:w="4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2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0C0C0"/>
            </w:tcBorders>
          </w:tcPr>
          <w:p>
            <w:pPr>
              <w:spacing w:after="0"/>
              <w:rPr>
                <w:sz w:val="21"/>
                <w:szCs w:val="21"/>
                <w:color w:val="auto"/>
              </w:rPr>
            </w:pPr>
          </w:p>
        </w:tc>
        <w:tc>
          <w:tcPr>
            <w:tcW w:w="3020" w:type="dxa"/>
            <w:vAlign w:val="bottom"/>
            <w:tcBorders>
              <w:bottom w:val="single" w:sz="8" w:color="C0C0C0"/>
            </w:tcBorders>
          </w:tcPr>
          <w:p>
            <w:pPr>
              <w:spacing w:after="0"/>
              <w:rPr>
                <w:sz w:val="21"/>
                <w:szCs w:val="21"/>
                <w:color w:val="auto"/>
              </w:rPr>
            </w:pPr>
          </w:p>
        </w:tc>
        <w:tc>
          <w:tcPr>
            <w:tcW w:w="150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480" w:type="dxa"/>
            <w:vAlign w:val="bottom"/>
            <w:tcBorders>
              <w:bottom w:val="single" w:sz="8" w:color="C0C0C0"/>
            </w:tcBorders>
          </w:tcPr>
          <w:p>
            <w:pPr>
              <w:spacing w:after="0"/>
              <w:rPr>
                <w:sz w:val="21"/>
                <w:szCs w:val="21"/>
                <w:color w:val="auto"/>
              </w:rPr>
            </w:pPr>
          </w:p>
        </w:tc>
        <w:tc>
          <w:tcPr>
            <w:tcW w:w="20" w:type="dxa"/>
            <w:vAlign w:val="bottom"/>
            <w:tcBorders>
              <w:bottom w:val="single" w:sz="8" w:color="C0C0C0"/>
            </w:tcBorders>
          </w:tcPr>
          <w:p>
            <w:pPr>
              <w:spacing w:after="0"/>
              <w:rPr>
                <w:sz w:val="21"/>
                <w:szCs w:val="21"/>
                <w:color w:val="auto"/>
              </w:rPr>
            </w:pPr>
          </w:p>
        </w:tc>
        <w:tc>
          <w:tcPr>
            <w:tcW w:w="8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Financial Report for the Three Months Ended March 31, 2016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following is a discussion of our financial condition and results of operations for the three-month periods ended March 31, 2016 and March 31, 2015.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 please see our Annual Report on Form 20-F filed with the U.S. Securities and Exchange Commission (the “SEC”) on March 14, 2016.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660" w:hanging="328"/>
        <w:spacing w:after="0" w:line="258"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0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56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301"/>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20" w:right="140" w:hanging="301"/>
        <w:spacing w:after="0" w:line="250"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660" w:right="560" w:hanging="328"/>
        <w:spacing w:after="0" w:line="261"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are an international owner, operator and manager of LNG carriers. Our wholly owned fleet consists of 18 LNG carriers, including eleven ships in operation, five LNG carriers on order at Samsung Heavy Industries Co., Ltd. (“Samsung”) and two LNG carriers on order at Hyundai Heavy Industries Co., Ltd. (“Hyundai”). GasLog is also the general and controlling partner in GasLog Partners LP (“GasLog Partners” or the “Partnership”), a publicly traded master limited partnership, which owns eight LNG carriers. In addition, GasLog has leased back under a bareboat charter the vessel sold in February 2016 to a subsidiary of Mitsui Co. Ltd. (“Mitsui”). GasLog has the option to re-purchase the vessel on pre-agreed terms no earlier than the end of year ten and no later than the end of year 17 of the bareboat charter. We currently manage and operate 23 LNG carriers including ten of our wholly owned ships in operation (one is managed by a subsidiary of Royal Dutch Shell plc (“Shell”)), the eight ships contributed or sold to the Partnership, the bareboat vessel, three ships owned by Methane Services Limited (“MSL”), a subsidiary of BG Group plc. (“BG Group”) and one additional LNG carrier in which we have a 25% interest. BG Group was acquired by Shell on February 15, 2016. We are also supervising the construction of our newbuildings.</w:t>
      </w:r>
    </w:p>
    <w:p>
      <w:pPr>
        <w:spacing w:after="0" w:line="182"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have secured multi-year and seasonal time charter contracts for eight of our operating ships, the eight ships owned by the Partnership, the bareboat vessel and six of our seven newbuildings on order. As of March 31, 2016, these contracts are expected to provide total contracted revenue of approximately $3.57 billion during their initial terms, which expire between 2016 and 2029. Contracted revenue calculations assume: (a) 365 revenue days per annum, with 30 off-hire days when the ship undergoes scheduled drydocking, (b) all LNG carriers on order are delivered on schedule, and (c) no exercise of any option to extend the term of charters. Three of our ships are operating in the spot/short-term market. GasLog has entered into a pool agreement with Dynagas Ltd. and Golar LNG Ltd. establishing the Cool Pool Limited (the “Cool Pool”) to market their vessels, which are currently operating in the LNG shipping spot market. The Cool Pool allows the participating owners to optimize the operation of the pool vessels through improved scheduling ability, cost efficiencies and common marketing. The objective of the Cool Pool is to serve the transportation requirements of a rapidly growing LNG shipping market by providing customers with reliable, yet flexible, and innovative solutions to meet their increasingly complex shipping requirements.</w:t>
      </w:r>
    </w:p>
    <w:p>
      <w:pPr>
        <w:spacing w:after="0" w:line="16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also have a 25% interest in an additional ship,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a 2007-built LNG carrier owned by Egypt LNG Shipping Ltd. (“Egypt LNG”) and technically managed by us. It is currently operating under a 20-year time charter to MSL. On October 29, 2015, Egypt LNG and BG Group mutually agreed to lay up the </w:t>
      </w:r>
      <w:r>
        <w:rPr>
          <w:rFonts w:ascii="Arial" w:cs="Arial" w:eastAsia="Arial" w:hAnsi="Arial"/>
          <w:sz w:val="18"/>
          <w:szCs w:val="18"/>
          <w:i w:val="1"/>
          <w:iCs w:val="1"/>
          <w:color w:val="auto"/>
        </w:rPr>
        <w:t>Methane Nile Eagle</w:t>
      </w:r>
      <w:r>
        <w:rPr>
          <w:rFonts w:ascii="Arial" w:cs="Arial" w:eastAsia="Arial" w:hAnsi="Arial"/>
          <w:sz w:val="18"/>
          <w:szCs w:val="18"/>
          <w:color w:val="auto"/>
        </w:rPr>
        <w:t xml:space="preserve"> for a period of approximately one year. The charterer continues to pay charter hire costs adjusted for net savings in operating expenses and insurance as a result of the vessel being laid up.</w:t>
      </w:r>
    </w:p>
    <w:p>
      <w:pPr>
        <w:spacing w:after="0" w:line="18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generate revenues by chartering our ships to customers on multi-year charters, seasonal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On March 11, 2016, the board of directors declared a dividend on the Series A Preference Shares of $0.546875 per share, or $2.52 million in the aggregate, payable on April 1, 2016 to holders of record as of March 31, 2016. GasLog paid the declared dividend to the transfer agent on March 30, 2016.</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May 5, 2016, the board of directors declared a quarterly cash dividend of $0.14 per common share payable or $11.27 million in aggregate on May 26, 2016 to shareholders of record as of May 16,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Refinancing</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On February 18, 2016, subsidiaries of GasLog and GasLog Partners entered into credit agreements (the “Credit Agreements”) to refinance debt maturities that were scheduled to become due in 2016 and 2017. The Credit Agreements are comprised of a five-year senior tranche facility of up to $396.50 million and a two-year bullet junior tranche of up to $180.0 million. The vessels covered by the Credit Agreements are the Partnership-owned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Methane Shirley Elisabeth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and the GasLog-owned</w:t>
      </w:r>
      <w:r>
        <w:rPr>
          <w:rFonts w:ascii="Arial" w:cs="Arial" w:eastAsia="Arial" w:hAnsi="Arial"/>
          <w:sz w:val="17"/>
          <w:szCs w:val="17"/>
          <w:i w:val="1"/>
          <w:iCs w:val="1"/>
          <w:color w:val="auto"/>
        </w:rPr>
        <w:t xml:space="preserve"> Methane Lydon Volney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Becki Anne</w:t>
      </w:r>
      <w:r>
        <w:rPr>
          <w:rFonts w:ascii="Arial" w:cs="Arial" w:eastAsia="Arial" w:hAnsi="Arial"/>
          <w:sz w:val="17"/>
          <w:szCs w:val="17"/>
          <w:color w:val="auto"/>
        </w:rPr>
        <w:t>. On April 5, 2016, $575.20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was drawn under the Credit Agreements and used to partially refinance $644.0 million of outstanding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Sale and Leaseback of the </w:t>
      </w:r>
      <w:r>
        <w:rPr>
          <w:rFonts w:ascii="Arial" w:cs="Arial" w:eastAsia="Arial" w:hAnsi="Arial"/>
          <w:sz w:val="18"/>
          <w:szCs w:val="18"/>
          <w:b w:val="1"/>
          <w:bCs w:val="1"/>
          <w:i w:val="1"/>
          <w:iCs w:val="1"/>
          <w:u w:val="single" w:color="auto"/>
          <w:color w:val="auto"/>
        </w:rPr>
        <w:t>Methane Julia Louise</w:t>
      </w:r>
      <w:r>
        <w:rPr>
          <w:rFonts w:ascii="Arial" w:cs="Arial" w:eastAsia="Arial" w:hAnsi="Arial"/>
          <w:sz w:val="18"/>
          <w:szCs w:val="18"/>
          <w:b w:val="1"/>
          <w:bCs w:val="1"/>
          <w:u w:val="single" w:color="auto"/>
          <w:color w:val="auto"/>
        </w:rPr>
        <w:t xml:space="preserve"> with a subsidiary of Mitsui</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 xml:space="preserve">On February 24, 2016, GasLog’s subsidiary, GAS-twenty six Ltd., completed the ship sale and leaseback transaction with a subsidiary of Mitsui, for the sale and leaseback of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Mitsui has the right to on-sell and lease back the vessel. The vessel was sold to Mitsui for a cash consideration of $217.0 million.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Following the completion of this transaction, the outstanding debt of GAS-twenty six Ltd. of $230.0 million was prepaid.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Greece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March 29, 2016, GasLog took delivery of the </w:t>
      </w:r>
      <w:r>
        <w:rPr>
          <w:rFonts w:ascii="Arial" w:cs="Arial" w:eastAsia="Arial" w:hAnsi="Arial"/>
          <w:sz w:val="18"/>
          <w:szCs w:val="18"/>
          <w:i w:val="1"/>
          <w:iCs w:val="1"/>
          <w:color w:val="auto"/>
        </w:rPr>
        <w:t>GasLog Greece</w:t>
      </w:r>
      <w:r>
        <w:rPr>
          <w:rFonts w:ascii="Arial" w:cs="Arial" w:eastAsia="Arial" w:hAnsi="Arial"/>
          <w:sz w:val="18"/>
          <w:szCs w:val="18"/>
          <w:color w:val="auto"/>
        </w:rPr>
        <w:t>, an LNG carrier of 174,000 cubic meters capacity with tri-fuel diesel electric propulsion constructed by Samsung. The vessel is chartered out to MSL, a subsidiary of BG Group, now owned by Shell, from its delivery until 2026, with an option for the charterer to extend the terms of the charter at specified rates.</w:t>
      </w:r>
    </w:p>
    <w:p>
      <w:pPr>
        <w:sectPr>
          <w:pgSz w:w="11900" w:h="16838" w:orient="portrait"/>
          <w:cols w:equalWidth="0" w:num="1">
            <w:col w:w="11420"/>
          </w:cols>
          <w:pgMar w:left="240" w:top="405"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FSRU market</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GasLog has recently begun to investigate entering the floating LNG storage and regasification unit (“FSRU”) market and signed two pre-engineering studies with Keppel Offshore and Marine Ltd. for the potential conversion of both a Steam and TFDE vessel from our existing fleet. GasLog also appointed Bruno Larsen as Head of FSRU Development. Mr. Larsen has extensive experience in the LNG and FSRU sectors and will be responsible for leading GasLog’s commercial FSRU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Fleet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our wholly owned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8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2"/>
              </w:rPr>
              <w:t>Shell</w:t>
            </w:r>
            <w:r>
              <w:rPr>
                <w:rFonts w:ascii="Arial" w:cs="Arial" w:eastAsia="Arial" w:hAnsi="Arial"/>
                <w:sz w:val="28"/>
                <w:szCs w:val="28"/>
                <w:color w:val="auto"/>
                <w:w w:val="92"/>
                <w:vertAlign w:val="superscript"/>
              </w:rPr>
              <w:t>(1)</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September 2016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2017-2023</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2016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2019-2024</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91"/>
              </w:rPr>
              <w:t>April 2021</w:t>
            </w:r>
            <w:r>
              <w:rPr>
                <w:rFonts w:ascii="Arial" w:cs="Arial" w:eastAsia="Arial" w:hAnsi="Arial"/>
                <w:sz w:val="29"/>
                <w:szCs w:val="29"/>
                <w:color w:val="auto"/>
                <w:w w:val="91"/>
                <w:vertAlign w:val="superscript"/>
              </w:rPr>
              <w:t>(4)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153,600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Seattle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2025-2030</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tcPr>
          <w:p>
            <w:pPr>
              <w:ind w:left="1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Shell</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2026-2031</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March 2024</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2027-2029</w:t>
            </w: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40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tcPr>
          <w:p>
            <w:pPr>
              <w:ind w:left="12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9"/>
              </w:rPr>
              <w:t>Spot Market</w:t>
            </w:r>
            <w:r>
              <w:rPr>
                <w:rFonts w:ascii="Arial" w:cs="Arial" w:eastAsia="Arial" w:hAnsi="Arial"/>
                <w:sz w:val="29"/>
                <w:szCs w:val="29"/>
                <w:color w:val="auto"/>
                <w:w w:val="89"/>
                <w:vertAlign w:val="superscript"/>
              </w:rPr>
              <w:t>(5)</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124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340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Greece</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174,000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rPr>
                <w:sz w:val="20"/>
                <w:szCs w:val="20"/>
                <w:color w:val="auto"/>
              </w:rPr>
            </w:pPr>
            <w:r>
              <w:rPr>
                <w:rFonts w:ascii="Arial" w:cs="Arial" w:eastAsia="Arial" w:hAnsi="Arial"/>
                <w:sz w:val="18"/>
                <w:szCs w:val="18"/>
                <w:color w:val="auto"/>
                <w:w w:val="92"/>
              </w:rPr>
              <w:t>March 2026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Partnership’s fleet consists of the following vessels: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Borders>
              <w:bottom w:val="single" w:sz="8" w:color="E5FFFF"/>
            </w:tcBorders>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Borders>
              <w:bottom w:val="single" w:sz="8" w:color="E5FFFF"/>
            </w:tcBorders>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r>
        <w:trPr>
          <w:trHeight w:val="250"/>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Shanghai</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1"/>
              </w:rPr>
              <w:t xml:space="preserve">Shell </w:t>
            </w:r>
            <w:r>
              <w:rPr>
                <w:rFonts w:ascii="Arial" w:cs="Arial" w:eastAsia="Arial" w:hAnsi="Arial"/>
                <w:sz w:val="28"/>
                <w:szCs w:val="28"/>
                <w:color w:val="auto"/>
                <w:w w:val="91"/>
                <w:vertAlign w:val="superscript"/>
              </w:rPr>
              <w:t>(1)</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192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4"/>
              </w:rPr>
              <w:t>May 2018</w:t>
            </w:r>
            <w:r>
              <w:rPr>
                <w:rFonts w:ascii="Arial" w:cs="Arial" w:eastAsia="Arial" w:hAnsi="Arial"/>
                <w:sz w:val="28"/>
                <w:szCs w:val="28"/>
                <w:color w:val="auto"/>
                <w:w w:val="94"/>
                <w:vertAlign w:val="superscript"/>
              </w:rPr>
              <w:t>(6)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Santiago</w:t>
            </w:r>
          </w:p>
        </w:tc>
        <w:tc>
          <w:tcPr>
            <w:tcW w:w="580" w:type="dxa"/>
            <w:vAlign w:val="bottom"/>
          </w:tcPr>
          <w:p>
            <w:pPr>
              <w:ind w:left="12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line="256" w:lineRule="exact"/>
              <w:rPr>
                <w:sz w:val="20"/>
                <w:szCs w:val="20"/>
                <w:color w:val="auto"/>
              </w:rPr>
            </w:pPr>
            <w:r>
              <w:rPr>
                <w:rFonts w:ascii="Arial" w:cs="Arial" w:eastAsia="Arial" w:hAnsi="Arial"/>
                <w:sz w:val="18"/>
                <w:szCs w:val="18"/>
                <w:color w:val="auto"/>
                <w:w w:val="87"/>
              </w:rPr>
              <w:t>July 2018</w:t>
            </w:r>
            <w:r>
              <w:rPr>
                <w:rFonts w:ascii="Arial" w:cs="Arial" w:eastAsia="Arial" w:hAnsi="Arial"/>
                <w:sz w:val="29"/>
                <w:szCs w:val="29"/>
                <w:color w:val="auto"/>
                <w:w w:val="87"/>
                <w:vertAlign w:val="superscript"/>
              </w:rPr>
              <w:t>(6)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Sydney</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155,000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shd w:val="clear" w:color="auto" w:fill="E5FFFF"/>
          </w:tcPr>
          <w:p>
            <w:pPr>
              <w:jc w:val="center"/>
              <w:ind w:right="120"/>
              <w:spacing w:after="0" w:line="256" w:lineRule="exact"/>
              <w:rPr>
                <w:sz w:val="20"/>
                <w:szCs w:val="20"/>
                <w:color w:val="auto"/>
              </w:rPr>
            </w:pPr>
            <w:r>
              <w:rPr>
                <w:rFonts w:ascii="Arial" w:cs="Arial" w:eastAsia="Arial" w:hAnsi="Arial"/>
                <w:sz w:val="18"/>
                <w:szCs w:val="18"/>
                <w:color w:val="auto"/>
                <w:w w:val="86"/>
              </w:rPr>
              <w:t>September 2018</w:t>
            </w:r>
            <w:r>
              <w:rPr>
                <w:rFonts w:ascii="Arial" w:cs="Arial" w:eastAsia="Arial" w:hAnsi="Arial"/>
                <w:sz w:val="29"/>
                <w:szCs w:val="29"/>
                <w:color w:val="auto"/>
                <w:w w:val="86"/>
                <w:vertAlign w:val="superscript"/>
              </w:rPr>
              <w:t>(6)</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Rita Andrea</w:t>
            </w:r>
          </w:p>
        </w:tc>
        <w:tc>
          <w:tcPr>
            <w:tcW w:w="580" w:type="dxa"/>
            <w:vAlign w:val="bottom"/>
          </w:tcPr>
          <w:p>
            <w:pPr>
              <w:ind w:left="1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Jane Elizabeth</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9"/>
              </w:rPr>
              <w:t>October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257"/>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Shirley Elisabeth</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2"/>
                <w:szCs w:val="22"/>
                <w:color w:val="auto"/>
              </w:rPr>
            </w:pPr>
          </w:p>
        </w:tc>
        <w:tc>
          <w:tcPr>
            <w:tcW w:w="1580" w:type="dxa"/>
            <w:vAlign w:val="bottom"/>
            <w:gridSpan w:val="2"/>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46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Alison Victoria</w:t>
            </w:r>
          </w:p>
        </w:tc>
        <w:tc>
          <w:tcPr>
            <w:tcW w:w="580" w:type="dxa"/>
            <w:vAlign w:val="bottom"/>
            <w:shd w:val="clear" w:color="auto" w:fill="E5FFFF"/>
          </w:tcPr>
          <w:p>
            <w:pPr>
              <w:ind w:left="120"/>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shd w:val="clear" w:color="auto" w:fill="E5FFFF"/>
          </w:tcPr>
          <w:p>
            <w:pPr>
              <w:spacing w:after="0"/>
              <w:rPr>
                <w:sz w:val="22"/>
                <w:szCs w:val="22"/>
                <w:color w:val="auto"/>
              </w:rPr>
            </w:pPr>
          </w:p>
        </w:tc>
        <w:tc>
          <w:tcPr>
            <w:tcW w:w="1580" w:type="dxa"/>
            <w:vAlign w:val="bottom"/>
            <w:gridSpan w:val="2"/>
            <w:shd w:val="clear" w:color="auto" w:fill="E5FFFF"/>
          </w:tcPr>
          <w:p>
            <w:pPr>
              <w:jc w:val="center"/>
              <w:ind w:right="100"/>
              <w:spacing w:after="0" w:line="256" w:lineRule="exact"/>
              <w:rPr>
                <w:sz w:val="20"/>
                <w:szCs w:val="20"/>
                <w:color w:val="auto"/>
              </w:rPr>
            </w:pPr>
            <w:r>
              <w:rPr>
                <w:rFonts w:ascii="Arial" w:cs="Arial" w:eastAsia="Arial" w:hAnsi="Arial"/>
                <w:sz w:val="18"/>
                <w:szCs w:val="18"/>
                <w:color w:val="auto"/>
                <w:w w:val="87"/>
              </w:rPr>
              <w:t xml:space="preserve">Shell </w:t>
            </w:r>
            <w:r>
              <w:rPr>
                <w:rFonts w:ascii="Arial" w:cs="Arial" w:eastAsia="Arial" w:hAnsi="Arial"/>
                <w:sz w:val="29"/>
                <w:szCs w:val="29"/>
                <w:color w:val="auto"/>
                <w:w w:val="87"/>
                <w:vertAlign w:val="superscript"/>
              </w:rPr>
              <w:t>(1)</w:t>
            </w:r>
          </w:p>
        </w:tc>
        <w:tc>
          <w:tcPr>
            <w:tcW w:w="11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shd w:val="clear" w:color="auto" w:fill="E5FFFF"/>
          </w:tcPr>
          <w:p>
            <w:pPr>
              <w:jc w:val="center"/>
              <w:ind w:right="100"/>
              <w:spacing w:after="0"/>
              <w:rPr>
                <w:sz w:val="20"/>
                <w:szCs w:val="20"/>
                <w:color w:val="auto"/>
              </w:rPr>
            </w:pPr>
            <w:r>
              <w:rPr>
                <w:rFonts w:ascii="Arial" w:cs="Arial" w:eastAsia="Arial" w:hAnsi="Arial"/>
                <w:sz w:val="18"/>
                <w:szCs w:val="18"/>
                <w:color w:val="auto"/>
                <w:w w:val="88"/>
              </w:rPr>
              <w:t>December 2019</w:t>
            </w:r>
          </w:p>
        </w:tc>
        <w:tc>
          <w:tcPr>
            <w:tcW w:w="12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2022-2024</w:t>
            </w:r>
          </w:p>
        </w:tc>
      </w:tr>
      <w:tr>
        <w:trPr>
          <w:trHeight w:val="390"/>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46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Heather Sally</w:t>
            </w:r>
          </w:p>
        </w:tc>
        <w:tc>
          <w:tcPr>
            <w:tcW w:w="580" w:type="dxa"/>
            <w:vAlign w:val="bottom"/>
          </w:tcPr>
          <w:p>
            <w:pPr>
              <w:ind w:left="12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145,000</w:t>
            </w: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(1)</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Steam</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2020</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2023-2025</w:t>
            </w:r>
          </w:p>
        </w:tc>
      </w:tr>
      <w:tr>
        <w:trPr>
          <w:trHeight w:val="299"/>
        </w:trPr>
        <w:tc>
          <w:tcPr>
            <w:tcW w:w="3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4"/>
        </w:trPr>
        <w:tc>
          <w:tcPr>
            <w:tcW w:w="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0"/>
        </w:trPr>
        <w:tc>
          <w:tcPr>
            <w:tcW w:w="2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Capacity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Charter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Optional</w:t>
            </w:r>
          </w:p>
        </w:tc>
      </w:tr>
      <w:tr>
        <w:trPr>
          <w:trHeight w:val="271"/>
        </w:trPr>
        <w:tc>
          <w:tcPr>
            <w:tcW w:w="22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Vessel Name</w:t>
            </w:r>
          </w:p>
        </w:tc>
        <w:tc>
          <w:tcPr>
            <w:tcW w:w="120" w:type="dxa"/>
            <w:vAlign w:val="bottom"/>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12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Charterer</w:t>
            </w:r>
          </w:p>
        </w:tc>
        <w:tc>
          <w:tcPr>
            <w:tcW w:w="100" w:type="dxa"/>
            <w:vAlign w:val="bottom"/>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100" w:type="dxa"/>
            <w:vAlign w:val="bottom"/>
          </w:tcPr>
          <w:p>
            <w:pPr>
              <w:spacing w:after="0"/>
              <w:rPr>
                <w:sz w:val="23"/>
                <w:szCs w:val="23"/>
                <w:color w:val="auto"/>
              </w:rPr>
            </w:pPr>
          </w:p>
        </w:tc>
        <w:tc>
          <w:tcPr>
            <w:tcW w:w="192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(2)</w:t>
            </w:r>
          </w:p>
        </w:tc>
        <w:tc>
          <w:tcPr>
            <w:tcW w:w="120" w:type="dxa"/>
            <w:vAlign w:val="bottom"/>
          </w:tcPr>
          <w:p>
            <w:pPr>
              <w:spacing w:after="0"/>
              <w:rPr>
                <w:sz w:val="23"/>
                <w:szCs w:val="23"/>
                <w:color w:val="auto"/>
              </w:rPr>
            </w:pPr>
          </w:p>
        </w:tc>
        <w:tc>
          <w:tcPr>
            <w:tcW w:w="12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(3)</w:t>
            </w:r>
          </w:p>
        </w:tc>
      </w:tr>
      <w:tr>
        <w:trPr>
          <w:trHeight w:val="384"/>
        </w:trPr>
        <w:tc>
          <w:tcPr>
            <w:tcW w:w="220" w:type="dxa"/>
            <w:vAlign w:val="bottom"/>
          </w:tcPr>
          <w:p>
            <w:pPr>
              <w:spacing w:after="0"/>
              <w:rPr>
                <w:sz w:val="20"/>
                <w:szCs w:val="20"/>
                <w:color w:val="auto"/>
              </w:rPr>
            </w:pPr>
            <w:r>
              <w:rPr>
                <w:rFonts w:ascii="Arial" w:cs="Arial" w:eastAsia="Arial" w:hAnsi="Arial"/>
                <w:sz w:val="18"/>
                <w:szCs w:val="18"/>
                <w:b w:val="1"/>
                <w:bCs w:val="1"/>
                <w:color w:val="auto"/>
              </w:rPr>
              <w:t>1</w:t>
            </w:r>
          </w:p>
        </w:tc>
        <w:tc>
          <w:tcPr>
            <w:tcW w:w="3340" w:type="dxa"/>
            <w:vAlign w:val="bottom"/>
          </w:tcPr>
          <w:p>
            <w:pPr>
              <w:ind w:left="140"/>
              <w:spacing w:after="0"/>
              <w:rPr>
                <w:sz w:val="20"/>
                <w:szCs w:val="20"/>
                <w:color w:val="auto"/>
              </w:rPr>
            </w:pPr>
            <w:r>
              <w:rPr>
                <w:rFonts w:ascii="Arial" w:cs="Arial" w:eastAsia="Arial" w:hAnsi="Arial"/>
                <w:sz w:val="18"/>
                <w:szCs w:val="18"/>
                <w:i w:val="1"/>
                <w:iCs w:val="1"/>
                <w:color w:val="auto"/>
              </w:rPr>
              <w:t xml:space="preserve">Methane Julia Louise </w:t>
            </w:r>
            <w:r>
              <w:rPr>
                <w:rFonts w:ascii="Arial" w:cs="Arial" w:eastAsia="Arial" w:hAnsi="Arial"/>
                <w:sz w:val="30"/>
                <w:szCs w:val="30"/>
                <w:color w:val="auto"/>
                <w:vertAlign w:val="superscript"/>
              </w:rPr>
              <w:t>(7)</w:t>
            </w:r>
          </w:p>
        </w:tc>
        <w:tc>
          <w:tcPr>
            <w:tcW w:w="12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170,000</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 xml:space="preserve">Shell </w:t>
            </w:r>
            <w:r>
              <w:rPr>
                <w:rFonts w:ascii="Arial" w:cs="Arial" w:eastAsia="Arial" w:hAnsi="Arial"/>
                <w:sz w:val="30"/>
                <w:szCs w:val="30"/>
                <w:color w:val="auto"/>
                <w:w w:val="86"/>
                <w:vertAlign w:val="superscript"/>
              </w:rPr>
              <w:t>(1)</w:t>
            </w: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TFDE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2026</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2029-2031</w:t>
            </w:r>
          </w:p>
        </w:tc>
      </w:tr>
    </w:tbl>
    <w:p>
      <w:pPr>
        <w:ind w:left="360" w:hanging="352"/>
        <w:spacing w:after="0" w:line="207" w:lineRule="auto"/>
        <w:tabs>
          <w:tab w:leader="none" w:pos="3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Vessels are chartered to MSL, a wholly owned subsidiary of BG Group, now owned by Shell.</w:t>
      </w:r>
    </w:p>
    <w:p>
      <w:pPr>
        <w:spacing w:after="0" w:line="2" w:lineRule="exact"/>
        <w:rPr>
          <w:rFonts w:ascii="Arial" w:cs="Arial" w:eastAsia="Arial" w:hAnsi="Arial"/>
          <w:sz w:val="30"/>
          <w:szCs w:val="30"/>
          <w:color w:val="auto"/>
          <w:vertAlign w:val="superscript"/>
        </w:rPr>
      </w:pPr>
    </w:p>
    <w:p>
      <w:pPr>
        <w:ind w:left="360" w:hanging="352"/>
        <w:spacing w:after="0" w:line="186" w:lineRule="auto"/>
        <w:tabs>
          <w:tab w:leader="none" w:pos="36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Indicates the expiration of the initial term.</w:t>
      </w:r>
    </w:p>
    <w:p>
      <w:pPr>
        <w:spacing w:after="0" w:line="2" w:lineRule="exact"/>
        <w:rPr>
          <w:rFonts w:ascii="Arial" w:cs="Arial" w:eastAsia="Arial" w:hAnsi="Arial"/>
          <w:sz w:val="24"/>
          <w:szCs w:val="24"/>
          <w:color w:val="auto"/>
          <w:vertAlign w:val="superscript"/>
        </w:rPr>
      </w:pPr>
    </w:p>
    <w:p>
      <w:pPr>
        <w:ind w:left="360" w:right="20" w:hanging="352"/>
        <w:spacing w:after="0" w:line="269" w:lineRule="auto"/>
        <w:tabs>
          <w:tab w:leader="none" w:pos="36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 xml:space="preserve">The period shown reflects the expiration of the minimum optional period and the maximum optional period. The charterer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has unilateral options to extend the term of the time charter for periods ranging from 30 months to 90 months. The charterer of the </w:t>
      </w:r>
      <w:r>
        <w:rPr>
          <w:rFonts w:ascii="Arial" w:cs="Arial" w:eastAsia="Arial" w:hAnsi="Arial"/>
          <w:sz w:val="16"/>
          <w:szCs w:val="16"/>
          <w:i w:val="1"/>
          <w:iCs w:val="1"/>
          <w:color w:val="auto"/>
        </w:rPr>
        <w:t>GasLog Savannah</w:t>
      </w:r>
      <w:r>
        <w:rPr>
          <w:rFonts w:ascii="Arial" w:cs="Arial" w:eastAsia="Arial" w:hAnsi="Arial"/>
          <w:sz w:val="16"/>
          <w:szCs w:val="16"/>
          <w:color w:val="auto"/>
        </w:rPr>
        <w:t xml:space="preserve"> has unilateral options to extend the term of the charter for four consecutive periods ranging from 12 to 27 months. The charterer of the </w:t>
      </w:r>
      <w:r>
        <w:rPr>
          <w:rFonts w:ascii="Arial" w:cs="Arial" w:eastAsia="Arial" w:hAnsi="Arial"/>
          <w:sz w:val="16"/>
          <w:szCs w:val="16"/>
          <w:i w:val="1"/>
          <w:iCs w:val="1"/>
          <w:color w:val="auto"/>
        </w:rPr>
        <w:t>GasLog Skagen</w:t>
      </w:r>
      <w:r>
        <w:rPr>
          <w:rFonts w:ascii="Arial" w:cs="Arial" w:eastAsia="Arial" w:hAnsi="Arial"/>
          <w:sz w:val="16"/>
          <w:szCs w:val="16"/>
          <w:color w:val="auto"/>
        </w:rPr>
        <w:t xml:space="preserve"> has unilateral options to extend the term of the charter for up to ten years, on a seasonal charter basis. The charterer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has unilateral options to extend the term of the time charter for periods ranging from 5 to 10 years, provided that the charterer provides us with advance notice of declaration of any option in accordance with the terms of the applicable charter. The charterer of the </w:t>
      </w:r>
      <w:r>
        <w:rPr>
          <w:rFonts w:ascii="Arial" w:cs="Arial" w:eastAsia="Arial" w:hAnsi="Arial"/>
          <w:sz w:val="16"/>
          <w:szCs w:val="16"/>
          <w:i w:val="1"/>
          <w:iCs w:val="1"/>
          <w:color w:val="auto"/>
        </w:rPr>
        <w:t>Methane Lydon Volney</w:t>
      </w:r>
      <w:r>
        <w:rPr>
          <w:rFonts w:ascii="Arial" w:cs="Arial" w:eastAsia="Arial" w:hAnsi="Arial"/>
          <w:sz w:val="16"/>
          <w:szCs w:val="16"/>
          <w:color w:val="auto"/>
        </w:rPr>
        <w:t xml:space="preserve"> has a unilateral option to extend the term for a period of either three or five years at its election. In addition, the charterer of the </w:t>
      </w:r>
      <w:r>
        <w:rPr>
          <w:rFonts w:ascii="Arial" w:cs="Arial" w:eastAsia="Arial" w:hAnsi="Arial"/>
          <w:sz w:val="16"/>
          <w:szCs w:val="16"/>
          <w:i w:val="1"/>
          <w:iCs w:val="1"/>
          <w:color w:val="auto"/>
        </w:rPr>
        <w:t>Methane Shirley Elisabeth</w:t>
      </w:r>
      <w:r>
        <w:rPr>
          <w:rFonts w:ascii="Arial" w:cs="Arial" w:eastAsia="Arial" w:hAnsi="Arial"/>
          <w:sz w:val="16"/>
          <w:szCs w:val="16"/>
          <w:color w:val="auto"/>
        </w:rPr>
        <w:t xml:space="preserve">,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Heather Sally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Methane Alison Victoria </w:t>
      </w:r>
      <w:r>
        <w:rPr>
          <w:rFonts w:ascii="Arial" w:cs="Arial" w:eastAsia="Arial" w:hAnsi="Arial"/>
          <w:sz w:val="16"/>
          <w:szCs w:val="16"/>
          <w:color w:val="auto"/>
        </w:rPr>
        <w:t>has a unilateral option to extend the term of two of the related time charters for a period of either three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five years at its election. The charter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and </w:t>
      </w:r>
      <w:r>
        <w:rPr>
          <w:rFonts w:ascii="Arial" w:cs="Arial" w:eastAsia="Arial" w:hAnsi="Arial"/>
          <w:sz w:val="16"/>
          <w:szCs w:val="16"/>
          <w:i w:val="1"/>
          <w:iCs w:val="1"/>
          <w:color w:val="auto"/>
        </w:rPr>
        <w:t>GasLog Sydney</w:t>
      </w:r>
      <w:r>
        <w:rPr>
          <w:rFonts w:ascii="Arial" w:cs="Arial" w:eastAsia="Arial" w:hAnsi="Arial"/>
          <w:sz w:val="16"/>
          <w:szCs w:val="16"/>
          <w:color w:val="auto"/>
        </w:rPr>
        <w:t xml:space="preserve"> may be extended for up to two extension periods of three or four years at the charterer’s option, and each charter requires that the charterer provide us with 90 days’ notice before the charter expiration and 18 months’ notice of its exercise of any extension option. The charterer of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Jane Elizabeth</w:t>
      </w:r>
      <w:r>
        <w:rPr>
          <w:rFonts w:ascii="Arial" w:cs="Arial" w:eastAsia="Arial" w:hAnsi="Arial"/>
          <w:sz w:val="16"/>
          <w:szCs w:val="16"/>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Methane Julia Louise</w:t>
      </w:r>
      <w:r>
        <w:rPr>
          <w:rFonts w:ascii="Arial" w:cs="Arial" w:eastAsia="Arial" w:hAnsi="Arial"/>
          <w:sz w:val="16"/>
          <w:szCs w:val="16"/>
          <w:color w:val="auto"/>
        </w:rPr>
        <w:t xml:space="preserve"> has a unilateral option to extend the term of the time charters for a period of either three or five years at its election.</w:t>
      </w:r>
    </w:p>
    <w:p>
      <w:pPr>
        <w:spacing w:after="0" w:line="7" w:lineRule="exact"/>
        <w:rPr>
          <w:rFonts w:ascii="Arial" w:cs="Arial" w:eastAsia="Arial" w:hAnsi="Arial"/>
          <w:sz w:val="26"/>
          <w:szCs w:val="26"/>
          <w:color w:val="auto"/>
          <w:vertAlign w:val="superscript"/>
        </w:rPr>
      </w:pPr>
    </w:p>
    <w:p>
      <w:pPr>
        <w:ind w:left="360" w:right="560" w:hanging="352"/>
        <w:spacing w:after="0" w:line="187" w:lineRule="auto"/>
        <w:tabs>
          <w:tab w:leader="none" w:pos="3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Time charter provides for full employment for three years and a subsequent five year seasonal charter under which the ship is employed for seven months and available to accept other charters for five months.</w:t>
      </w:r>
    </w:p>
    <w:p>
      <w:pPr>
        <w:spacing w:after="0" w:line="2" w:lineRule="exact"/>
        <w:rPr>
          <w:rFonts w:ascii="Arial" w:cs="Arial" w:eastAsia="Arial" w:hAnsi="Arial"/>
          <w:sz w:val="30"/>
          <w:szCs w:val="30"/>
          <w:color w:val="auto"/>
          <w:vertAlign w:val="superscript"/>
        </w:rPr>
      </w:pPr>
    </w:p>
    <w:p>
      <w:pPr>
        <w:ind w:left="360" w:hanging="352"/>
        <w:spacing w:after="0" w:line="180" w:lineRule="auto"/>
        <w:tabs>
          <w:tab w:leader="none" w:pos="3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Vessels operating in the spot market that have been contributed to the Cool Pool.</w:t>
      </w:r>
    </w:p>
    <w:p>
      <w:pPr>
        <w:sectPr>
          <w:pgSz w:w="11900" w:h="16838" w:orient="portrait"/>
          <w:cols w:equalWidth="0" w:num="1">
            <w:col w:w="11420"/>
          </w:cols>
          <w:pgMar w:left="240" w:top="405" w:right="239"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0" w:gutter="0" w:footer="0" w:header="0"/>
          <w:type w:val="continuous"/>
        </w:sectPr>
      </w:pPr>
    </w:p>
    <w:bookmarkStart w:id="17" w:name="page18"/>
    <w:bookmarkEnd w:id="17"/>
    <w:p>
      <w:pPr>
        <w:ind w:left="360" w:right="80" w:hanging="352"/>
        <w:spacing w:after="0" w:line="232" w:lineRule="auto"/>
        <w:tabs>
          <w:tab w:leader="none" w:pos="36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 xml:space="preserve">Charter expiration was amended based on the agreement signed with MSL on April 21, 2015. With respect to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whose charter was shortened by eight months under such agreement, if MSL does not exercise the charter extension options for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and GasLog Partners does not enter into a third-party charter for the </w:t>
      </w:r>
      <w:r>
        <w:rPr>
          <w:rFonts w:ascii="Arial" w:cs="Arial" w:eastAsia="Arial" w:hAnsi="Arial"/>
          <w:sz w:val="17"/>
          <w:szCs w:val="17"/>
          <w:i w:val="1"/>
          <w:iCs w:val="1"/>
          <w:color w:val="auto"/>
        </w:rPr>
        <w:t>GasLog Sydney</w:t>
      </w:r>
      <w:r>
        <w:rPr>
          <w:rFonts w:ascii="Arial" w:cs="Arial" w:eastAsia="Arial" w:hAnsi="Arial"/>
          <w:sz w:val="17"/>
          <w:szCs w:val="17"/>
          <w:color w:val="auto"/>
        </w:rPr>
        <w:t>, GasLog and GasLog Partners intend to enter into a bareboat or time charter arrangement that is designed to guarantee the total cash distribution from the vessel for any period of charter shortening.</w:t>
      </w:r>
    </w:p>
    <w:p>
      <w:pPr>
        <w:ind w:left="360" w:right="200" w:hanging="352"/>
        <w:spacing w:after="0" w:line="221" w:lineRule="auto"/>
        <w:tabs>
          <w:tab w:leader="none" w:pos="3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 xml:space="preserve">On February 24, 2016, GasLog’s subsidiary,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a subsidiary of Mitsui. Mitsui has the right to on-sell and lease back the vessel. The vessel was sold to Mitsui for a cash consideration of $217.0 million.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vessel remains on its eleven year charter with MSL.</w:t>
      </w:r>
    </w:p>
    <w:p>
      <w:pPr>
        <w:spacing w:after="0" w:line="20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 xml:space="preserve">Under the omnibus agreement entered into with GasLog Partners and certain of its subsidiaries in connection with the Partnership’s initial public offering, GasLog Partners has the option to purchase from us: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Greece</w:t>
      </w:r>
      <w:r>
        <w:rPr>
          <w:rFonts w:ascii="Arial" w:cs="Arial" w:eastAsia="Arial" w:hAnsi="Arial"/>
          <w:sz w:val="18"/>
          <w:szCs w:val="18"/>
          <w:color w:val="auto"/>
        </w:rPr>
        <w:t xml:space="preserve"> and Hull Nos. 2073, 2102 and 2103 within 36 months after we notify the Partnership’s board of directors of the vessel’s acceptance by its charterer, (ii)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Lydon Volney</w:t>
      </w:r>
      <w:r>
        <w:rPr>
          <w:rFonts w:ascii="Arial" w:cs="Arial" w:eastAsia="Arial" w:hAnsi="Arial"/>
          <w:sz w:val="18"/>
          <w:szCs w:val="18"/>
          <w:color w:val="auto"/>
        </w:rPr>
        <w:t xml:space="preserve"> within 36 months after the closing of GasLog Partners’ initial public offering on May 12, 2014 and (iii)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right to acquire GAS-twenty six Ltd. with its long-term bareboat charter of (and the right to acquire)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(which is subject to a multi-year charter to MSL) within 36 months after the completion of its acquisition by GasLog on March 31, 2015. In each case, GasLog Partners’ option to purchase is at fair market value as determined pursuant to the omnibus agreement.</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GasLog Partners also has a right of first offer from us to purchase any other LNG carriers with cargo capacities greater than 75,000 cbm engaged in ongoing LNG transportation under charters of five full years or more that we own or acquire (the “Five Year Vessels”) either at their acquisition cost plus certain break up costs (in the case of a newly acquired Five Year Vessel) or at their fair market value (in the case of a previously owned vessel that becomes a Five Year Vessel). The three newbuildings to be chartered under the agreement signed with a subsidiary of BG Group on April 21, 2015, will each qualify as a Five Year Vessel upon commencement of its charter, and we will be required to offer to GasLog Partners an opportunity to purchase each vessel at fair market value within 30 days of the commencement of its charter. Generally, GasLog Partners must exercise this right of first offer within 30 days following the notice from us that the vessel has been acquired or has become a Five Year Vessel.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b w:val="1"/>
                <w:bCs w:val="1"/>
                <w:i w:val="1"/>
                <w:iCs w:val="1"/>
                <w:color w:val="auto"/>
                <w:w w:val="98"/>
              </w:rPr>
              <w:t>Three-month period ended March 31, 2015 compared to the three-month period ended March 31, 2016</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80" w:type="dxa"/>
            <w:vAlign w:val="bottom"/>
          </w:tcPr>
          <w:p>
            <w:pPr>
              <w:spacing w:after="0"/>
              <w:rPr>
                <w:sz w:val="24"/>
                <w:szCs w:val="24"/>
                <w:color w:val="auto"/>
              </w:rPr>
            </w:pPr>
          </w:p>
        </w:tc>
        <w:tc>
          <w:tcPr>
            <w:tcW w:w="28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580" w:type="dxa"/>
            <w:vAlign w:val="bottom"/>
            <w:tcBorders>
              <w:bottom w:val="single" w:sz="8" w:color="E5FF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1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97,326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104,377</w:t>
            </w:r>
          </w:p>
        </w:tc>
        <w:tc>
          <w:tcPr>
            <w:tcW w:w="0" w:type="dxa"/>
            <w:vAlign w:val="bottom"/>
          </w:tcPr>
          <w:p>
            <w:pPr>
              <w:spacing w:after="0"/>
              <w:rPr>
                <w:sz w:val="1"/>
                <w:szCs w:val="1"/>
                <w:color w:val="auto"/>
              </w:rPr>
            </w:pPr>
          </w:p>
        </w:tc>
      </w:tr>
      <w:tr>
        <w:trPr>
          <w:trHeight w:val="216"/>
        </w:trPr>
        <w:tc>
          <w:tcPr>
            <w:tcW w:w="8580" w:type="dxa"/>
            <w:vAlign w:val="bottom"/>
            <w:shd w:val="clear" w:color="auto" w:fill="E5FFFF"/>
          </w:tcPr>
          <w:p>
            <w:pPr>
              <w:spacing w:after="0"/>
              <w:rPr>
                <w:sz w:val="20"/>
                <w:szCs w:val="20"/>
                <w:color w:val="auto"/>
              </w:rPr>
            </w:pPr>
            <w:r>
              <w:rPr>
                <w:rFonts w:ascii="Arial" w:cs="Arial" w:eastAsia="Arial" w:hAnsi="Arial"/>
                <w:sz w:val="18"/>
                <w:szCs w:val="18"/>
                <w:color w:val="auto"/>
              </w:rPr>
              <w:t>Vessel operating and supervision costs</w:t>
            </w:r>
          </w:p>
        </w:tc>
        <w:tc>
          <w:tcPr>
            <w:tcW w:w="16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(21,894)</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(28,457)</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Voyage expenses and commissions</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(2,729)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16"/>
        </w:trPr>
        <w:tc>
          <w:tcPr>
            <w:tcW w:w="8580" w:type="dxa"/>
            <w:vAlign w:val="bottom"/>
            <w:shd w:val="clear" w:color="auto" w:fill="E5FFFF"/>
          </w:tcPr>
          <w:p>
            <w:pPr>
              <w:spacing w:after="0"/>
              <w:rPr>
                <w:sz w:val="20"/>
                <w:szCs w:val="20"/>
                <w:color w:val="auto"/>
              </w:rPr>
            </w:pPr>
            <w:r>
              <w:rPr>
                <w:rFonts w:ascii="Arial" w:cs="Arial" w:eastAsia="Arial" w:hAnsi="Arial"/>
                <w:sz w:val="18"/>
                <w:szCs w:val="18"/>
                <w:color w:val="auto"/>
              </w:rPr>
              <w:t>Depreciation of fixed assets</w:t>
            </w:r>
          </w:p>
        </w:tc>
        <w:tc>
          <w:tcPr>
            <w:tcW w:w="16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(22,695)</w:t>
            </w:r>
          </w:p>
        </w:tc>
        <w:tc>
          <w:tcPr>
            <w:tcW w:w="12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(11,159)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0"/>
        </w:trPr>
        <w:tc>
          <w:tcPr>
            <w:tcW w:w="8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 from operations</w:t>
            </w: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38,849</w:t>
            </w:r>
          </w:p>
        </w:tc>
        <w:tc>
          <w:tcPr>
            <w:tcW w:w="44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33,759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Financial costs</w:t>
            </w:r>
          </w:p>
        </w:tc>
        <w:tc>
          <w:tcPr>
            <w:tcW w:w="1160" w:type="dxa"/>
            <w:vAlign w:val="bottom"/>
          </w:tcPr>
          <w:p>
            <w:pPr>
              <w:jc w:val="right"/>
              <w:spacing w:after="0"/>
              <w:rPr>
                <w:sz w:val="20"/>
                <w:szCs w:val="20"/>
                <w:color w:val="auto"/>
              </w:rPr>
            </w:pPr>
            <w:r>
              <w:rPr>
                <w:rFonts w:ascii="Arial" w:cs="Arial" w:eastAsia="Arial" w:hAnsi="Arial"/>
                <w:sz w:val="18"/>
                <w:szCs w:val="18"/>
                <w:color w:val="auto"/>
              </w:rPr>
              <w:t>(18,528)</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w:t>
            </w:r>
          </w:p>
        </w:tc>
        <w:tc>
          <w:tcPr>
            <w:tcW w:w="44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Loss on swaps</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(6,979)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16"/>
        </w:trPr>
        <w:tc>
          <w:tcPr>
            <w:tcW w:w="858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6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447</w:t>
            </w:r>
          </w:p>
        </w:tc>
        <w:tc>
          <w:tcPr>
            <w:tcW w:w="12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other expenses, net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(24,997)</w:t>
            </w:r>
          </w:p>
        </w:tc>
        <w:tc>
          <w:tcPr>
            <w:tcW w:w="440" w:type="dxa"/>
            <w:vAlign w:val="bottom"/>
            <w:tcBorders>
              <w:bottom w:val="single" w:sz="8" w:color="E5FF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(39,057)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13,852</w:t>
            </w:r>
          </w:p>
        </w:tc>
        <w:tc>
          <w:tcPr>
            <w:tcW w:w="440" w:type="dxa"/>
            <w:vAlign w:val="bottom"/>
            <w:tcBorders>
              <w:bottom w:val="single" w:sz="8" w:color="E5FFFF"/>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(5,298</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tcBorders>
              <w:bottom w:val="single" w:sz="8" w:color="E5FFFF"/>
            </w:tcBorders>
            <w:vMerge w:val="continue"/>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(9,510)</w:t>
            </w:r>
          </w:p>
        </w:tc>
        <w:tc>
          <w:tcPr>
            <w:tcW w:w="440" w:type="dxa"/>
            <w:vAlign w:val="bottom"/>
            <w:tcBorders>
              <w:bottom w:val="single" w:sz="8" w:color="E5FFFF"/>
            </w:tcBorders>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(10,600)</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attributable to owners of the Group</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4,342</w:t>
            </w:r>
          </w:p>
        </w:tc>
        <w:tc>
          <w:tcPr>
            <w:tcW w:w="440" w:type="dxa"/>
            <w:vAlign w:val="bottom"/>
            <w:tcBorders>
              <w:bottom w:val="single" w:sz="8" w:color="E5FFFF"/>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(15,898</w:t>
            </w:r>
          </w:p>
        </w:tc>
        <w:tc>
          <w:tcPr>
            <w:tcW w:w="10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During the three-month period ended March 31, 2015, we had an average of 16.0 ships operating in our owned fleet (including ships owned by the Partnership), having 1,354 operating days and an average of 21.0 ships operating under our technical management (including our 15.0 owned ships). During the three-month period ended March 31, 2016, we had an average of 19.0 ships operating in our owned and bareboat fleet (including ships owned by the Partnership), having 1,643 operating days and an average of 22.0 ships operating under our technical management (including our 18.0 owned and bareboat 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 xml:space="preserve">Revenues increased by 7.24%, or $7.05 million, from $97.33 million during the three-month period ended March 31, 2015, to $104.38 million during the three-month period ended March 31, 2016. The increase is mainly attributable to an increase in revenues by $15.10 million due to the acquisition of the </w:t>
      </w:r>
      <w:r>
        <w:rPr>
          <w:rFonts w:ascii="Arial" w:cs="Arial" w:eastAsia="Arial" w:hAnsi="Arial"/>
          <w:sz w:val="17"/>
          <w:szCs w:val="17"/>
          <w:i w:val="1"/>
          <w:iCs w:val="1"/>
          <w:color w:val="auto"/>
        </w:rPr>
        <w:t xml:space="preserve">Methane Becki Anne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Julia Louise, </w:t>
      </w:r>
      <w:r>
        <w:rPr>
          <w:rFonts w:ascii="Arial" w:cs="Arial" w:eastAsia="Arial" w:hAnsi="Arial"/>
          <w:sz w:val="17"/>
          <w:szCs w:val="17"/>
          <w:color w:val="auto"/>
        </w:rPr>
        <w:t>which were both acquired from BG Group on March 31, 2015 and the delivery of the</w:t>
      </w:r>
      <w:r>
        <w:rPr>
          <w:rFonts w:ascii="Arial" w:cs="Arial" w:eastAsia="Arial" w:hAnsi="Arial"/>
          <w:sz w:val="17"/>
          <w:szCs w:val="17"/>
          <w:i w:val="1"/>
          <w:iCs w:val="1"/>
          <w:color w:val="auto"/>
        </w:rPr>
        <w:t xml:space="preserve"> GasLog Greece </w:t>
      </w:r>
      <w:r>
        <w:rPr>
          <w:rFonts w:ascii="Arial" w:cs="Arial" w:eastAsia="Arial" w:hAnsi="Arial"/>
          <w:sz w:val="17"/>
          <w:szCs w:val="17"/>
          <w:color w:val="auto"/>
        </w:rPr>
        <w:t>on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29, 2016, resulting in an increase in operating days, as well as an increase of $2.19 million caused mainly by the lower off-hire days due to drydocking of one of our vessels in the first three months of 2016 as opposed to two vessels for the same period in 2015. This increase was partially offset by a decrease of $6.22 million in revenues of three vessels operating in the spot market and a decrease of $3.57 million in revenues from all other vessels. The daily hire rate for the three-month period ended March 31, 2015 was $71,216 as compared to $63,252 for the three-month period ended March 31, 2016 affected by the decrease in the spot market. Furthermore, there was a decrease in revenues of $0.45 million in revenues from technical management services mainly due to the decrease in the number of the managed vessels owned by third parties following the acquisition of two vessels from BG Group and the completion of a project with another customer.</w:t>
      </w:r>
    </w:p>
    <w:p>
      <w:pPr>
        <w:sectPr>
          <w:pgSz w:w="11900" w:h="16838" w:orient="portrait"/>
          <w:cols w:equalWidth="0" w:num="1">
            <w:col w:w="11420"/>
          </w:cols>
          <w:pgMar w:left="240" w:top="409" w:right="239" w:bottom="8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8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Vessel Operating and Supervision Costs: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Vessel operating and supervision costs increased by 30.01% or $6.57 million, from $21.89 million during the three-month period ended March 31, 2015, to $28.46 million during the three-month period ended March 31, 2016. The increase is primarily attributable to the increase in our fleet in the three-month period ended March 31, 2016, compared to the same period of 2015, as described above, combined with an increase in scheduled technical maintenance expenses, such as scheduled main engine overhaulings, various planned repairs, as well as other regulatory periodical certifications. Daily operating cost per vessel increased from $15,183 per day during the three-month period ended March 31, 2015 to $16,440 per day during the three-month period ended March 31, 2016, reflecting the increased scheduled technical and maintenance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Voyage expenses and commissions:</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Voyage expenses and commissions increased by 92.67%, or $2.53 million, from $2.73 million during the three-month period ended March 31, 2015, to $5.26 million during the three-month period ended March 31, 2016. The increase is primarily attributable to the net allocation of pool results of $2.39 million in accordance with the profit sharing terms specified in the Pool Agreement entered into with Dynagas Ltd. and Golar LNG Ltd.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Depreciation increased by 24.05%, or $5.46 million, from $22.70 million during the three-month period ended March 31, 2015, to $28.16 million during the three-month period ended March 31, 2016. The increase in depreciation resulted from the increase in the average number of vessels in our fleet in the three-month period ended March 31, 2016, compared to the same period of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General and administrative expenses decreased by 21.77%, or $2.43 million, from $11.16 million during the three-month period ended March 31, 2015, to $8.73 million during the three-month period ended March 31, 2016. The decrease is mainly attributable to a $1.62 million decrease in net foreign exchange differences, mainly due to the favorable movement of the EUR/USD exchange rate in 2016 and a decrease of $0.85 million in legal fees and other professional services, compared to the same period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Costs: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Financial costs increased by 57.47%, or $10.65 million, from $18.53 million during the three-month period ended March 31, 2015, to $29.18 million during the three-month period ended March 31, 2016. The increase is attributable to an increase of $4.79 million in interest expense on loans, bond and cash flow hedges, an increase of $4.08 million in the amortization of deferred loan fees, mainly driven by $3.05 million of written-off fees and accelerated amortization due to the termination or scheduled prepayment of certain facilities, an increase by $1.07 million due to finance lease charges in 2016 and $0.72 million in other financial costs. During the three-month period ended March 31, 2016, we had an average of $2,615.17 million of outstanding indebtedness including our NOK bond agreement, having an aggregate weighted average interest rate of 3.20% and during the three-month period ended March 31, 2015, we had an average of $1,994.19 million of outstanding indebtedness, with a weighted average interest rate of 3.28%. These weighted average interest rates include interest expense on loans and cash flow hedges and interest expense on bond and cross-currency swaps (“CCS”).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Swaps: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Loss on swaps increased by 49.14%, or $3.43 million, from $6.98 million during the three-month period ended March 31, 2015, to $10.41 million during the three-month period ended March 31, 2016. The increase is mainly attributable to an increase of $3.63 million in loss from mark-to-market valuation of our interest rate swaps carried at fair value through profit or loss and an increase of $0.07 million in loss that was reclassified from equity to the statement of profit or loss related to the interest rate swaps for which hedge accounting was discontinued, partially offset by a decrease of $0.27 million in realized loss from interest rate swaps held for trading.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Profit/(loss) for the Period:</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Profit for the period decreased by 138.27%, or $19.15 million, from a profit of $13.85 million for the three-month period ended March 31, 2015, to a loss of $5.30 million for the three-month period ended March 31, 2016, as a result of the aforementioned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For the three-month period ended March 31, 2016, we received 83.68% of our revenues from MSL, a subsidiary of BG Group, 12.21% of our revenues from Shell, 4.10% of our revenues from various charterers in the spot/short-term market and 0.01% of our revenues from Egypt LNG, an entity in which we have a 25% ownership interest. For the three-month period ended March 31, 2015, we received 76.12% of our revenues from MSL, a subsidiary of BG Group, 12.90% of our revenues from Shell, 10.80% of our revenues from various charterers in the spot/short-term market and 0.18% of our revenues from Egypt LNG.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Since our owned ships are primarily employed under multi-year, fixed-rate charter arrangements, seasonal trends do not materially impact the revenues earned by our vessels during the year. Seasonality also does not have a significant impact on revenues earned by our management services, as we provide technical ship management and ship construction supervision services under fixed-rate agreements.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our business is not subject to seasonal borrowing requirements.</w:t>
      </w:r>
    </w:p>
    <w:p>
      <w:pPr>
        <w:sectPr>
          <w:pgSz w:w="11900" w:h="16838" w:orient="portrait"/>
          <w:cols w:equalWidth="0" w:num="1">
            <w:col w:w="11420"/>
          </w:cols>
          <w:pgMar w:left="240" w:top="409" w:right="239" w:bottom="100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002"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primary liquidity needs are to fund our ship-operating expenses, finance the purchase and construction of our newbuildings, purchase secondhand vessels, service our existing debt and pay dividends. In monitoring our working capital needs, we project our charter hire income and ships’ maintenance and running expenses, as well as debt service obligations, and seek to maintain adequate cash reserves in order to address any budget overruns.</w:t>
      </w:r>
    </w:p>
    <w:p>
      <w:pPr>
        <w:spacing w:after="0" w:line="147"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We anticipate that our primary sources of funds will be available cash, cash from operations, borrowings under existing and new debt agreements and additional common or other forms of equity. We believe that these sources of funds will be sufficient to meet our liquidity needs, although there can be no assurance that we will be able to obtain future debt and equity financing on terms acceptable to us.</w:t>
      </w:r>
    </w:p>
    <w:p>
      <w:pPr>
        <w:spacing w:after="0" w:line="18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Our funding and treasury activities are intended to balance investment returns in order to maintain appropriate liquidity. Cash and cash equivalents are held primarily in U.S. dollars. In June 2013 and April 2014, we entered into six CCSs to exchange interest payments and principal on maturity on the same terms as the NOK denominated bonds and designated the CCSs as hedges of the variability of the USD functional currency equivalent cash flows on the bond. Refer to Note 12 of our unaudited condensed consolidated financial statements for details on our swap arrangements.</w:t>
      </w:r>
    </w:p>
    <w:p>
      <w:pPr>
        <w:spacing w:after="0" w:line="15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As of March 31, 2016, GasLog had $284.03 million of cash and cash equivalents, of which $32.29 million was held in time deposits and the remaining balance in current accounts. Moreover, as of March 31, 2016, GasLog had $1.50 million held in time deposits with an initial duration of more than three months but less than a year that have been classified as short-term investments. As of March 31, 2016, GasLog had $23.62 million in restricted cash in relation to cash held in blocked accounts mainly in order to comply with the covenants under two of its credit facilities.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February 25, 2016, a supplemental deed was signed with the lenders of the GAS-eight Ltd., GAS-nine Ltd. and GAS-ten Ltd. loan facility, permitting GasLog to withdraw the $21.0 million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 million each. The bank guarantees bear interest at a margin and are available for a period of up to two years.</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As of March 31, 2016, GasLog had an aggregate of $2.20 billion of indebtedness outstanding under twelve credit facilities, of which $785.49 million was repayable within one year, including $42.18 million under its revolving credit facility. As of March 31, 2016, GasLog had $120.11 million outstanding under the NOK bond agreement that is payable in June 2018 and had $218.07 million under the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As of March 31, 2016, there was undrawn availability of $1.15 billion under our debt financing agreement entered into on October 16, 2015 with 14 international banks to partially finance the delivery of our seven remaining newbuildings expected to be delivered in 2016, 2018 and 2019. Also, there was an undrawn amount of $7.83 million from the revolving facility of GAS-two Ltd. which was available to be drawn under certain conditions.</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March 31, 2016, GasLog’s commitments for capital expenditures are related to the seven LNG carriers on order, which have a gross aggregate contract price of approximately $1.43 billion. As of March 31, 2016, the total remaining balance of the contract prices of the seven newbuildings was $1.28 billion that we expect will be funded with the $1.15 billion undrawn amount under the financing agreement we entered into on October 16, 2015, cash balances and cash from operations.</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GasLog has hedged 40.8% of its expected floating interest rate exposure on its outstanding debt (including the finance lease liability) at a weighted average interest rate of approximately 4.63% (including margin) as of March 31,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we were in compliance with the financial covenants under our bond agreement.</w:t>
      </w:r>
    </w:p>
    <w:p>
      <w:pPr>
        <w:spacing w:after="0" w:line="2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Our credit facilities are described in Note 12 of our annual audited consolidated financial statements included in our Annual Report on Form 20-F filed with the SEC on March 14, 2016 and Note 6 of our unaudited condensed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March 31, 2016, our current assets totalled $327.58 million while current liabilities totalled $870.36 million, resulting in a negative working capital position of $542.78 million. Current liabilities include $644.0 million being the current portion of three credit facilities that were partially refinanced under the Credit Agreements on April 5, 2016. Following the completion of the refinancing, as of April 5, 2016, current indebtedness outstanding under nine credit facilities totalled $167.90 million.</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Taking into account generally expected market conditions, we anticipate that cash flow generated from operations will be sufficient to fund our operations, including our working capital requirements, and to make all other required principal and interest payments on our indebtedness during the next 12 months.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March 31, 2015 compared to the three-month period ended March 31,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cash flows from operating, investing and financing activities for the periods indicated:</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33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7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 2015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20" w:type="dxa"/>
            <w:vAlign w:val="bottom"/>
          </w:tcPr>
          <w:p>
            <w:pPr>
              <w:spacing w:after="0"/>
              <w:rPr>
                <w:sz w:val="18"/>
                <w:szCs w:val="18"/>
                <w:color w:val="auto"/>
              </w:rPr>
            </w:pPr>
          </w:p>
        </w:tc>
        <w:tc>
          <w:tcPr>
            <w:tcW w:w="5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Amounts in thousands of U.S. Dollars</w:t>
            </w:r>
          </w:p>
        </w:tc>
        <w:tc>
          <w:tcPr>
            <w:tcW w:w="156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jc w:val="right"/>
              <w:spacing w:after="0"/>
              <w:rPr>
                <w:sz w:val="20"/>
                <w:szCs w:val="20"/>
                <w:color w:val="auto"/>
              </w:rPr>
            </w:pPr>
            <w:r>
              <w:rPr>
                <w:rFonts w:ascii="Arial" w:cs="Arial" w:eastAsia="Arial" w:hAnsi="Arial"/>
                <w:sz w:val="18"/>
                <w:szCs w:val="18"/>
                <w:color w:val="auto"/>
              </w:rPr>
              <w:t>37,258</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44,289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(491,473)</w:t>
            </w:r>
          </w:p>
        </w:tc>
        <w:tc>
          <w:tcPr>
            <w:tcW w:w="162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(192,154)</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jc w:val="right"/>
              <w:spacing w:after="0"/>
              <w:rPr>
                <w:sz w:val="20"/>
                <w:szCs w:val="20"/>
                <w:color w:val="auto"/>
              </w:rPr>
            </w:pPr>
            <w:r>
              <w:rPr>
                <w:rFonts w:ascii="Arial" w:cs="Arial" w:eastAsia="Arial" w:hAnsi="Arial"/>
                <w:sz w:val="18"/>
                <w:szCs w:val="18"/>
                <w:color w:val="auto"/>
              </w:rPr>
              <w:t>414,931</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128,702</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Net cash provided by operating activities increased by $7.03 million, from $37.26 million during the three-month period ended March 31, 2015 to $44.29 million in the three-month period ended March 31, 2016. The increase was due to an increase of $14.06 million in revenue collections, a decrease of $15.27 million in payments for cash collaterals, a decrease of $0.27 million in realized losses on interest rate swaps held for trading, partially offset by an increase of $11.68 million in payments for general and administrative expenses, operating expenses and inventories, an increase of $9.10 million in cash paid for interest and a decrease in cash from ship management creditors amounting to $1.79 million.</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Net cash used in investing activities decreased by $299.32 million, from $491.47 million in the three-month period ended March 31, 2015 to $192.15 million in the three-month period ended March 31, 2016. The decrease is mainly attributable to a $302.74 million decrease in payments for the construction costs of newbuildings and the acquisition of secondhand vessels and a $0.17 million increase in cash from interest income, partially offset by a net decrease in short-term investments of $3.51 million and a $0.08 million decrease in dividends received from Egypt LNG Services Ltd.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provided by financing activities decreased by $286.23 million, from $414.93 million in the three-month period ended March 31,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$128.70 million in the three-month period ended March 31, 2016. The decrease is mainly attributable to a decrease of $297.03 million in proceeds from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borrowings, an increase in bank loan repayments of $232.03 million, an increase in payments of loan issuance costs of $8.16 million, an increase of $6.71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dividend payments and an increase of $0.28 million in payments for our vessel held under a finance lease, partially offset by proceeds from the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finance leaseback of $217.00 million and an increase in the movement of restricted cash of $40.90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Contracted Charter Revenues and Days from Time Charters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GasLog’s (including the vessels contributed or sold to GasLog Partners) contracted charter revenues and vessel utilization as of March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4"/>
              </w:rPr>
              <w:t>Contracted Charter Revenues and Days from Time Charters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On and</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after</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April 1,</w:t>
            </w:r>
          </w:p>
        </w:tc>
        <w:tc>
          <w:tcPr>
            <w:tcW w:w="1020" w:type="dxa"/>
            <w:vAlign w:val="bottom"/>
          </w:tcPr>
          <w:p>
            <w:pPr>
              <w:spacing w:after="0"/>
              <w:rPr>
                <w:sz w:val="20"/>
                <w:szCs w:val="20"/>
                <w:color w:val="auto"/>
              </w:rPr>
            </w:pPr>
          </w:p>
        </w:tc>
        <w:tc>
          <w:tcPr>
            <w:tcW w:w="42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For the years ending December 31,</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2021-2029</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r>
      <w:tr>
        <w:trPr>
          <w:trHeight w:val="210"/>
        </w:trPr>
        <w:tc>
          <w:tcPr>
            <w:tcW w:w="2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30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w w:val="95"/>
              </w:rPr>
              <w:t>(in millions of U.S. dollars, except days and percentages)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1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Contracted time charter revenues</w:t>
            </w:r>
            <w:r>
              <w:rPr>
                <w:rFonts w:ascii="Arial" w:cs="Arial" w:eastAsia="Arial" w:hAnsi="Arial"/>
                <w:sz w:val="29"/>
                <w:szCs w:val="29"/>
                <w:color w:val="auto"/>
                <w:vertAlign w:val="superscript"/>
              </w:rPr>
              <w:t>(1)</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350.92</w:t>
            </w:r>
          </w:p>
        </w:tc>
        <w:tc>
          <w:tcPr>
            <w:tcW w:w="102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482.92</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453.29</w:t>
            </w:r>
          </w:p>
        </w:tc>
        <w:tc>
          <w:tcPr>
            <w:tcW w:w="106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455.36</w:t>
            </w:r>
          </w:p>
        </w:tc>
        <w:tc>
          <w:tcPr>
            <w:tcW w:w="98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395.69</w:t>
            </w:r>
          </w:p>
        </w:tc>
        <w:tc>
          <w:tcPr>
            <w:tcW w:w="120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1,431.64</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3,569.82</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Total contracted days</w:t>
            </w:r>
            <w:r>
              <w:rPr>
                <w:rFonts w:ascii="Arial" w:cs="Arial" w:eastAsia="Arial" w:hAnsi="Arial"/>
                <w:sz w:val="29"/>
                <w:szCs w:val="29"/>
                <w:color w:val="auto"/>
                <w:vertAlign w:val="superscript"/>
              </w:rPr>
              <w:t>(1)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4,887</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6,417</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6,015</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5,977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5,006</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17,242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45,544</w:t>
            </w:r>
          </w:p>
        </w:tc>
      </w:tr>
      <w:tr>
        <w:trPr>
          <w:trHeight w:val="257"/>
        </w:trPr>
        <w:tc>
          <w:tcPr>
            <w:tcW w:w="41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Total available days</w:t>
            </w:r>
            <w:r>
              <w:rPr>
                <w:rFonts w:ascii="Arial" w:cs="Arial" w:eastAsia="Arial" w:hAnsi="Arial"/>
                <w:sz w:val="29"/>
                <w:szCs w:val="29"/>
                <w:color w:val="auto"/>
                <w:vertAlign w:val="superscript"/>
              </w:rPr>
              <w:t>(2)</w:t>
            </w:r>
          </w:p>
        </w:tc>
        <w:tc>
          <w:tcPr>
            <w:tcW w:w="10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5,812</w:t>
            </w:r>
          </w:p>
        </w:tc>
        <w:tc>
          <w:tcPr>
            <w:tcW w:w="1020" w:type="dxa"/>
            <w:vAlign w:val="bottom"/>
            <w:shd w:val="clear" w:color="auto" w:fill="E5FFFF"/>
          </w:tcPr>
          <w:p>
            <w:pPr>
              <w:jc w:val="right"/>
              <w:ind w:right="270"/>
              <w:spacing w:after="0"/>
              <w:rPr>
                <w:sz w:val="20"/>
                <w:szCs w:val="20"/>
                <w:color w:val="auto"/>
              </w:rPr>
            </w:pPr>
            <w:r>
              <w:rPr>
                <w:rFonts w:ascii="Arial" w:cs="Arial" w:eastAsia="Arial" w:hAnsi="Arial"/>
                <w:sz w:val="18"/>
                <w:szCs w:val="18"/>
                <w:color w:val="auto"/>
              </w:rPr>
              <w:t>8,395</w:t>
            </w:r>
          </w:p>
        </w:tc>
        <w:tc>
          <w:tcPr>
            <w:tcW w:w="10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9,186</w:t>
            </w:r>
          </w:p>
        </w:tc>
        <w:tc>
          <w:tcPr>
            <w:tcW w:w="106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rPr>
              <w:t>9,734</w:t>
            </w:r>
          </w:p>
        </w:tc>
        <w:tc>
          <w:tcPr>
            <w:tcW w:w="980" w:type="dxa"/>
            <w:vAlign w:val="bottom"/>
            <w:shd w:val="clear" w:color="auto" w:fill="E5FFFF"/>
          </w:tcPr>
          <w:p>
            <w:pPr>
              <w:jc w:val="right"/>
              <w:ind w:right="190"/>
              <w:spacing w:after="0"/>
              <w:rPr>
                <w:sz w:val="20"/>
                <w:szCs w:val="20"/>
                <w:color w:val="auto"/>
              </w:rPr>
            </w:pPr>
            <w:r>
              <w:rPr>
                <w:rFonts w:ascii="Arial" w:cs="Arial" w:eastAsia="Arial" w:hAnsi="Arial"/>
                <w:sz w:val="18"/>
                <w:szCs w:val="18"/>
                <w:color w:val="auto"/>
              </w:rPr>
              <w:t>9,612</w:t>
            </w:r>
          </w:p>
        </w:tc>
        <w:tc>
          <w:tcPr>
            <w:tcW w:w="1200" w:type="dxa"/>
            <w:vAlign w:val="bottom"/>
            <w:shd w:val="clear" w:color="auto" w:fill="E5FFFF"/>
          </w:tcPr>
          <w:p>
            <w:pPr>
              <w:jc w:val="right"/>
              <w:ind w:right="230"/>
              <w:spacing w:after="0"/>
              <w:rPr>
                <w:sz w:val="20"/>
                <w:szCs w:val="20"/>
                <w:color w:val="auto"/>
              </w:rPr>
            </w:pPr>
            <w:r>
              <w:rPr>
                <w:rFonts w:ascii="Arial" w:cs="Arial" w:eastAsia="Arial" w:hAnsi="Arial"/>
                <w:sz w:val="18"/>
                <w:szCs w:val="18"/>
                <w:color w:val="auto"/>
              </w:rPr>
              <w:t>87,399</w:t>
            </w:r>
          </w:p>
        </w:tc>
        <w:tc>
          <w:tcPr>
            <w:tcW w:w="960" w:type="dxa"/>
            <w:vAlign w:val="bottom"/>
            <w:gridSpan w:val="2"/>
            <w:shd w:val="clear" w:color="auto" w:fill="E5FFFF"/>
          </w:tcPr>
          <w:p>
            <w:pPr>
              <w:jc w:val="right"/>
              <w:ind w:right="160"/>
              <w:spacing w:after="0"/>
              <w:rPr>
                <w:sz w:val="20"/>
                <w:szCs w:val="20"/>
                <w:color w:val="auto"/>
              </w:rPr>
            </w:pPr>
            <w:r>
              <w:rPr>
                <w:rFonts w:ascii="Arial" w:cs="Arial" w:eastAsia="Arial" w:hAnsi="Arial"/>
                <w:sz w:val="18"/>
                <w:szCs w:val="18"/>
                <w:color w:val="auto"/>
              </w:rPr>
              <w:t>130,138</w:t>
            </w:r>
          </w:p>
        </w:tc>
      </w:tr>
      <w:tr>
        <w:trPr>
          <w:trHeight w:val="257"/>
        </w:trPr>
        <w:tc>
          <w:tcPr>
            <w:tcW w:w="4120" w:type="dxa"/>
            <w:vAlign w:val="bottom"/>
            <w:gridSpan w:val="2"/>
          </w:tcPr>
          <w:p>
            <w:pPr>
              <w:spacing w:after="0" w:line="256" w:lineRule="exact"/>
              <w:rPr>
                <w:sz w:val="20"/>
                <w:szCs w:val="20"/>
                <w:color w:val="auto"/>
              </w:rPr>
            </w:pPr>
            <w:r>
              <w:rPr>
                <w:rFonts w:ascii="Arial" w:cs="Arial" w:eastAsia="Arial" w:hAnsi="Arial"/>
                <w:sz w:val="18"/>
                <w:szCs w:val="18"/>
                <w:color w:val="auto"/>
              </w:rPr>
              <w:t>Total unfixed days</w:t>
            </w:r>
            <w:r>
              <w:rPr>
                <w:rFonts w:ascii="Arial" w:cs="Arial" w:eastAsia="Arial" w:hAnsi="Arial"/>
                <w:sz w:val="29"/>
                <w:szCs w:val="29"/>
                <w:color w:val="auto"/>
                <w:vertAlign w:val="superscript"/>
              </w:rPr>
              <w:t>(3)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925</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1,978</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3,171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3,757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4,606</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70,157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84,594</w:t>
            </w:r>
          </w:p>
        </w:tc>
      </w:tr>
      <w:tr>
        <w:trPr>
          <w:trHeight w:val="202"/>
        </w:trPr>
        <w:tc>
          <w:tcPr>
            <w:tcW w:w="41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Percentage of total contracted days/total available</w:t>
            </w:r>
          </w:p>
        </w:tc>
        <w:tc>
          <w:tcPr>
            <w:tcW w:w="6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r>
      <w:tr>
        <w:trPr>
          <w:trHeight w:val="230"/>
        </w:trPr>
        <w:tc>
          <w:tcPr>
            <w:tcW w:w="41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days</w:t>
            </w:r>
          </w:p>
        </w:tc>
        <w:tc>
          <w:tcPr>
            <w:tcW w:w="104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84.08%</w:t>
            </w:r>
          </w:p>
        </w:tc>
        <w:tc>
          <w:tcPr>
            <w:tcW w:w="102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76.44%</w:t>
            </w:r>
          </w:p>
        </w:tc>
        <w:tc>
          <w:tcPr>
            <w:tcW w:w="104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65.48%</w:t>
            </w:r>
          </w:p>
        </w:tc>
        <w:tc>
          <w:tcPr>
            <w:tcW w:w="106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61.40%</w:t>
            </w:r>
          </w:p>
        </w:tc>
        <w:tc>
          <w:tcPr>
            <w:tcW w:w="98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rPr>
              <w:t>52.08%</w:t>
            </w:r>
          </w:p>
        </w:tc>
        <w:tc>
          <w:tcPr>
            <w:tcW w:w="1200" w:type="dxa"/>
            <w:vAlign w:val="bottom"/>
            <w:shd w:val="clear" w:color="auto" w:fill="E5FFFF"/>
          </w:tcPr>
          <w:p>
            <w:pPr>
              <w:jc w:val="right"/>
              <w:ind w:right="90"/>
              <w:spacing w:after="0"/>
              <w:rPr>
                <w:sz w:val="20"/>
                <w:szCs w:val="20"/>
                <w:color w:val="auto"/>
              </w:rPr>
            </w:pPr>
            <w:r>
              <w:rPr>
                <w:rFonts w:ascii="Arial" w:cs="Arial" w:eastAsia="Arial" w:hAnsi="Arial"/>
                <w:sz w:val="18"/>
                <w:szCs w:val="18"/>
                <w:color w:val="auto"/>
              </w:rPr>
              <w:t>19.73%</w:t>
            </w:r>
          </w:p>
        </w:tc>
        <w:tc>
          <w:tcPr>
            <w:tcW w:w="9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35.00%</w:t>
            </w:r>
          </w:p>
        </w:tc>
      </w:tr>
      <w:tr>
        <w:trPr>
          <w:trHeight w:val="189"/>
        </w:trPr>
        <w:tc>
          <w:tcPr>
            <w:tcW w:w="230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175" w:lineRule="exact"/>
        <w:rPr>
          <w:sz w:val="20"/>
          <w:szCs w:val="20"/>
          <w:color w:val="auto"/>
        </w:rPr>
      </w:pPr>
    </w:p>
    <w:p>
      <w:pPr>
        <w:ind w:left="360" w:hanging="352"/>
        <w:spacing w:after="0" w:line="249" w:lineRule="auto"/>
        <w:tabs>
          <w:tab w:leader="none" w:pos="3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 xml:space="preserve">Reflects time charter revenues and contracted days for eight of our wholly owned ships, the eight ships owned by the Partnership, the bareboat vessel and six of our seven newbuildings on order for which we have secured time charters. Does not include charter revenues for the vessels operating in the spot/short-term market under the Cool Pool agreement and the </w:t>
      </w:r>
      <w:r>
        <w:rPr>
          <w:rFonts w:ascii="Arial" w:cs="Arial" w:eastAsia="Arial" w:hAnsi="Arial"/>
          <w:sz w:val="17"/>
          <w:szCs w:val="17"/>
          <w:i w:val="1"/>
          <w:iCs w:val="1"/>
          <w:color w:val="auto"/>
        </w:rPr>
        <w:t>Methane Nile Eagle</w:t>
      </w:r>
      <w:r>
        <w:rPr>
          <w:rFonts w:ascii="Arial" w:cs="Arial" w:eastAsia="Arial" w:hAnsi="Arial"/>
          <w:sz w:val="17"/>
          <w:szCs w:val="17"/>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w:t>
      </w:r>
    </w:p>
    <w:p>
      <w:pPr>
        <w:spacing w:after="0" w:line="2" w:lineRule="exact"/>
        <w:rPr>
          <w:rFonts w:ascii="Arial" w:cs="Arial" w:eastAsia="Arial" w:hAnsi="Arial"/>
          <w:sz w:val="28"/>
          <w:szCs w:val="28"/>
          <w:color w:val="auto"/>
          <w:vertAlign w:val="superscript"/>
        </w:rPr>
      </w:pPr>
    </w:p>
    <w:p>
      <w:pPr>
        <w:ind w:left="360" w:right="160" w:hanging="352"/>
        <w:spacing w:after="0" w:line="187" w:lineRule="auto"/>
        <w:tabs>
          <w:tab w:leader="none" w:pos="3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Available days represent total calendar days after deducting 30 off-hire days when the ship undergoes scheduled drydocking. The available days for the vessels operating in the spot/short-term market are included.</w:t>
      </w:r>
    </w:p>
    <w:p>
      <w:pPr>
        <w:spacing w:after="0" w:line="2" w:lineRule="exact"/>
        <w:rPr>
          <w:rFonts w:ascii="Arial" w:cs="Arial" w:eastAsia="Arial" w:hAnsi="Arial"/>
          <w:sz w:val="30"/>
          <w:szCs w:val="30"/>
          <w:color w:val="auto"/>
          <w:vertAlign w:val="superscript"/>
        </w:rPr>
      </w:pPr>
    </w:p>
    <w:p>
      <w:pPr>
        <w:ind w:left="360" w:right="600" w:hanging="352"/>
        <w:spacing w:after="0" w:line="187" w:lineRule="auto"/>
        <w:tabs>
          <w:tab w:leader="none" w:pos="36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Represents available days for ships after the expiration of existing charters (assuming charterers do not exercise any option to extend the terms of charters) and the available days for the vessels operating in the spot/short-term market.</w:t>
      </w:r>
    </w:p>
    <w:p>
      <w:pPr>
        <w:sectPr>
          <w:pgSz w:w="11900" w:h="16838" w:orient="portrait"/>
          <w:cols w:equalWidth="0" w:num="1">
            <w:col w:w="11420"/>
          </w:cols>
          <w:pgMar w:left="240" w:top="405" w:right="239" w:bottom="408"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408" w:gutter="0" w:footer="0" w:header="0"/>
          <w:type w:val="continuous"/>
        </w:sectPr>
      </w:pPr>
    </w:p>
    <w:bookmarkStart w:id="21" w:name="page22"/>
    <w:bookmarkEnd w:id="21"/>
    <w:p>
      <w:pPr>
        <w:ind w:firstLine="324"/>
        <w:spacing w:after="0" w:line="285" w:lineRule="auto"/>
        <w:rPr>
          <w:sz w:val="20"/>
          <w:szCs w:val="20"/>
          <w:color w:val="auto"/>
        </w:rPr>
      </w:pPr>
      <w:r>
        <w:rPr>
          <w:rFonts w:ascii="Arial" w:cs="Arial" w:eastAsia="Arial" w:hAnsi="Arial"/>
          <w:sz w:val="16"/>
          <w:szCs w:val="16"/>
          <w:color w:val="auto"/>
        </w:rPr>
        <w:t>The table provides additional information about our contracted charter revenues based on contracts in effect as of March 31, 2016 for the eight ships in our wholly owned fleet, the eight ships in the GasLog Partners’ fleet for which we have secured time charters, the bareboat vessel and six of our newbuildings on order.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time charter revenues for the vessels operating in the spot/short-term market under the Cool Pool agreement and any additional ships we may acquire in the future, nor does it reflect the options under our time charters that permit our charterers to extend the time charter terms for successive multi-year periods. The entry into time charter contracts for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14, 2016.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14, 2016 and Note 2 of our unaudited condensed consolidated financial statements included elsewhere in this report.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40" w:type="dxa"/>
            <w:vAlign w:val="bottom"/>
          </w:tcPr>
          <w:p>
            <w:pPr>
              <w:ind w:left="254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780" w:type="dxa"/>
            <w:vAlign w:val="bottom"/>
          </w:tcPr>
          <w:p>
            <w:pPr>
              <w:spacing w:after="0"/>
              <w:rPr>
                <w:sz w:val="20"/>
                <w:szCs w:val="20"/>
                <w:color w:val="auto"/>
              </w:rPr>
            </w:pPr>
          </w:p>
        </w:tc>
      </w:tr>
      <w:tr>
        <w:trPr>
          <w:trHeight w:val="414"/>
        </w:trPr>
        <w:tc>
          <w:tcPr>
            <w:tcW w:w="1064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11"/>
        </w:trPr>
        <w:tc>
          <w:tcPr>
            <w:tcW w:w="10640" w:type="dxa"/>
            <w:vAlign w:val="bottom"/>
          </w:tcPr>
          <w:p>
            <w:pPr>
              <w:spacing w:after="0"/>
              <w:rPr>
                <w:sz w:val="20"/>
                <w:szCs w:val="20"/>
                <w:color w:val="auto"/>
              </w:rPr>
            </w:pPr>
            <w:r>
              <w:rPr>
                <w:rFonts w:ascii="Arial" w:cs="Arial" w:eastAsia="Arial" w:hAnsi="Arial"/>
                <w:sz w:val="18"/>
                <w:szCs w:val="18"/>
                <w:color w:val="auto"/>
              </w:rPr>
              <w:t>Unaudited condensed consolidated statements of financial position as of December 31, 2015 and March 31, 2016</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Unaudited condensed consolidated statements of profit or loss for the three months ended March 31, 2015 and 2016</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w w:val="98"/>
              </w:rPr>
              <w:t>Unaudited condensed consolidated statements of comprehensive income or loss for the three months ended March 31, 2015 and 2016</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Unaudited condensed consolidated statements of changes in equity for the three months ended March 31, 2015 and 2016</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Unaudited condensed consolidated statements of cash flows for the three months ended March 31, 2015 and 2016</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05"/>
        </w:trPr>
        <w:tc>
          <w:tcPr>
            <w:tcW w:w="10640" w:type="dxa"/>
            <w:vAlign w:val="bottom"/>
          </w:tcPr>
          <w:p>
            <w:pPr>
              <w:ind w:left="5580"/>
              <w:spacing w:after="0"/>
              <w:rPr>
                <w:sz w:val="20"/>
                <w:szCs w:val="20"/>
                <w:color w:val="auto"/>
              </w:rPr>
            </w:pPr>
            <w:r>
              <w:rPr>
                <w:rFonts w:ascii="Arial" w:cs="Arial" w:eastAsia="Arial" w:hAnsi="Arial"/>
                <w:sz w:val="18"/>
                <w:szCs w:val="18"/>
                <w:color w:val="auto"/>
              </w:rPr>
              <w:t>F-1</w:t>
            </w:r>
          </w:p>
        </w:tc>
        <w:tc>
          <w:tcPr>
            <w:tcW w:w="780" w:type="dxa"/>
            <w:vAlign w:val="bottom"/>
          </w:tcPr>
          <w:p>
            <w:pPr>
              <w:spacing w:after="0"/>
              <w:rPr>
                <w:sz w:val="24"/>
                <w:szCs w:val="24"/>
                <w:color w:val="auto"/>
              </w:rPr>
            </w:pPr>
          </w:p>
        </w:tc>
      </w:tr>
      <w:tr>
        <w:trPr>
          <w:trHeight w:val="250"/>
        </w:trPr>
        <w:tc>
          <w:tcPr>
            <w:tcW w:w="1064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financial position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As of December 31, 2015 and March 31, 2016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Note</w:t>
            </w:r>
          </w:p>
        </w:tc>
        <w:tc>
          <w:tcPr>
            <w:tcW w:w="19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7"/>
              </w:rPr>
              <w:t>December 31, 2015</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9,511</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6,274</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6,358</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17,998</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28,937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28,957</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28,572</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Tangible fixed assets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3,400,270</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3,357,228</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178,405</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156,619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227,768</w:t>
            </w:r>
          </w:p>
        </w:tc>
        <w:tc>
          <w:tcPr>
            <w:tcW w:w="0" w:type="dxa"/>
            <w:vAlign w:val="bottom"/>
          </w:tcPr>
          <w:p>
            <w:pPr>
              <w:spacing w:after="0"/>
              <w:rPr>
                <w:sz w:val="1"/>
                <w:szCs w:val="1"/>
                <w:color w:val="auto"/>
              </w:rPr>
            </w:pPr>
          </w:p>
        </w:tc>
      </w:tr>
      <w:tr>
        <w:trPr>
          <w:trHeight w:val="210"/>
        </w:trPr>
        <w:tc>
          <w:tcPr>
            <w:tcW w:w="6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7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22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3,814,993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16,079</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Dividends receivable and due from related parties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1,345</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6,496</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2,519</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6,000</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62,718</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23,623</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302,988</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284,028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398,145</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327,575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22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4,142,568</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Equity</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Share capital</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810</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Contributed surplus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1,020,292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1,008,353</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Reserves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160"/>
              <w:spacing w:after="0"/>
              <w:rPr>
                <w:sz w:val="20"/>
                <w:szCs w:val="20"/>
                <w:color w:val="auto"/>
              </w:rPr>
            </w:pPr>
            <w:r>
              <w:rPr>
                <w:rFonts w:ascii="Arial" w:cs="Arial" w:eastAsia="Arial" w:hAnsi="Arial"/>
                <w:sz w:val="18"/>
                <w:szCs w:val="18"/>
                <w:color w:val="auto"/>
              </w:rPr>
              <w:t>(8,829)</w:t>
            </w:r>
          </w:p>
        </w:tc>
        <w:tc>
          <w:tcPr>
            <w:tcW w:w="16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Treasury shares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(12,491)</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earnings/(accumulated deficit)</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1,846</w:t>
            </w:r>
          </w:p>
        </w:tc>
        <w:tc>
          <w:tcPr>
            <w:tcW w:w="168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1,001,674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506,246</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506,493</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1,507,920</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1,475,130</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Trade accounts payable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12,391</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Ship management creditors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3,524</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163</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14,243</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67,084</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67,655</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Borrowings, 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636,987</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777,885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734,392</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870,364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20" w:type="dxa"/>
            <w:vAlign w:val="bottom"/>
          </w:tcPr>
          <w:p>
            <w:pPr>
              <w:spacing w:after="0"/>
              <w:rPr>
                <w:sz w:val="18"/>
                <w:szCs w:val="18"/>
                <w:color w:val="auto"/>
              </w:rPr>
            </w:pPr>
          </w:p>
        </w:tc>
        <w:tc>
          <w:tcPr>
            <w:tcW w:w="1960" w:type="dxa"/>
            <w:vAlign w:val="bottom"/>
            <w:gridSpan w:val="3"/>
          </w:tcPr>
          <w:p>
            <w:pPr>
              <w:jc w:val="right"/>
              <w:ind w:right="220"/>
              <w:spacing w:after="0"/>
              <w:rPr>
                <w:sz w:val="20"/>
                <w:szCs w:val="20"/>
                <w:color w:val="auto"/>
              </w:rPr>
            </w:pPr>
            <w:r>
              <w:rPr>
                <w:rFonts w:ascii="Arial" w:cs="Arial" w:eastAsia="Arial" w:hAnsi="Arial"/>
                <w:sz w:val="18"/>
                <w:szCs w:val="18"/>
                <w:color w:val="auto"/>
              </w:rPr>
              <w:t>58,531</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7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1,737,500</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1,513,540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218,067</w:t>
            </w:r>
          </w:p>
        </w:tc>
        <w:tc>
          <w:tcPr>
            <w:tcW w:w="0" w:type="dxa"/>
            <w:vAlign w:val="bottom"/>
          </w:tcPr>
          <w:p>
            <w:pPr>
              <w:spacing w:after="0"/>
              <w:rPr>
                <w:sz w:val="1"/>
                <w:szCs w:val="1"/>
                <w:color w:val="auto"/>
              </w:rPr>
            </w:pPr>
          </w:p>
        </w:tc>
      </w:tr>
      <w:tr>
        <w:trPr>
          <w:trHeight w:val="216"/>
        </w:trPr>
        <w:tc>
          <w:tcPr>
            <w:tcW w:w="686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7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60" w:type="dxa"/>
            <w:vAlign w:val="bottom"/>
            <w:gridSpan w:val="3"/>
            <w:shd w:val="clear" w:color="auto" w:fill="E5FFFF"/>
          </w:tcPr>
          <w:p>
            <w:pPr>
              <w:jc w:val="right"/>
              <w:ind w:right="220"/>
              <w:spacing w:after="0"/>
              <w:rPr>
                <w:sz w:val="20"/>
                <w:szCs w:val="20"/>
                <w:color w:val="auto"/>
              </w:rPr>
            </w:pPr>
            <w:r>
              <w:rPr>
                <w:rFonts w:ascii="Arial" w:cs="Arial" w:eastAsia="Arial" w:hAnsi="Arial"/>
                <w:sz w:val="18"/>
                <w:szCs w:val="18"/>
                <w:color w:val="auto"/>
              </w:rPr>
              <w:t>1,278</w:t>
            </w:r>
          </w:p>
        </w:tc>
        <w:tc>
          <w:tcPr>
            <w:tcW w:w="168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7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1,797,309</w:t>
            </w:r>
          </w:p>
        </w:tc>
        <w:tc>
          <w:tcPr>
            <w:tcW w:w="22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1,797,074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700" w:type="dxa"/>
            <w:vAlign w:val="bottom"/>
            <w:tcBorders>
              <w:bottom w:val="single" w:sz="8" w:color="E5FFFF"/>
            </w:tcBorders>
            <w:shd w:val="clear" w:color="auto" w:fill="E5FFFF"/>
          </w:tcPr>
          <w:p>
            <w:pPr>
              <w:spacing w:after="0"/>
              <w:rPr>
                <w:sz w:val="18"/>
                <w:szCs w:val="18"/>
                <w:color w:val="auto"/>
              </w:rPr>
            </w:pPr>
          </w:p>
        </w:tc>
        <w:tc>
          <w:tcPr>
            <w:tcW w:w="22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22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4,142,568</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Note</w:t>
            </w: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Revenues</w:t>
            </w:r>
          </w:p>
        </w:tc>
        <w:tc>
          <w:tcPr>
            <w:tcW w:w="3520" w:type="dxa"/>
            <w:vAlign w:val="bottom"/>
            <w:tcBorders>
              <w:top w:val="single" w:sz="8" w:color="E5FFFF"/>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97,326</w:t>
            </w:r>
          </w:p>
        </w:tc>
        <w:tc>
          <w:tcPr>
            <w:tcW w:w="2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104,377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(21,894)</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352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(2,729)</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4100" w:type="dxa"/>
            <w:vAlign w:val="bottom"/>
            <w:gridSpan w:val="2"/>
          </w:tcPr>
          <w:p>
            <w:pPr>
              <w:jc w:val="center"/>
              <w:ind w:left="3550"/>
              <w:spacing w:after="0"/>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(22,695)</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4100" w:type="dxa"/>
            <w:vAlign w:val="bottom"/>
            <w:gridSpan w:val="2"/>
            <w:shd w:val="clear" w:color="auto" w:fill="E5FFFF"/>
          </w:tcPr>
          <w:p>
            <w:pPr>
              <w:jc w:val="center"/>
              <w:ind w:left="3550"/>
              <w:spacing w:after="0"/>
              <w:rPr>
                <w:sz w:val="20"/>
                <w:szCs w:val="20"/>
                <w:color w:val="auto"/>
              </w:rPr>
            </w:pPr>
            <w:r>
              <w:rPr>
                <w:rFonts w:ascii="Arial" w:cs="Arial" w:eastAsia="Arial" w:hAnsi="Arial"/>
                <w:sz w:val="18"/>
                <w:szCs w:val="18"/>
                <w:color w:val="auto"/>
                <w:w w:val="99"/>
              </w:rPr>
              <w:t>8</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(11,159)</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352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38,849</w:t>
            </w:r>
          </w:p>
        </w:tc>
        <w:tc>
          <w:tcPr>
            <w:tcW w:w="2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33,759</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4100" w:type="dxa"/>
            <w:vAlign w:val="bottom"/>
            <w:gridSpan w:val="2"/>
            <w:shd w:val="clear" w:color="auto" w:fill="E5FFFF"/>
          </w:tcPr>
          <w:p>
            <w:pPr>
              <w:jc w:val="center"/>
              <w:ind w:left="3550"/>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(18,528)</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Financial income</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Loss on swaps</w:t>
            </w:r>
          </w:p>
        </w:tc>
        <w:tc>
          <w:tcPr>
            <w:tcW w:w="4100" w:type="dxa"/>
            <w:vAlign w:val="bottom"/>
            <w:gridSpan w:val="2"/>
            <w:shd w:val="clear" w:color="auto" w:fill="E5FFFF"/>
          </w:tcPr>
          <w:p>
            <w:pPr>
              <w:jc w:val="center"/>
              <w:ind w:left="3550"/>
              <w:spacing w:after="0"/>
              <w:rPr>
                <w:sz w:val="20"/>
                <w:szCs w:val="20"/>
                <w:color w:val="auto"/>
              </w:rPr>
            </w:pPr>
            <w:r>
              <w:rPr>
                <w:rFonts w:ascii="Arial" w:cs="Arial" w:eastAsia="Arial" w:hAnsi="Arial"/>
                <w:sz w:val="18"/>
                <w:szCs w:val="18"/>
                <w:color w:val="auto"/>
                <w:w w:val="89"/>
              </w:rPr>
              <w:t>13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(6,979)</w:t>
            </w:r>
          </w:p>
        </w:tc>
        <w:tc>
          <w:tcPr>
            <w:tcW w:w="10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3520" w:type="dxa"/>
            <w:vAlign w:val="bottom"/>
            <w:tcBorders>
              <w:top w:val="single" w:sz="8" w:color="E5FFFF"/>
            </w:tcBorders>
            <w:shd w:val="clear" w:color="auto" w:fill="E5FFFF"/>
          </w:tcPr>
          <w:p>
            <w:pPr>
              <w:spacing w:after="0"/>
              <w:rPr>
                <w:sz w:val="18"/>
                <w:szCs w:val="18"/>
                <w:color w:val="auto"/>
              </w:rPr>
            </w:pPr>
          </w:p>
        </w:tc>
        <w:tc>
          <w:tcPr>
            <w:tcW w:w="58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(24,997</w:t>
            </w:r>
          </w:p>
        </w:tc>
        <w:tc>
          <w:tcPr>
            <w:tcW w:w="220" w:type="dxa"/>
            <w:vAlign w:val="bottom"/>
            <w:tcBorders>
              <w:top w:val="single" w:sz="8" w:color="E5FFFF"/>
            </w:tcBorders>
            <w:shd w:val="clear" w:color="auto" w:fill="E5FF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(39,057</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Profit/(loss) for the period</w:t>
            </w:r>
          </w:p>
        </w:tc>
        <w:tc>
          <w:tcPr>
            <w:tcW w:w="3520" w:type="dxa"/>
            <w:vAlign w:val="bottom"/>
            <w:tcBorders>
              <w:bottom w:val="single" w:sz="8" w:color="E5FFFF"/>
            </w:tcBorders>
          </w:tcPr>
          <w:p>
            <w:pPr>
              <w:spacing w:after="0"/>
              <w:rPr>
                <w:sz w:val="22"/>
                <w:szCs w:val="22"/>
                <w:color w:val="auto"/>
              </w:rPr>
            </w:pPr>
          </w:p>
        </w:tc>
        <w:tc>
          <w:tcPr>
            <w:tcW w:w="580" w:type="dxa"/>
            <w:vAlign w:val="bottom"/>
            <w:tcBorders>
              <w:bottom w:val="single" w:sz="8" w:color="E5FFFF"/>
            </w:tcBorders>
          </w:tcPr>
          <w:p>
            <w:pPr>
              <w:spacing w:after="0"/>
              <w:rPr>
                <w:sz w:val="22"/>
                <w:szCs w:val="22"/>
                <w:color w:val="auto"/>
              </w:rPr>
            </w:pPr>
          </w:p>
        </w:tc>
        <w:tc>
          <w:tcPr>
            <w:tcW w:w="220" w:type="dxa"/>
            <w:vAlign w:val="bottom"/>
            <w:tcBorders>
              <w:bottom w:val="single" w:sz="8" w:color="E5FFFF"/>
            </w:tcBorders>
          </w:tcPr>
          <w:p>
            <w:pPr>
              <w:spacing w:after="0"/>
              <w:rPr>
                <w:sz w:val="22"/>
                <w:szCs w:val="22"/>
                <w:color w:val="auto"/>
              </w:rPr>
            </w:pPr>
          </w:p>
        </w:tc>
        <w:tc>
          <w:tcPr>
            <w:tcW w:w="120" w:type="dxa"/>
            <w:vAlign w:val="bottom"/>
            <w:tcBorders>
              <w:bottom w:val="single" w:sz="8" w:color="E5FF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w:t>
            </w:r>
          </w:p>
        </w:tc>
        <w:tc>
          <w:tcPr>
            <w:tcW w:w="220" w:type="dxa"/>
            <w:vAlign w:val="bottom"/>
            <w:tcBorders>
              <w:bottom w:val="single" w:sz="8" w:color="E5FFFF"/>
            </w:tcBorders>
          </w:tcPr>
          <w:p>
            <w:pPr>
              <w:spacing w:after="0"/>
              <w:rPr>
                <w:sz w:val="22"/>
                <w:szCs w:val="22"/>
                <w:color w:val="auto"/>
              </w:rPr>
            </w:pPr>
          </w:p>
        </w:tc>
        <w:tc>
          <w:tcPr>
            <w:tcW w:w="100" w:type="dxa"/>
            <w:vAlign w:val="bottom"/>
            <w:tcBorders>
              <w:bottom w:val="single" w:sz="8" w:color="E5FF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352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Owners of the Group</w:t>
            </w: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4,342</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3520" w:type="dxa"/>
            <w:vAlign w:val="bottom"/>
            <w:shd w:val="clear" w:color="auto" w:fill="E5FFFF"/>
          </w:tcPr>
          <w:p>
            <w:pPr>
              <w:spacing w:after="0"/>
              <w:rPr>
                <w:sz w:val="19"/>
                <w:szCs w:val="19"/>
                <w:color w:val="auto"/>
              </w:rPr>
            </w:pPr>
          </w:p>
        </w:tc>
        <w:tc>
          <w:tcPr>
            <w:tcW w:w="5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9,510</w:t>
            </w:r>
          </w:p>
        </w:tc>
        <w:tc>
          <w:tcPr>
            <w:tcW w:w="100" w:type="dxa"/>
            <w:vAlign w:val="bottom"/>
            <w:shd w:val="clear" w:color="auto" w:fill="E5FFFF"/>
          </w:tcPr>
          <w:p>
            <w:pPr>
              <w:spacing w:after="0"/>
              <w:rPr>
                <w:sz w:val="19"/>
                <w:szCs w:val="19"/>
                <w:color w:val="auto"/>
              </w:rPr>
            </w:pPr>
          </w:p>
        </w:tc>
        <w:tc>
          <w:tcPr>
            <w:tcW w:w="114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4100" w:type="dxa"/>
            <w:vAlign w:val="bottom"/>
            <w:gridSpan w:val="2"/>
            <w:shd w:val="clear" w:color="auto" w:fill="E5FFFF"/>
          </w:tcPr>
          <w:p>
            <w:pPr>
              <w:jc w:val="center"/>
              <w:ind w:left="3550"/>
              <w:spacing w:after="0"/>
              <w:rPr>
                <w:sz w:val="20"/>
                <w:szCs w:val="20"/>
                <w:color w:val="auto"/>
              </w:rPr>
            </w:pPr>
            <w:r>
              <w:rPr>
                <w:rFonts w:ascii="Arial" w:cs="Arial" w:eastAsia="Arial" w:hAnsi="Arial"/>
                <w:sz w:val="18"/>
                <w:szCs w:val="18"/>
                <w:color w:val="auto"/>
                <w:w w:val="89"/>
              </w:rPr>
              <w:t>16</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0.05</w:t>
            </w:r>
          </w:p>
        </w:tc>
        <w:tc>
          <w:tcPr>
            <w:tcW w:w="100" w:type="dxa"/>
            <w:vAlign w:val="bottom"/>
            <w:shd w:val="clear" w:color="auto" w:fill="E5FFFF"/>
          </w:tcPr>
          <w:p>
            <w:pPr>
              <w:spacing w:after="0"/>
              <w:rPr>
                <w:sz w:val="21"/>
                <w:szCs w:val="21"/>
                <w:color w:val="auto"/>
              </w:rPr>
            </w:pPr>
          </w:p>
        </w:tc>
        <w:tc>
          <w:tcPr>
            <w:tcW w:w="11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Borders>
              <w:top w:val="single" w:sz="8" w:color="E5FFFF"/>
            </w:tcBorders>
            <w:gridSpan w:val="2"/>
          </w:tcPr>
          <w:p>
            <w:pPr>
              <w:spacing w:after="0" w:line="20" w:lineRule="exact"/>
              <w:rPr>
                <w:sz w:val="1"/>
                <w:szCs w:val="1"/>
                <w:color w:val="auto"/>
              </w:rPr>
            </w:pPr>
          </w:p>
        </w:tc>
        <w:tc>
          <w:tcPr>
            <w:tcW w:w="5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0260" w:type="dxa"/>
            <w:vAlign w:val="bottom"/>
            <w:gridSpan w:val="8"/>
          </w:tcPr>
          <w:p>
            <w:pPr>
              <w:jc w:val="center"/>
              <w:ind w:left="1050"/>
              <w:spacing w:after="0"/>
              <w:rPr>
                <w:sz w:val="20"/>
                <w:szCs w:val="20"/>
                <w:color w:val="auto"/>
              </w:rPr>
            </w:pPr>
            <w:r>
              <w:rPr>
                <w:rFonts w:ascii="Arial" w:cs="Arial" w:eastAsia="Arial" w:hAnsi="Arial"/>
                <w:sz w:val="18"/>
                <w:szCs w:val="18"/>
                <w:color w:val="auto"/>
                <w:w w:val="89"/>
              </w:rPr>
              <w:t>The accompanying notes are an integral part of these unaudited condensed consolidated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440" w:type="dxa"/>
            <w:vAlign w:val="bottom"/>
            <w:gridSpan w:val="4"/>
          </w:tcPr>
          <w:p>
            <w:pPr>
              <w:jc w:val="center"/>
              <w:ind w:right="2020"/>
              <w:spacing w:after="0"/>
              <w:rPr>
                <w:sz w:val="20"/>
                <w:szCs w:val="20"/>
                <w:color w:val="auto"/>
              </w:rPr>
            </w:pPr>
            <w:r>
              <w:rPr>
                <w:rFonts w:ascii="Arial" w:cs="Arial" w:eastAsia="Arial" w:hAnsi="Arial"/>
                <w:sz w:val="18"/>
                <w:szCs w:val="18"/>
                <w:color w:val="auto"/>
                <w:w w:val="96"/>
              </w:rPr>
              <w:t>F-3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0C0C0"/>
            </w:tcBorders>
          </w:tcPr>
          <w:p>
            <w:pPr>
              <w:spacing w:after="0"/>
              <w:rPr>
                <w:sz w:val="21"/>
                <w:szCs w:val="21"/>
                <w:color w:val="auto"/>
              </w:rPr>
            </w:pPr>
          </w:p>
        </w:tc>
        <w:tc>
          <w:tcPr>
            <w:tcW w:w="3520" w:type="dxa"/>
            <w:vAlign w:val="bottom"/>
            <w:tcBorders>
              <w:bottom w:val="single" w:sz="8" w:color="C0C0C0"/>
            </w:tcBorders>
          </w:tcPr>
          <w:p>
            <w:pPr>
              <w:spacing w:after="0"/>
              <w:rPr>
                <w:sz w:val="21"/>
                <w:szCs w:val="21"/>
                <w:color w:val="auto"/>
              </w:rPr>
            </w:pPr>
          </w:p>
        </w:tc>
        <w:tc>
          <w:tcPr>
            <w:tcW w:w="58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2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GasLog Ltd. and its Subsidiaries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statements of comprehensive income or loss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For the three months ended March 31, 2015 and 2016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p>
        </w:tc>
        <w:tc>
          <w:tcPr>
            <w:tcW w:w="920" w:type="dxa"/>
            <w:vAlign w:val="bottom"/>
            <w:gridSpan w:val="3"/>
          </w:tcPr>
          <w:p>
            <w:pPr>
              <w:ind w:left="100"/>
              <w:spacing w:after="0"/>
              <w:rPr>
                <w:sz w:val="20"/>
                <w:szCs w:val="20"/>
                <w:color w:val="auto"/>
              </w:rPr>
            </w:pPr>
            <w:r>
              <w:rPr>
                <w:rFonts w:ascii="Arial" w:cs="Arial" w:eastAsia="Arial" w:hAnsi="Arial"/>
                <w:sz w:val="18"/>
                <w:szCs w:val="18"/>
                <w:b w:val="1"/>
                <w:bCs w:val="1"/>
                <w:color w:val="auto"/>
              </w:rPr>
              <w:t>Note</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Profit/(loss) for the period</w:t>
            </w:r>
          </w:p>
        </w:tc>
        <w:tc>
          <w:tcPr>
            <w:tcW w:w="5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13,852</w:t>
            </w:r>
          </w:p>
        </w:tc>
        <w:tc>
          <w:tcPr>
            <w:tcW w:w="2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w w:val="99"/>
              </w:rPr>
              <w:t>Effective portion of changes in fair value of cash flow hedges, net of amounts recycled to profit or loss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2"/>
              </w:rPr>
              <w:t>Recycled loss of cash flow hedges reclassified to profit or loss in relation to derivatives no longer designated</w:t>
            </w:r>
          </w:p>
        </w:tc>
        <w:tc>
          <w:tcPr>
            <w:tcW w:w="5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as hedges</w:t>
            </w:r>
          </w:p>
        </w:tc>
        <w:tc>
          <w:tcPr>
            <w:tcW w:w="58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E5FFFF"/>
          </w:tcPr>
          <w:p>
            <w:pPr>
              <w:spacing w:after="0"/>
              <w:rPr>
                <w:sz w:val="21"/>
                <w:szCs w:val="21"/>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349</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Other comprehensive loss for the period</w:t>
            </w:r>
          </w:p>
        </w:tc>
        <w:tc>
          <w:tcPr>
            <w:tcW w:w="58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(4,701</w:t>
            </w:r>
          </w:p>
        </w:tc>
        <w:tc>
          <w:tcPr>
            <w:tcW w:w="220" w:type="dxa"/>
            <w:vAlign w:val="bottom"/>
            <w:tcBorders>
              <w:bottom w:val="single" w:sz="8" w:color="E5FFFF"/>
            </w:tcBorders>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E5FF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comprehensive income/(loss) for the period</w:t>
            </w:r>
          </w:p>
        </w:tc>
        <w:tc>
          <w:tcPr>
            <w:tcW w:w="58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E5FFFF"/>
            </w:tcBorders>
            <w:shd w:val="clear" w:color="auto" w:fill="E5FFFF"/>
          </w:tcPr>
          <w:p>
            <w:pPr>
              <w:spacing w:after="0"/>
              <w:rPr>
                <w:sz w:val="19"/>
                <w:szCs w:val="19"/>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9,151</w:t>
            </w:r>
          </w:p>
        </w:tc>
        <w:tc>
          <w:tcPr>
            <w:tcW w:w="22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E5FFFF"/>
            </w:tcBorders>
            <w:shd w:val="clear" w:color="auto" w:fill="E5FFFF"/>
          </w:tcPr>
          <w:p>
            <w:pPr>
              <w:spacing w:after="0"/>
              <w:rPr>
                <w:sz w:val="19"/>
                <w:szCs w:val="19"/>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(9,387</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E5FFFF"/>
          </w:tcPr>
          <w:p>
            <w:pPr>
              <w:spacing w:after="0"/>
              <w:rPr>
                <w:sz w:val="20"/>
                <w:szCs w:val="20"/>
                <w:color w:val="auto"/>
              </w:rPr>
            </w:pPr>
            <w:r>
              <w:rPr>
                <w:rFonts w:ascii="Arial" w:cs="Arial" w:eastAsia="Arial" w:hAnsi="Arial"/>
                <w:sz w:val="18"/>
                <w:szCs w:val="18"/>
                <w:color w:val="auto"/>
              </w:rPr>
              <w:t>Owners of the Group</w:t>
            </w:r>
          </w:p>
        </w:tc>
        <w:tc>
          <w:tcPr>
            <w:tcW w:w="5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(359</w:t>
            </w:r>
            <w:r>
              <w:rPr>
                <w:rFonts w:ascii="Arial" w:cs="Arial" w:eastAsia="Arial" w:hAnsi="Arial"/>
                <w:sz w:val="18"/>
                <w:szCs w:val="18"/>
                <w:b w:val="1"/>
                <w:bCs w:val="1"/>
                <w:color w:val="auto"/>
              </w:rPr>
              <w:t>)</w:t>
            </w:r>
          </w:p>
        </w:tc>
        <w:tc>
          <w:tcPr>
            <w:tcW w:w="100" w:type="dxa"/>
            <w:vAlign w:val="bottom"/>
            <w:shd w:val="clear" w:color="auto" w:fill="E5FFFF"/>
          </w:tcPr>
          <w:p>
            <w:pPr>
              <w:spacing w:after="0"/>
              <w:rPr>
                <w:sz w:val="18"/>
                <w:szCs w:val="18"/>
                <w:color w:val="auto"/>
              </w:rPr>
            </w:pP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9,510</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10,600</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8020" w:type="dxa"/>
            <w:vAlign w:val="bottom"/>
            <w:tcBorders>
              <w:top w:val="single" w:sz="8" w:color="E5FFFF"/>
              <w:bottom w:val="single" w:sz="8" w:color="E5FFFF"/>
            </w:tcBorders>
            <w:shd w:val="clear" w:color="auto" w:fill="E5FFFF"/>
          </w:tcPr>
          <w:p>
            <w:pPr>
              <w:spacing w:after="0"/>
              <w:rPr>
                <w:sz w:val="19"/>
                <w:szCs w:val="19"/>
                <w:color w:val="auto"/>
              </w:rPr>
            </w:pPr>
          </w:p>
        </w:tc>
        <w:tc>
          <w:tcPr>
            <w:tcW w:w="58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9,151</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(9,387</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Retained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Preferred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Contributed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Treasury</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earnings/</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Attributable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Non -</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Surplus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(accumulated</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 owners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controlling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(Note 10)</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(Note 10)</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(Note 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Reserves</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6"/>
              </w:rPr>
              <w:t>(Note 10)</w:t>
            </w: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deficit)</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the Group</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interest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January 1, 2015</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20" w:type="dxa"/>
            <w:vAlign w:val="bottom"/>
            <w:tcBorders>
              <w:top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923,470</w:t>
            </w:r>
          </w:p>
        </w:tc>
        <w:tc>
          <w:tcPr>
            <w:tcW w:w="100" w:type="dxa"/>
            <w:vAlign w:val="bottom"/>
            <w:tcBorders>
              <w:top w:val="single" w:sz="8" w:color="E5FFFF"/>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(12,002)</w:t>
            </w:r>
          </w:p>
        </w:tc>
        <w:tc>
          <w:tcPr>
            <w:tcW w:w="1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(12,576)</w:t>
            </w:r>
          </w:p>
        </w:tc>
        <w:tc>
          <w:tcPr>
            <w:tcW w:w="10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29,689</w:t>
            </w:r>
          </w:p>
        </w:tc>
        <w:tc>
          <w:tcPr>
            <w:tcW w:w="12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929,391</w:t>
            </w:r>
          </w:p>
        </w:tc>
        <w:tc>
          <w:tcPr>
            <w:tcW w:w="12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323,646</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1,253,037</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Dividend paid (common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Share-based compensation, net of</w:t>
            </w: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dividend (Note 15)</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498</w:t>
            </w:r>
          </w:p>
        </w:tc>
        <w:tc>
          <w:tcPr>
            <w:tcW w:w="9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498</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Settlement of share-based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4,342</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9,510</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Other comprehensive loss for the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period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(4,701)</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(4,701)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w w:val="94"/>
              </w:rPr>
              <w:t>Total comprehensive (loss)/income</w:t>
            </w:r>
          </w:p>
        </w:tc>
        <w:tc>
          <w:tcPr>
            <w:tcW w:w="78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04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2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for the period</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(4,701)</w:t>
            </w:r>
          </w:p>
        </w:tc>
        <w:tc>
          <w:tcPr>
            <w:tcW w:w="9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4,342</w:t>
            </w:r>
          </w:p>
        </w:tc>
        <w:tc>
          <w:tcPr>
            <w:tcW w:w="120" w:type="dxa"/>
            <w:vAlign w:val="bottom"/>
            <w:shd w:val="clear" w:color="auto" w:fill="E5FFFF"/>
          </w:tcPr>
          <w:p>
            <w:pPr>
              <w:spacing w:after="0"/>
              <w:rPr>
                <w:sz w:val="20"/>
                <w:szCs w:val="20"/>
                <w:color w:val="auto"/>
              </w:rPr>
            </w:pP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b w:val="1"/>
                <w:bCs w:val="1"/>
                <w:color w:val="auto"/>
              </w:rPr>
              <w:t>(359)</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9,510</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9,151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b w:val="1"/>
                <w:bCs w:val="1"/>
                <w:color w:val="auto"/>
              </w:rPr>
              <w:t>Balance as of March 31, 2015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923,470</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(16,290)</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(12,491)</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22,761</w:t>
            </w:r>
          </w:p>
        </w:tc>
        <w:tc>
          <w:tcPr>
            <w:tcW w:w="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918,260</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327,002</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1,245,262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Balance as of January 1, 2016</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810</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1,020,292</w:t>
            </w:r>
          </w:p>
        </w:tc>
        <w:tc>
          <w:tcPr>
            <w:tcW w:w="100" w:type="dxa"/>
            <w:vAlign w:val="bottom"/>
            <w:shd w:val="clear" w:color="auto" w:fill="E5FFFF"/>
          </w:tcPr>
          <w:p>
            <w:pPr>
              <w:spacing w:after="0"/>
              <w:rPr>
                <w:sz w:val="18"/>
                <w:szCs w:val="18"/>
                <w:color w:val="auto"/>
              </w:rPr>
            </w:pP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(8,829)</w:t>
            </w:r>
          </w:p>
        </w:tc>
        <w:tc>
          <w:tcPr>
            <w:tcW w:w="90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1,846</w:t>
            </w:r>
          </w:p>
        </w:tc>
        <w:tc>
          <w:tcPr>
            <w:tcW w:w="12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1,001,674</w:t>
            </w:r>
          </w:p>
        </w:tc>
        <w:tc>
          <w:tcPr>
            <w:tcW w:w="120" w:type="dxa"/>
            <w:vAlign w:val="bottom"/>
            <w:shd w:val="clear" w:color="auto" w:fill="E5FFFF"/>
          </w:tcPr>
          <w:p>
            <w:pPr>
              <w:spacing w:after="0"/>
              <w:rPr>
                <w:sz w:val="18"/>
                <w:szCs w:val="18"/>
                <w:color w:val="auto"/>
              </w:rPr>
            </w:pP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506,246</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w w:val="89"/>
              </w:rPr>
              <w:t>1,507,920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60" w:type="dxa"/>
            <w:vAlign w:val="bottom"/>
          </w:tcPr>
          <w:p>
            <w:pPr>
              <w:spacing w:after="0" w:line="182" w:lineRule="exact"/>
              <w:rPr>
                <w:sz w:val="20"/>
                <w:szCs w:val="20"/>
                <w:color w:val="auto"/>
              </w:rPr>
            </w:pPr>
            <w:r>
              <w:rPr>
                <w:rFonts w:ascii="Arial" w:cs="Arial" w:eastAsia="Arial" w:hAnsi="Arial"/>
                <w:sz w:val="18"/>
                <w:szCs w:val="18"/>
                <w:color w:val="auto"/>
              </w:rPr>
              <w:t>Dividend paid (common and</w:t>
            </w: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preference shares) (Note 10)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(11,939 )</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(1,846)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(13,785)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(10,353)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Share-based compensation, net of</w:t>
            </w: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accrued dividend (Note 15)</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735</w:t>
            </w:r>
          </w:p>
        </w:tc>
        <w:tc>
          <w:tcPr>
            <w:tcW w:w="9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735</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(Loss)/profit for the period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(15,898)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(15,898)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comprehensive loss for the</w:t>
            </w: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period</w:t>
            </w:r>
          </w:p>
        </w:tc>
        <w:tc>
          <w:tcPr>
            <w:tcW w:w="9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(4,089)</w:t>
            </w:r>
          </w:p>
        </w:tc>
        <w:tc>
          <w:tcPr>
            <w:tcW w:w="90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(4,089)</w:t>
            </w:r>
          </w:p>
        </w:tc>
        <w:tc>
          <w:tcPr>
            <w:tcW w:w="9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Total comprehensive (loss)/income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b w:val="1"/>
                <w:bCs w:val="1"/>
                <w:color w:val="auto"/>
              </w:rPr>
              <w:t>for the period</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(4,089)</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(15,898)</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(19,987)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Balance as of March 31, 2016</w:t>
            </w:r>
          </w:p>
        </w:tc>
        <w:tc>
          <w:tcPr>
            <w:tcW w:w="7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810</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1,008,353</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(12,183</w:t>
            </w:r>
          </w:p>
        </w:tc>
        <w:tc>
          <w:tcPr>
            <w:tcW w:w="10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(12,491</w:t>
            </w:r>
          </w:p>
        </w:tc>
        <w:tc>
          <w:tcPr>
            <w:tcW w:w="10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(15,898</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968,637</w:t>
            </w: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506,493</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1,475,130</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GasLog Ltd. and its Subsidiaries</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 March 31, 2015 and 2016</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4"/>
          </w:tcPr>
          <w:p>
            <w:pPr>
              <w:ind w:left="52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Note</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 2015</w:t>
            </w: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auto"/>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Profit/(loss) for the period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13,852</w:t>
            </w:r>
          </w:p>
        </w:tc>
        <w:tc>
          <w:tcPr>
            <w:tcW w:w="1360" w:type="dxa"/>
            <w:vAlign w:val="bottom"/>
          </w:tcPr>
          <w:p>
            <w:pPr>
              <w:jc w:val="right"/>
              <w:spacing w:after="0"/>
              <w:rPr>
                <w:sz w:val="20"/>
                <w:szCs w:val="20"/>
                <w:color w:val="auto"/>
              </w:rPr>
            </w:pPr>
            <w:r>
              <w:rPr>
                <w:rFonts w:ascii="Arial" w:cs="Arial" w:eastAsia="Arial" w:hAnsi="Arial"/>
                <w:sz w:val="18"/>
                <w:szCs w:val="18"/>
                <w:color w:val="auto"/>
              </w:rPr>
              <w:t>(5,298)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Depreciation of fixed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22,695</w:t>
            </w:r>
          </w:p>
        </w:tc>
        <w:tc>
          <w:tcPr>
            <w:tcW w:w="1360" w:type="dxa"/>
            <w:vAlign w:val="bottom"/>
          </w:tcPr>
          <w:p>
            <w:pPr>
              <w:jc w:val="right"/>
              <w:spacing w:after="0"/>
              <w:rPr>
                <w:sz w:val="20"/>
                <w:szCs w:val="20"/>
                <w:color w:val="auto"/>
              </w:rPr>
            </w:pPr>
            <w:r>
              <w:rPr>
                <w:rFonts w:ascii="Arial" w:cs="Arial" w:eastAsia="Arial" w:hAnsi="Arial"/>
                <w:sz w:val="18"/>
                <w:szCs w:val="18"/>
                <w:color w:val="auto"/>
              </w:rPr>
              <w:t>28,164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(447)</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Financial income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36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18,528</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w w:val="97"/>
              </w:rPr>
              <w:t>Unrealized foreign exchange losses on cash and cash equivalents and short-term investments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1,068</w:t>
            </w: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6"/>
              </w:rPr>
              <w:t>Unrealized loss on interest rate swaps held for trading including ineffective portion of cash flow</w:t>
            </w:r>
          </w:p>
        </w:tc>
        <w:tc>
          <w:tcPr>
            <w:tcW w:w="5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E5FFFF"/>
          </w:tcPr>
          <w:p>
            <w:pPr>
              <w:ind w:left="140"/>
              <w:spacing w:after="0"/>
              <w:rPr>
                <w:sz w:val="20"/>
                <w:szCs w:val="20"/>
                <w:color w:val="auto"/>
              </w:rPr>
            </w:pPr>
            <w:r>
              <w:rPr>
                <w:rFonts w:ascii="Arial" w:cs="Arial" w:eastAsia="Arial" w:hAnsi="Arial"/>
                <w:sz w:val="18"/>
                <w:szCs w:val="18"/>
                <w:color w:val="auto"/>
              </w:rPr>
              <w:t>hedges</w:t>
            </w:r>
          </w:p>
        </w:tc>
        <w:tc>
          <w:tcPr>
            <w:tcW w:w="58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4,498</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284</w:t>
            </w:r>
          </w:p>
        </w:tc>
        <w:tc>
          <w:tcPr>
            <w:tcW w:w="136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498</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E5FFFF"/>
            </w:tcBorders>
          </w:tcPr>
          <w:p>
            <w:pPr>
              <w:spacing w:after="0"/>
              <w:rPr>
                <w:sz w:val="18"/>
                <w:szCs w:val="18"/>
                <w:color w:val="auto"/>
              </w:rPr>
            </w:pPr>
          </w:p>
        </w:tc>
        <w:tc>
          <w:tcPr>
            <w:tcW w:w="5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60,913</w:t>
            </w:r>
          </w:p>
        </w:tc>
        <w:tc>
          <w:tcPr>
            <w:tcW w:w="34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Movements in working capital</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(8,805)</w:t>
            </w:r>
          </w:p>
        </w:tc>
        <w:tc>
          <w:tcPr>
            <w:tcW w:w="340" w:type="dxa"/>
            <w:vAlign w:val="bottom"/>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5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52,108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Interest paid</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(14,850</w:t>
            </w:r>
          </w:p>
        </w:tc>
        <w:tc>
          <w:tcPr>
            <w:tcW w:w="340" w:type="dxa"/>
            <w:vAlign w:val="bottom"/>
            <w:shd w:val="clear" w:color="auto" w:fill="E5FFFF"/>
          </w:tcPr>
          <w:p>
            <w:pPr>
              <w:jc w:val="right"/>
              <w:ind w:right="200"/>
              <w:spacing w:after="0"/>
              <w:rPr>
                <w:sz w:val="20"/>
                <w:szCs w:val="20"/>
                <w:color w:val="auto"/>
              </w:rPr>
            </w:pPr>
            <w:r>
              <w:rPr>
                <w:rFonts w:ascii="Arial" w:cs="Arial" w:eastAsia="Arial" w:hAnsi="Arial"/>
                <w:sz w:val="16"/>
                <w:szCs w:val="16"/>
                <w:color w:val="auto"/>
                <w:w w:val="74"/>
              </w:rPr>
              <w:t>)</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(23,953)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37,258</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(500,537)</w:t>
            </w:r>
          </w:p>
        </w:tc>
        <w:tc>
          <w:tcPr>
            <w:tcW w:w="1360" w:type="dxa"/>
            <w:vAlign w:val="bottom"/>
          </w:tcPr>
          <w:p>
            <w:pPr>
              <w:jc w:val="right"/>
              <w:spacing w:after="0"/>
              <w:rPr>
                <w:sz w:val="20"/>
                <w:szCs w:val="20"/>
                <w:color w:val="auto"/>
              </w:rPr>
            </w:pPr>
            <w:r>
              <w:rPr>
                <w:rFonts w:ascii="Arial" w:cs="Arial" w:eastAsia="Arial" w:hAnsi="Arial"/>
                <w:sz w:val="18"/>
                <w:szCs w:val="18"/>
                <w:color w:val="auto"/>
              </w:rPr>
              <w:t>(197,797)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Dividends received from associate</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1,000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(18,592)</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Maturity of short-term investments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26,603</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Financial income received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36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(491,473)</w:t>
            </w:r>
          </w:p>
        </w:tc>
        <w:tc>
          <w:tcPr>
            <w:tcW w:w="3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(192,154)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Proceeds from bank loans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460,000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162,967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sale and finance leaseback</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Bank loan repayments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(21,580)</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(253,610)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Payment of loan issuance costs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(4,171)</w:t>
            </w:r>
          </w:p>
        </w:tc>
        <w:tc>
          <w:tcPr>
            <w:tcW w:w="1360" w:type="dxa"/>
            <w:vAlign w:val="bottom"/>
          </w:tcPr>
          <w:p>
            <w:pPr>
              <w:jc w:val="right"/>
              <w:spacing w:after="0"/>
              <w:rPr>
                <w:sz w:val="20"/>
                <w:szCs w:val="20"/>
                <w:color w:val="auto"/>
              </w:rPr>
            </w:pPr>
            <w:r>
              <w:rPr>
                <w:rFonts w:ascii="Arial" w:cs="Arial" w:eastAsia="Arial" w:hAnsi="Arial"/>
                <w:sz w:val="18"/>
                <w:szCs w:val="18"/>
                <w:color w:val="auto"/>
              </w:rPr>
              <w:t>(12,328)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Payment of equity raising costs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(87)</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(Increase)/decrease in restricted cash</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(1,807)</w:t>
            </w:r>
          </w:p>
        </w:tc>
        <w:tc>
          <w:tcPr>
            <w:tcW w:w="1360" w:type="dxa"/>
            <w:vAlign w:val="bottom"/>
          </w:tcPr>
          <w:p>
            <w:pPr>
              <w:jc w:val="right"/>
              <w:spacing w:after="0"/>
              <w:rPr>
                <w:sz w:val="20"/>
                <w:szCs w:val="20"/>
                <w:color w:val="auto"/>
              </w:rPr>
            </w:pPr>
            <w:r>
              <w:rPr>
                <w:rFonts w:ascii="Arial" w:cs="Arial" w:eastAsia="Arial" w:hAnsi="Arial"/>
                <w:sz w:val="18"/>
                <w:szCs w:val="18"/>
                <w:color w:val="auto"/>
              </w:rPr>
              <w:t>39,095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(17,424)</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Payments for vessel held under finance lease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414,931</w:t>
            </w:r>
          </w:p>
        </w:tc>
        <w:tc>
          <w:tcPr>
            <w:tcW w:w="34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128,702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5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(40,361)</w:t>
            </w:r>
          </w:p>
        </w:tc>
        <w:tc>
          <w:tcPr>
            <w:tcW w:w="340" w:type="dxa"/>
            <w:vAlign w:val="bottom"/>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58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211,974</w:t>
            </w:r>
          </w:p>
        </w:tc>
        <w:tc>
          <w:tcPr>
            <w:tcW w:w="34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and cash equivalents, end of the period</w:t>
            </w:r>
          </w:p>
        </w:tc>
        <w:tc>
          <w:tcPr>
            <w:tcW w:w="580" w:type="dxa"/>
            <w:vAlign w:val="bottom"/>
            <w:tcBorders>
              <w:bottom w:val="single" w:sz="8" w:color="E5FFFF"/>
            </w:tcBorders>
            <w:shd w:val="clear" w:color="auto" w:fill="E5FFFF"/>
          </w:tcPr>
          <w:p>
            <w:pPr>
              <w:spacing w:after="0"/>
              <w:rPr>
                <w:sz w:val="19"/>
                <w:szCs w:val="19"/>
                <w:color w:val="auto"/>
              </w:rPr>
            </w:pPr>
          </w:p>
        </w:tc>
        <w:tc>
          <w:tcPr>
            <w:tcW w:w="36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171,613</w:t>
            </w:r>
          </w:p>
        </w:tc>
        <w:tc>
          <w:tcPr>
            <w:tcW w:w="34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284,028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E5FFFF"/>
          </w:tcPr>
          <w:p>
            <w:pPr>
              <w:jc w:val="right"/>
              <w:ind w:right="11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 expenditures included in liabilities at the end of the period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6,045</w:t>
            </w:r>
          </w:p>
        </w:tc>
        <w:tc>
          <w:tcPr>
            <w:tcW w:w="1360" w:type="dxa"/>
            <w:vAlign w:val="bottom"/>
          </w:tcPr>
          <w:p>
            <w:pPr>
              <w:jc w:val="right"/>
              <w:spacing w:after="0"/>
              <w:rPr>
                <w:sz w:val="20"/>
                <w:szCs w:val="20"/>
                <w:color w:val="auto"/>
              </w:rPr>
            </w:pPr>
            <w:r>
              <w:rPr>
                <w:rFonts w:ascii="Arial" w:cs="Arial" w:eastAsia="Arial" w:hAnsi="Arial"/>
                <w:sz w:val="18"/>
                <w:szCs w:val="18"/>
                <w:color w:val="auto"/>
              </w:rPr>
              <w:t>5,169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rPr>
              <w:t>Equity raising costs included in liabilities at the end of the period</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41</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Loan issuance costs included in liabilities at the end of the period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3,432</w:t>
            </w:r>
          </w:p>
        </w:tc>
        <w:tc>
          <w:tcPr>
            <w:tcW w:w="1360" w:type="dxa"/>
            <w:vAlign w:val="bottom"/>
          </w:tcPr>
          <w:p>
            <w:pPr>
              <w:jc w:val="right"/>
              <w:spacing w:after="0"/>
              <w:rPr>
                <w:sz w:val="20"/>
                <w:szCs w:val="20"/>
                <w:color w:val="auto"/>
              </w:rPr>
            </w:pPr>
            <w:r>
              <w:rPr>
                <w:rFonts w:ascii="Arial" w:cs="Arial" w:eastAsia="Arial" w:hAnsi="Arial"/>
                <w:sz w:val="18"/>
                <w:szCs w:val="18"/>
                <w:color w:val="auto"/>
              </w:rPr>
              <w:t>3,673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E5FFFF"/>
          </w:tcPr>
          <w:p>
            <w:pPr>
              <w:spacing w:after="0"/>
              <w:rPr>
                <w:sz w:val="20"/>
                <w:szCs w:val="20"/>
                <w:color w:val="auto"/>
              </w:rPr>
            </w:pPr>
            <w:r>
              <w:rPr>
                <w:rFonts w:ascii="Arial" w:cs="Arial" w:eastAsia="Arial" w:hAnsi="Arial"/>
                <w:sz w:val="18"/>
                <w:szCs w:val="18"/>
                <w:color w:val="auto"/>
                <w:w w:val="98"/>
              </w:rPr>
              <w:t>Expenditures for vessel held under finance lease included in liabilities at the end of the period</w:t>
            </w:r>
          </w:p>
        </w:tc>
        <w:tc>
          <w:tcPr>
            <w:tcW w:w="5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5"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GasLog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March 31, 2016, entities controlled by members of the Livanos family, including GasLog’s chairman, are deemed to beneficially own approximately 40.7% of GasLog’s issued and outstanding common shares. As a result of his ownership of GasLog’s common shares, Mr. Livanos can effectively control the outcome of most matters on which GasLog’s shareholders are entitled to vote.</w:t>
      </w:r>
    </w:p>
    <w:p>
      <w:pPr>
        <w:spacing w:after="0" w:line="18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March 31, 2016, GasLog holds a 32.9%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7"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financial statements of GasLog and its subsidiaries. Unless indicated otherwise, the subsidiaries listed below are 100% held (either directly or indirectly) by GasLog. The Group structure as of March 31, 2016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Cargo</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Place of</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Date of</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incorporation</w:t>
            </w:r>
          </w:p>
        </w:tc>
        <w:tc>
          <w:tcPr>
            <w:tcW w:w="1940" w:type="dxa"/>
            <w:vAlign w:val="bottom"/>
          </w:tcPr>
          <w:p>
            <w:pPr>
              <w:ind w:left="240"/>
              <w:spacing w:after="0"/>
              <w:rPr>
                <w:sz w:val="20"/>
                <w:szCs w:val="20"/>
                <w:color w:val="auto"/>
              </w:rPr>
            </w:pPr>
            <w:r>
              <w:rPr>
                <w:rFonts w:ascii="Arial" w:cs="Arial" w:eastAsia="Arial" w:hAnsi="Arial"/>
                <w:sz w:val="18"/>
                <w:szCs w:val="18"/>
                <w:b w:val="1"/>
                <w:bCs w:val="1"/>
                <w:color w:val="auto"/>
              </w:rPr>
              <w:t>Principal activities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(cbm)</w:t>
            </w:r>
          </w:p>
        </w:tc>
        <w:tc>
          <w:tcPr>
            <w:tcW w:w="120" w:type="dxa"/>
            <w:vAlign w:val="bottom"/>
          </w:tcPr>
          <w:p>
            <w:pPr>
              <w:spacing w:after="0"/>
              <w:rPr>
                <w:sz w:val="20"/>
                <w:szCs w:val="20"/>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Vessel</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9"/>
              </w:rPr>
              <w:t>Delivery date</w:t>
            </w:r>
          </w:p>
        </w:tc>
      </w:tr>
      <w:tr>
        <w:trPr>
          <w:trHeight w:val="210"/>
        </w:trPr>
        <w:tc>
          <w:tcPr>
            <w:tcW w:w="2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Subsidiaries:</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Investments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BVI</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40" w:type="dxa"/>
            <w:vAlign w:val="bottom"/>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2"/>
              </w:rPr>
              <w:t>GasLog Carriers Ltd. (“GasLog</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February 2008</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112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Carriers”)</w:t>
            </w: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GasLog Shipping Company</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January 2006</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Ltd.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GasLog Partners GP LLC</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w w:val="95"/>
              </w:rPr>
              <w:t>Marshall Islands</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GasLog Services UK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England and</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May 2014</w:t>
            </w: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Wales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GasLog Services US Inc.</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Delaware</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Asia Pte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Singapore</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May 2015</w:t>
            </w:r>
          </w:p>
        </w:tc>
        <w:tc>
          <w:tcPr>
            <w:tcW w:w="1940" w:type="dxa"/>
            <w:vAlign w:val="bottom"/>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GasLog LNG Services Ltd.</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August 2004</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Vessel management</w:t>
            </w:r>
          </w:p>
        </w:tc>
        <w:tc>
          <w:tcPr>
            <w:tcW w:w="112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w:t>
            </w:r>
          </w:p>
        </w:tc>
        <w:tc>
          <w:tcPr>
            <w:tcW w:w="204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Monaco S.A.M.</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Monaco</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February 2010</w:t>
            </w:r>
          </w:p>
        </w:tc>
        <w:tc>
          <w:tcPr>
            <w:tcW w:w="1940" w:type="dxa"/>
            <w:vAlign w:val="bottom"/>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GAS-one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2008</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GasLog Savannah</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May 2010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GAS-two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February 2008</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Singapore</w:t>
            </w:r>
          </w:p>
        </w:tc>
        <w:tc>
          <w:tcPr>
            <w:tcW w:w="1140" w:type="dxa"/>
            <w:vAlign w:val="bottom"/>
          </w:tcPr>
          <w:p>
            <w:pPr>
              <w:spacing w:after="0"/>
              <w:rPr>
                <w:sz w:val="20"/>
                <w:szCs w:val="20"/>
                <w:color w:val="auto"/>
              </w:rPr>
            </w:pPr>
            <w:r>
              <w:rPr>
                <w:rFonts w:ascii="Arial" w:cs="Arial" w:eastAsia="Arial" w:hAnsi="Arial"/>
                <w:sz w:val="18"/>
                <w:szCs w:val="18"/>
                <w:color w:val="auto"/>
              </w:rPr>
              <w:t>July 2010</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GAS-six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GasLog Skagen</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July 2013</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GAS-seven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March 2011</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i w:val="1"/>
                <w:iCs w:val="1"/>
                <w:color w:val="auto"/>
              </w:rPr>
              <w:t>GasLog Seattle</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2013</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GAS-eight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March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Solaris</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June 2014</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GAS-nine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June 2011</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i w:val="1"/>
                <w:iCs w:val="1"/>
                <w:color w:val="auto"/>
              </w:rPr>
              <w:t>GasLog Saratoga</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i w:val="1"/>
                <w:iCs w:val="1"/>
                <w:color w:val="auto"/>
              </w:rPr>
              <w:t>GasLog Salem</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GAS-eleven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December 2012</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i w:val="1"/>
                <w:iCs w:val="1"/>
                <w:color w:val="auto"/>
              </w:rPr>
              <w:t>GasLog Greece</w:t>
            </w:r>
          </w:p>
        </w:tc>
        <w:tc>
          <w:tcPr>
            <w:tcW w:w="1140" w:type="dxa"/>
            <w:vAlign w:val="bottom"/>
          </w:tcPr>
          <w:p>
            <w:pPr>
              <w:spacing w:after="0"/>
              <w:rPr>
                <w:sz w:val="20"/>
                <w:szCs w:val="20"/>
                <w:color w:val="auto"/>
              </w:rPr>
            </w:pPr>
            <w:r>
              <w:rPr>
                <w:rFonts w:ascii="Arial" w:cs="Arial" w:eastAsia="Arial" w:hAnsi="Arial"/>
                <w:sz w:val="18"/>
                <w:szCs w:val="18"/>
                <w:color w:val="auto"/>
              </w:rPr>
              <w:t>March 2016</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GAS-twelve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December 2012</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2073</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Q2 2016</w:t>
            </w:r>
            <w:r>
              <w:rPr>
                <w:rFonts w:ascii="Arial" w:cs="Arial" w:eastAsia="Arial" w:hAnsi="Arial"/>
                <w:sz w:val="29"/>
                <w:szCs w:val="29"/>
                <w:color w:val="auto"/>
                <w:vertAlign w:val="superscript"/>
              </w:rPr>
              <w:t>(1)</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GAS-thirteen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2013</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Hull No. 2102</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Q3 2016</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GAS-fourteen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July 2013</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2103</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Q4 2016</w:t>
            </w:r>
            <w:r>
              <w:rPr>
                <w:rFonts w:ascii="Arial" w:cs="Arial" w:eastAsia="Arial" w:hAnsi="Arial"/>
                <w:sz w:val="29"/>
                <w:szCs w:val="29"/>
                <w:color w:val="auto"/>
                <w:vertAlign w:val="superscript"/>
              </w:rPr>
              <w:t>(1)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GAS-fifteen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August 2013</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153,600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Chelsea</w:t>
            </w:r>
          </w:p>
        </w:tc>
        <w:tc>
          <w:tcPr>
            <w:tcW w:w="1140" w:type="dxa"/>
            <w:vAlign w:val="bottom"/>
          </w:tcPr>
          <w:p>
            <w:pPr>
              <w:spacing w:after="0"/>
              <w:rPr>
                <w:sz w:val="20"/>
                <w:szCs w:val="20"/>
                <w:color w:val="auto"/>
              </w:rPr>
            </w:pPr>
            <w:r>
              <w:rPr>
                <w:rFonts w:ascii="Arial" w:cs="Arial" w:eastAsia="Arial" w:hAnsi="Arial"/>
                <w:sz w:val="18"/>
                <w:szCs w:val="18"/>
                <w:color w:val="auto"/>
              </w:rPr>
              <w:t>October 2013</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GAS-eighteen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Methane Lydon Volney</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GAS-twenty two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Hull No. 2130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three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May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Hull No. 2131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2019</w:t>
            </w:r>
            <w:r>
              <w:rPr>
                <w:rFonts w:ascii="Arial" w:cs="Arial" w:eastAsia="Arial" w:hAnsi="Arial"/>
                <w:sz w:val="29"/>
                <w:szCs w:val="29"/>
                <w:color w:val="auto"/>
                <w:vertAlign w:val="superscript"/>
              </w:rPr>
              <w:t>(1)</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GAS-twenty four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June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tcPr>
          <w:p>
            <w:pPr>
              <w:spacing w:after="0"/>
              <w:rPr>
                <w:sz w:val="22"/>
                <w:szCs w:val="22"/>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Hull No. 2800</w:t>
            </w:r>
          </w:p>
        </w:tc>
        <w:tc>
          <w:tcPr>
            <w:tcW w:w="1140" w:type="dxa"/>
            <w:vAlign w:val="bottom"/>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57"/>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five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June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174,000</w:t>
            </w:r>
          </w:p>
        </w:tc>
        <w:tc>
          <w:tcPr>
            <w:tcW w:w="120" w:type="dxa"/>
            <w:vAlign w:val="bottom"/>
            <w:shd w:val="clear" w:color="auto" w:fill="E5FFFF"/>
          </w:tcPr>
          <w:p>
            <w:pPr>
              <w:spacing w:after="0"/>
              <w:rPr>
                <w:sz w:val="22"/>
                <w:szCs w:val="22"/>
                <w:color w:val="auto"/>
              </w:rPr>
            </w:pPr>
          </w:p>
        </w:tc>
        <w:tc>
          <w:tcPr>
            <w:tcW w:w="19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Hull No. 2801</w:t>
            </w:r>
          </w:p>
        </w:tc>
        <w:tc>
          <w:tcPr>
            <w:tcW w:w="11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Q1 2018</w:t>
            </w:r>
            <w:r>
              <w:rPr>
                <w:rFonts w:ascii="Arial" w:cs="Arial" w:eastAsia="Arial" w:hAnsi="Arial"/>
                <w:sz w:val="29"/>
                <w:szCs w:val="29"/>
                <w:color w:val="auto"/>
                <w:vertAlign w:val="superscript"/>
              </w:rPr>
              <w:t>(1)</w:t>
            </w:r>
          </w:p>
        </w:tc>
      </w:tr>
      <w:tr>
        <w:trPr>
          <w:trHeight w:val="205"/>
        </w:trPr>
        <w:tc>
          <w:tcPr>
            <w:tcW w:w="2300" w:type="dxa"/>
            <w:vAlign w:val="bottom"/>
          </w:tcPr>
          <w:p>
            <w:pPr>
              <w:spacing w:after="0" w:line="206" w:lineRule="exact"/>
              <w:rPr>
                <w:sz w:val="20"/>
                <w:szCs w:val="20"/>
                <w:color w:val="auto"/>
              </w:rPr>
            </w:pPr>
            <w:r>
              <w:rPr>
                <w:rFonts w:ascii="Arial" w:cs="Arial" w:eastAsia="Arial" w:hAnsi="Arial"/>
                <w:sz w:val="18"/>
                <w:szCs w:val="18"/>
                <w:color w:val="auto"/>
              </w:rPr>
              <w:t>GAS-twenty six Ltd.</w:t>
            </w:r>
          </w:p>
        </w:tc>
        <w:tc>
          <w:tcPr>
            <w:tcW w:w="1380" w:type="dxa"/>
            <w:vAlign w:val="bottom"/>
            <w:gridSpan w:val="2"/>
          </w:tcPr>
          <w:p>
            <w:pPr>
              <w:ind w:left="120"/>
              <w:spacing w:after="0" w:line="206"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January 2015</w:t>
            </w:r>
          </w:p>
        </w:tc>
        <w:tc>
          <w:tcPr>
            <w:tcW w:w="1940" w:type="dxa"/>
            <w:vAlign w:val="bottom"/>
          </w:tcPr>
          <w:p>
            <w:pPr>
              <w:spacing w:after="0" w:line="206" w:lineRule="exact"/>
              <w:rPr>
                <w:sz w:val="20"/>
                <w:szCs w:val="20"/>
                <w:color w:val="auto"/>
              </w:rPr>
            </w:pPr>
            <w:r>
              <w:rPr>
                <w:rFonts w:ascii="Arial" w:cs="Arial" w:eastAsia="Arial" w:hAnsi="Arial"/>
                <w:sz w:val="18"/>
                <w:szCs w:val="18"/>
                <w:color w:val="auto"/>
              </w:rPr>
              <w:t>Finance lease asset</w:t>
            </w:r>
          </w:p>
        </w:tc>
        <w:tc>
          <w:tcPr>
            <w:tcW w:w="1120" w:type="dxa"/>
            <w:vAlign w:val="bottom"/>
            <w:gridSpan w:val="2"/>
          </w:tcPr>
          <w:p>
            <w:pPr>
              <w:ind w:left="100"/>
              <w:spacing w:after="0" w:line="206" w:lineRule="exact"/>
              <w:rPr>
                <w:sz w:val="20"/>
                <w:szCs w:val="20"/>
                <w:color w:val="auto"/>
              </w:rPr>
            </w:pPr>
            <w:r>
              <w:rPr>
                <w:rFonts w:ascii="Arial" w:cs="Arial" w:eastAsia="Arial" w:hAnsi="Arial"/>
                <w:sz w:val="18"/>
                <w:szCs w:val="18"/>
                <w:color w:val="auto"/>
              </w:rPr>
              <w:t>170,000</w:t>
            </w:r>
          </w:p>
        </w:tc>
        <w:tc>
          <w:tcPr>
            <w:tcW w:w="2040" w:type="dxa"/>
            <w:vAlign w:val="bottom"/>
            <w:gridSpan w:val="3"/>
          </w:tcPr>
          <w:p>
            <w:pPr>
              <w:ind w:left="120"/>
              <w:spacing w:after="0" w:line="206" w:lineRule="exact"/>
              <w:rPr>
                <w:sz w:val="20"/>
                <w:szCs w:val="20"/>
                <w:color w:val="auto"/>
              </w:rPr>
            </w:pPr>
            <w:r>
              <w:rPr>
                <w:rFonts w:ascii="Arial" w:cs="Arial" w:eastAsia="Arial" w:hAnsi="Arial"/>
                <w:sz w:val="18"/>
                <w:szCs w:val="18"/>
                <w:i w:val="1"/>
                <w:iCs w:val="1"/>
                <w:color w:val="auto"/>
              </w:rPr>
              <w:t>Methane Julia Louise</w:t>
            </w:r>
          </w:p>
        </w:tc>
        <w:tc>
          <w:tcPr>
            <w:tcW w:w="1140" w:type="dxa"/>
            <w:vAlign w:val="bottom"/>
          </w:tcPr>
          <w:p>
            <w:pPr>
              <w:spacing w:after="0" w:line="206" w:lineRule="exact"/>
              <w:rPr>
                <w:sz w:val="20"/>
                <w:szCs w:val="20"/>
                <w:color w:val="auto"/>
              </w:rPr>
            </w:pPr>
            <w:r>
              <w:rPr>
                <w:rFonts w:ascii="Arial" w:cs="Arial" w:eastAsia="Arial" w:hAnsi="Arial"/>
                <w:sz w:val="18"/>
                <w:szCs w:val="18"/>
                <w:color w:val="auto"/>
              </w:rPr>
              <w:t>March 2015</w:t>
            </w:r>
          </w:p>
        </w:tc>
      </w:tr>
      <w:tr>
        <w:trPr>
          <w:trHeight w:val="267"/>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tcPr>
          <w:p>
            <w:pPr>
              <w:spacing w:after="0" w:line="266" w:lineRule="exact"/>
              <w:rPr>
                <w:sz w:val="20"/>
                <w:szCs w:val="20"/>
                <w:color w:val="auto"/>
              </w:rPr>
            </w:pPr>
            <w:r>
              <w:rPr>
                <w:rFonts w:ascii="Arial" w:cs="Arial" w:eastAsia="Arial" w:hAnsi="Arial"/>
                <w:sz w:val="18"/>
                <w:szCs w:val="18"/>
                <w:color w:val="auto"/>
              </w:rPr>
              <w:t xml:space="preserve">company </w:t>
            </w:r>
            <w:r>
              <w:rPr>
                <w:rFonts w:ascii="Arial" w:cs="Arial" w:eastAsia="Arial" w:hAnsi="Arial"/>
                <w:sz w:val="30"/>
                <w:szCs w:val="30"/>
                <w:color w:val="auto"/>
                <w:vertAlign w:val="superscript"/>
              </w:rPr>
              <w:t>(2)</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GAS-twenty seven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2015</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170,000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Methane Becki Anne</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March 2015</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Shipping Limited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BVI</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July 2003</w:t>
            </w:r>
          </w:p>
        </w:tc>
        <w:tc>
          <w:tcPr>
            <w:tcW w:w="1940" w:type="dxa"/>
            <w:vAlign w:val="bottom"/>
          </w:tcPr>
          <w:p>
            <w:pPr>
              <w:spacing w:after="0"/>
              <w:rPr>
                <w:sz w:val="20"/>
                <w:szCs w:val="20"/>
                <w:color w:val="auto"/>
              </w:rPr>
            </w:pPr>
            <w:r>
              <w:rPr>
                <w:rFonts w:ascii="Arial" w:cs="Arial" w:eastAsia="Arial" w:hAnsi="Arial"/>
                <w:sz w:val="18"/>
                <w:szCs w:val="18"/>
                <w:color w:val="auto"/>
              </w:rPr>
              <w:t>Dormant</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w w:val="96"/>
              </w:rPr>
              <w:t>32.9% interest subsidiaries:</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GasLog Partners LP</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w w:val="95"/>
              </w:rPr>
              <w:t>Marshall Islands</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tcPr>
          <w:p>
            <w:pPr>
              <w:spacing w:after="0"/>
              <w:rPr>
                <w:sz w:val="20"/>
                <w:szCs w:val="20"/>
                <w:color w:val="auto"/>
              </w:rPr>
            </w:pPr>
            <w:r>
              <w:rPr>
                <w:rFonts w:ascii="Arial" w:cs="Arial" w:eastAsia="Arial" w:hAnsi="Arial"/>
                <w:sz w:val="18"/>
                <w:szCs w:val="18"/>
                <w:color w:val="auto"/>
              </w:rPr>
              <w:t>Holding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GasLog Partners Holdings</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w w:val="95"/>
              </w:rPr>
              <w:t>Marshall Islands</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April 2014</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Holding company</w:t>
            </w:r>
          </w:p>
        </w:tc>
        <w:tc>
          <w:tcPr>
            <w:tcW w:w="10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17"/>
                <w:szCs w:val="17"/>
                <w:color w:val="auto"/>
              </w:rPr>
            </w:pPr>
          </w:p>
        </w:tc>
        <w:tc>
          <w:tcPr>
            <w:tcW w:w="1920" w:type="dxa"/>
            <w:vAlign w:val="bottom"/>
            <w:gridSpan w:val="2"/>
            <w:shd w:val="clear" w:color="auto" w:fill="E5FFFF"/>
          </w:tcPr>
          <w:p>
            <w:pPr>
              <w:spacing w:after="0" w:line="201"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w:t>
            </w:r>
          </w:p>
        </w:tc>
      </w:tr>
      <w:tr>
        <w:trPr>
          <w:trHeight w:val="230"/>
        </w:trPr>
        <w:tc>
          <w:tcPr>
            <w:tcW w:w="23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LLC</w:t>
            </w: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8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140" w:type="dxa"/>
            <w:vAlign w:val="bottom"/>
            <w:shd w:val="clear" w:color="auto" w:fill="E5FFFF"/>
          </w:tcPr>
          <w:p>
            <w:pPr>
              <w:spacing w:after="0"/>
              <w:rPr>
                <w:sz w:val="20"/>
                <w:szCs w:val="20"/>
                <w:color w:val="auto"/>
              </w:rPr>
            </w:pPr>
          </w:p>
        </w:tc>
      </w:tr>
      <w:tr>
        <w:trPr>
          <w:trHeight w:val="40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ind w:left="400"/>
              <w:spacing w:after="0"/>
              <w:rPr>
                <w:sz w:val="20"/>
                <w:szCs w:val="20"/>
                <w:color w:val="auto"/>
              </w:rPr>
            </w:pPr>
            <w:r>
              <w:rPr>
                <w:rFonts w:ascii="Arial" w:cs="Arial" w:eastAsia="Arial" w:hAnsi="Arial"/>
                <w:sz w:val="18"/>
                <w:szCs w:val="18"/>
                <w:color w:val="auto"/>
              </w:rPr>
              <w:t>F-7</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405" w:right="239" w:bottom="0"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Cargo</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Place of</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Date of</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capacity</w:t>
            </w: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incorporation</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incorporation</w:t>
            </w:r>
          </w:p>
        </w:tc>
        <w:tc>
          <w:tcPr>
            <w:tcW w:w="1940" w:type="dxa"/>
            <w:vAlign w:val="bottom"/>
          </w:tcPr>
          <w:p>
            <w:pPr>
              <w:ind w:left="240"/>
              <w:spacing w:after="0"/>
              <w:rPr>
                <w:sz w:val="20"/>
                <w:szCs w:val="20"/>
                <w:color w:val="auto"/>
              </w:rPr>
            </w:pPr>
            <w:r>
              <w:rPr>
                <w:rFonts w:ascii="Arial" w:cs="Arial" w:eastAsia="Arial" w:hAnsi="Arial"/>
                <w:sz w:val="18"/>
                <w:szCs w:val="18"/>
                <w:b w:val="1"/>
                <w:bCs w:val="1"/>
                <w:color w:val="auto"/>
              </w:rPr>
              <w:t>Principal activities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(cbm)</w:t>
            </w:r>
          </w:p>
        </w:tc>
        <w:tc>
          <w:tcPr>
            <w:tcW w:w="120" w:type="dxa"/>
            <w:vAlign w:val="bottom"/>
          </w:tcPr>
          <w:p>
            <w:pPr>
              <w:spacing w:after="0"/>
              <w:rPr>
                <w:sz w:val="20"/>
                <w:szCs w:val="20"/>
                <w:color w:val="auto"/>
              </w:rPr>
            </w:pPr>
          </w:p>
        </w:tc>
        <w:tc>
          <w:tcPr>
            <w:tcW w:w="1920" w:type="dxa"/>
            <w:vAlign w:val="bottom"/>
            <w:gridSpan w:val="2"/>
          </w:tcPr>
          <w:p>
            <w:pPr>
              <w:ind w:left="680"/>
              <w:spacing w:after="0"/>
              <w:rPr>
                <w:sz w:val="20"/>
                <w:szCs w:val="20"/>
                <w:color w:val="auto"/>
              </w:rPr>
            </w:pPr>
            <w:r>
              <w:rPr>
                <w:rFonts w:ascii="Arial" w:cs="Arial" w:eastAsia="Arial" w:hAnsi="Arial"/>
                <w:sz w:val="18"/>
                <w:szCs w:val="18"/>
                <w:b w:val="1"/>
                <w:bCs w:val="1"/>
                <w:color w:val="auto"/>
              </w:rPr>
              <w:t>Vessel</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9"/>
              </w:rPr>
              <w:t>Delivery date</w:t>
            </w:r>
          </w:p>
        </w:tc>
      </w:tr>
      <w:tr>
        <w:trPr>
          <w:trHeight w:val="210"/>
        </w:trPr>
        <w:tc>
          <w:tcPr>
            <w:tcW w:w="2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GAS-three Ltd.</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Bermuda</w:t>
            </w:r>
          </w:p>
        </w:tc>
        <w:tc>
          <w:tcPr>
            <w:tcW w:w="1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April 2010</w:t>
            </w:r>
          </w:p>
        </w:tc>
        <w:tc>
          <w:tcPr>
            <w:tcW w:w="12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00" w:type="dxa"/>
            <w:vAlign w:val="bottom"/>
            <w:tcBorders>
              <w:top w:val="single" w:sz="8" w:color="E5FFFF"/>
            </w:tcBorders>
            <w:shd w:val="clear" w:color="auto" w:fill="E5FFFF"/>
          </w:tcPr>
          <w:p>
            <w:pPr>
              <w:spacing w:after="0"/>
              <w:rPr>
                <w:sz w:val="18"/>
                <w:szCs w:val="18"/>
                <w:color w:val="auto"/>
              </w:rPr>
            </w:pPr>
          </w:p>
        </w:tc>
        <w:tc>
          <w:tcPr>
            <w:tcW w:w="10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155,000</w:t>
            </w:r>
          </w:p>
        </w:tc>
        <w:tc>
          <w:tcPr>
            <w:tcW w:w="12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i w:val="1"/>
                <w:iCs w:val="1"/>
                <w:color w:val="auto"/>
              </w:rPr>
              <w:t>GasLog Shanghai</w:t>
            </w:r>
          </w:p>
        </w:tc>
        <w:tc>
          <w:tcPr>
            <w:tcW w:w="1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January 2013</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GAS-four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April 2010</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GasLog Santiago</w:t>
            </w:r>
          </w:p>
        </w:tc>
        <w:tc>
          <w:tcPr>
            <w:tcW w:w="1140" w:type="dxa"/>
            <w:vAlign w:val="bottom"/>
          </w:tcPr>
          <w:p>
            <w:pPr>
              <w:spacing w:after="0"/>
              <w:rPr>
                <w:sz w:val="20"/>
                <w:szCs w:val="20"/>
                <w:color w:val="auto"/>
              </w:rPr>
            </w:pPr>
            <w:r>
              <w:rPr>
                <w:rFonts w:ascii="Arial" w:cs="Arial" w:eastAsia="Arial" w:hAnsi="Arial"/>
                <w:sz w:val="18"/>
                <w:szCs w:val="18"/>
                <w:color w:val="auto"/>
              </w:rPr>
              <w:t>March 2013</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GAS-five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February 2011</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155,000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GasLog Sydney</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May 2013</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GAS-sixteen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Methane Rita Andrea</w:t>
            </w:r>
          </w:p>
        </w:tc>
        <w:tc>
          <w:tcPr>
            <w:tcW w:w="1140" w:type="dxa"/>
            <w:vAlign w:val="bottom"/>
          </w:tcPr>
          <w:p>
            <w:pPr>
              <w:spacing w:after="0"/>
              <w:rPr>
                <w:sz w:val="20"/>
                <w:szCs w:val="20"/>
                <w:color w:val="auto"/>
              </w:rPr>
            </w:pPr>
            <w:r>
              <w:rPr>
                <w:rFonts w:ascii="Arial" w:cs="Arial" w:eastAsia="Arial" w:hAnsi="Arial"/>
                <w:sz w:val="18"/>
                <w:szCs w:val="18"/>
                <w:color w:val="auto"/>
              </w:rPr>
              <w:t>April 2014</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color w:val="auto"/>
              </w:rPr>
              <w:t>GAS-seventeen Ltd.</w:t>
            </w:r>
          </w:p>
        </w:tc>
        <w:tc>
          <w:tcPr>
            <w:tcW w:w="1380" w:type="dxa"/>
            <w:vAlign w:val="bottom"/>
            <w:gridSpan w:val="2"/>
            <w:shd w:val="clear" w:color="auto" w:fill="E5FFFF"/>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rPr>
                <w:sz w:val="20"/>
                <w:szCs w:val="20"/>
                <w:color w:val="auto"/>
              </w:rPr>
            </w:pPr>
            <w:r>
              <w:rPr>
                <w:rFonts w:ascii="Arial" w:cs="Arial" w:eastAsia="Arial" w:hAnsi="Arial"/>
                <w:sz w:val="18"/>
                <w:szCs w:val="18"/>
                <w:color w:val="auto"/>
              </w:rPr>
              <w:t>January 2014</w:t>
            </w:r>
          </w:p>
        </w:tc>
        <w:tc>
          <w:tcPr>
            <w:tcW w:w="1940" w:type="dxa"/>
            <w:vAlign w:val="bottom"/>
            <w:shd w:val="clear" w:color="auto" w:fill="E5FFFF"/>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w w:val="98"/>
              </w:rPr>
              <w:t>Methane Jane Elizabeth</w:t>
            </w:r>
          </w:p>
        </w:tc>
        <w:tc>
          <w:tcPr>
            <w:tcW w:w="1140" w:type="dxa"/>
            <w:vAlign w:val="bottom"/>
            <w:shd w:val="clear" w:color="auto" w:fill="E5FFFF"/>
          </w:tcPr>
          <w:p>
            <w:pPr>
              <w:spacing w:after="0"/>
              <w:rPr>
                <w:sz w:val="20"/>
                <w:szCs w:val="20"/>
                <w:color w:val="auto"/>
              </w:rPr>
            </w:pPr>
            <w:r>
              <w:rPr>
                <w:rFonts w:ascii="Arial" w:cs="Arial" w:eastAsia="Arial" w:hAnsi="Arial"/>
                <w:sz w:val="18"/>
                <w:szCs w:val="18"/>
                <w:color w:val="auto"/>
              </w:rPr>
              <w:t>April 2014</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GAS-nineteen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April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Methane Alison Victoria</w:t>
            </w:r>
          </w:p>
        </w:tc>
        <w:tc>
          <w:tcPr>
            <w:tcW w:w="1140" w:type="dxa"/>
            <w:vAlign w:val="bottom"/>
          </w:tcPr>
          <w:p>
            <w:pPr>
              <w:spacing w:after="0"/>
              <w:rPr>
                <w:sz w:val="20"/>
                <w:szCs w:val="20"/>
                <w:color w:val="auto"/>
              </w:rPr>
            </w:pPr>
            <w:r>
              <w:rPr>
                <w:rFonts w:ascii="Arial" w:cs="Arial" w:eastAsia="Arial" w:hAnsi="Arial"/>
                <w:sz w:val="18"/>
                <w:szCs w:val="18"/>
                <w:color w:val="auto"/>
              </w:rPr>
              <w:t>June 2014</w:t>
            </w:r>
          </w:p>
        </w:tc>
      </w:tr>
      <w:tr>
        <w:trPr>
          <w:trHeight w:val="202"/>
        </w:trPr>
        <w:tc>
          <w:tcPr>
            <w:tcW w:w="230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GAS-twenty Ltd.</w:t>
            </w:r>
          </w:p>
        </w:tc>
        <w:tc>
          <w:tcPr>
            <w:tcW w:w="1380" w:type="dxa"/>
            <w:vAlign w:val="bottom"/>
            <w:gridSpan w:val="2"/>
            <w:shd w:val="clear" w:color="auto" w:fill="E5FFFF"/>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color w:val="auto"/>
              </w:rPr>
              <w:t>April 2014</w:t>
            </w:r>
          </w:p>
        </w:tc>
        <w:tc>
          <w:tcPr>
            <w:tcW w:w="19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shd w:val="clear" w:color="auto" w:fill="E5FFFF"/>
          </w:tcPr>
          <w:p>
            <w:pPr>
              <w:ind w:left="100"/>
              <w:spacing w:after="0" w:line="201" w:lineRule="exact"/>
              <w:rPr>
                <w:sz w:val="20"/>
                <w:szCs w:val="20"/>
                <w:color w:val="auto"/>
              </w:rPr>
            </w:pPr>
            <w:r>
              <w:rPr>
                <w:rFonts w:ascii="Arial" w:cs="Arial" w:eastAsia="Arial" w:hAnsi="Arial"/>
                <w:sz w:val="18"/>
                <w:szCs w:val="18"/>
                <w:color w:val="auto"/>
              </w:rPr>
              <w:t>145,000</w:t>
            </w:r>
          </w:p>
        </w:tc>
        <w:tc>
          <w:tcPr>
            <w:tcW w:w="2040" w:type="dxa"/>
            <w:vAlign w:val="bottom"/>
            <w:gridSpan w:val="3"/>
            <w:shd w:val="clear" w:color="auto" w:fill="E5FFFF"/>
          </w:tcPr>
          <w:p>
            <w:pPr>
              <w:ind w:left="120"/>
              <w:spacing w:after="0" w:line="201" w:lineRule="exact"/>
              <w:rPr>
                <w:sz w:val="20"/>
                <w:szCs w:val="20"/>
                <w:color w:val="auto"/>
              </w:rPr>
            </w:pPr>
            <w:r>
              <w:rPr>
                <w:rFonts w:ascii="Arial" w:cs="Arial" w:eastAsia="Arial" w:hAnsi="Arial"/>
                <w:sz w:val="18"/>
                <w:szCs w:val="18"/>
                <w:i w:val="1"/>
                <w:iCs w:val="1"/>
                <w:color w:val="auto"/>
              </w:rPr>
              <w:t>Methane Shirley</w:t>
            </w:r>
          </w:p>
        </w:tc>
        <w:tc>
          <w:tcPr>
            <w:tcW w:w="11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June 2014</w:t>
            </w:r>
          </w:p>
        </w:tc>
      </w:tr>
      <w:tr>
        <w:trPr>
          <w:trHeight w:val="230"/>
        </w:trPr>
        <w:tc>
          <w:tcPr>
            <w:tcW w:w="2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2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9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2040" w:type="dxa"/>
            <w:vAlign w:val="bottom"/>
            <w:gridSpan w:val="3"/>
            <w:shd w:val="clear" w:color="auto" w:fill="E5FFFF"/>
          </w:tcPr>
          <w:p>
            <w:pPr>
              <w:ind w:left="120"/>
              <w:spacing w:after="0"/>
              <w:rPr>
                <w:sz w:val="20"/>
                <w:szCs w:val="20"/>
                <w:color w:val="auto"/>
              </w:rPr>
            </w:pPr>
            <w:r>
              <w:rPr>
                <w:rFonts w:ascii="Arial" w:cs="Arial" w:eastAsia="Arial" w:hAnsi="Arial"/>
                <w:sz w:val="18"/>
                <w:szCs w:val="18"/>
                <w:i w:val="1"/>
                <w:iCs w:val="1"/>
                <w:color w:val="auto"/>
              </w:rPr>
              <w:t>Elisabeth</w:t>
            </w:r>
          </w:p>
        </w:tc>
        <w:tc>
          <w:tcPr>
            <w:tcW w:w="1140" w:type="dxa"/>
            <w:vAlign w:val="bottom"/>
            <w:shd w:val="clear" w:color="auto" w:fill="E5FFFF"/>
          </w:tcPr>
          <w:p>
            <w:pPr>
              <w:spacing w:after="0"/>
              <w:rPr>
                <w:sz w:val="20"/>
                <w:szCs w:val="20"/>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GAS-twenty one Ltd.</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April 2014</w:t>
            </w:r>
          </w:p>
        </w:tc>
        <w:tc>
          <w:tcPr>
            <w:tcW w:w="1940" w:type="dxa"/>
            <w:vAlign w:val="bottom"/>
          </w:tcPr>
          <w:p>
            <w:pPr>
              <w:spacing w:after="0"/>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145,000</w:t>
            </w:r>
          </w:p>
        </w:tc>
        <w:tc>
          <w:tcPr>
            <w:tcW w:w="2040" w:type="dxa"/>
            <w:vAlign w:val="bottom"/>
            <w:gridSpan w:val="3"/>
          </w:tcPr>
          <w:p>
            <w:pPr>
              <w:ind w:left="120"/>
              <w:spacing w:after="0"/>
              <w:rPr>
                <w:sz w:val="20"/>
                <w:szCs w:val="20"/>
                <w:color w:val="auto"/>
              </w:rPr>
            </w:pPr>
            <w:r>
              <w:rPr>
                <w:rFonts w:ascii="Arial" w:cs="Arial" w:eastAsia="Arial" w:hAnsi="Arial"/>
                <w:sz w:val="18"/>
                <w:szCs w:val="18"/>
                <w:i w:val="1"/>
                <w:iCs w:val="1"/>
                <w:color w:val="auto"/>
              </w:rPr>
              <w:t>Methane Heather Sally</w:t>
            </w:r>
          </w:p>
        </w:tc>
        <w:tc>
          <w:tcPr>
            <w:tcW w:w="1140" w:type="dxa"/>
            <w:vAlign w:val="bottom"/>
          </w:tcPr>
          <w:p>
            <w:pPr>
              <w:spacing w:after="0"/>
              <w:rPr>
                <w:sz w:val="20"/>
                <w:szCs w:val="20"/>
                <w:color w:val="auto"/>
              </w:rPr>
            </w:pPr>
            <w:r>
              <w:rPr>
                <w:rFonts w:ascii="Arial" w:cs="Arial" w:eastAsia="Arial" w:hAnsi="Arial"/>
                <w:sz w:val="18"/>
                <w:szCs w:val="18"/>
                <w:color w:val="auto"/>
              </w:rPr>
              <w:t>June 2014</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25% interest associates:</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Egypt LNG Shipping Ltd.</w:t>
            </w:r>
          </w:p>
        </w:tc>
        <w:tc>
          <w:tcPr>
            <w:tcW w:w="138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Bermuda</w:t>
            </w:r>
          </w:p>
        </w:tc>
        <w:tc>
          <w:tcPr>
            <w:tcW w:w="15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May 2010</w:t>
            </w:r>
          </w:p>
        </w:tc>
        <w:tc>
          <w:tcPr>
            <w:tcW w:w="1940" w:type="dxa"/>
            <w:vAlign w:val="bottom"/>
          </w:tcPr>
          <w:p>
            <w:pPr>
              <w:spacing w:after="0" w:line="201" w:lineRule="exact"/>
              <w:rPr>
                <w:sz w:val="20"/>
                <w:szCs w:val="20"/>
                <w:color w:val="auto"/>
              </w:rPr>
            </w:pPr>
            <w:r>
              <w:rPr>
                <w:rFonts w:ascii="Arial" w:cs="Arial" w:eastAsia="Arial" w:hAnsi="Arial"/>
                <w:sz w:val="18"/>
                <w:szCs w:val="18"/>
                <w:color w:val="auto"/>
                <w:w w:val="98"/>
              </w:rPr>
              <w:t>Vessel-owning company</w:t>
            </w:r>
          </w:p>
        </w:tc>
        <w:tc>
          <w:tcPr>
            <w:tcW w:w="11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145,000</w:t>
            </w:r>
          </w:p>
        </w:tc>
        <w:tc>
          <w:tcPr>
            <w:tcW w:w="2040" w:type="dxa"/>
            <w:vAlign w:val="bottom"/>
            <w:gridSpan w:val="3"/>
          </w:tcPr>
          <w:p>
            <w:pPr>
              <w:ind w:left="120"/>
              <w:spacing w:after="0" w:line="201" w:lineRule="exact"/>
              <w:rPr>
                <w:sz w:val="20"/>
                <w:szCs w:val="20"/>
                <w:color w:val="auto"/>
              </w:rPr>
            </w:pPr>
            <w:r>
              <w:rPr>
                <w:rFonts w:ascii="Arial" w:cs="Arial" w:eastAsia="Arial" w:hAnsi="Arial"/>
                <w:sz w:val="18"/>
                <w:szCs w:val="18"/>
                <w:i w:val="1"/>
                <w:iCs w:val="1"/>
                <w:color w:val="auto"/>
              </w:rPr>
              <w:t>Methane Nile Eagle</w:t>
            </w: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December</w:t>
            </w:r>
          </w:p>
        </w:tc>
      </w:tr>
      <w:tr>
        <w:trPr>
          <w:trHeight w:val="230"/>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r>
      <w:tr>
        <w:trPr>
          <w:trHeight w:val="216"/>
        </w:trPr>
        <w:tc>
          <w:tcPr>
            <w:tcW w:w="2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33.33% joint venture:</w:t>
            </w: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40" w:type="dxa"/>
            <w:vAlign w:val="bottom"/>
            <w:shd w:val="clear" w:color="auto" w:fill="E5FFFF"/>
          </w:tcPr>
          <w:p>
            <w:pPr>
              <w:spacing w:after="0"/>
              <w:rPr>
                <w:sz w:val="18"/>
                <w:szCs w:val="18"/>
                <w:color w:val="auto"/>
              </w:rPr>
            </w:pPr>
          </w:p>
        </w:tc>
      </w:tr>
      <w:tr>
        <w:trPr>
          <w:trHeight w:val="242"/>
        </w:trPr>
        <w:tc>
          <w:tcPr>
            <w:tcW w:w="2300" w:type="dxa"/>
            <w:vAlign w:val="bottom"/>
          </w:tcPr>
          <w:p>
            <w:pPr>
              <w:spacing w:after="0"/>
              <w:rPr>
                <w:sz w:val="20"/>
                <w:szCs w:val="20"/>
                <w:color w:val="auto"/>
              </w:rPr>
            </w:pPr>
            <w:r>
              <w:rPr>
                <w:rFonts w:ascii="Arial" w:cs="Arial" w:eastAsia="Arial" w:hAnsi="Arial"/>
                <w:sz w:val="18"/>
                <w:szCs w:val="18"/>
                <w:color w:val="auto"/>
              </w:rPr>
              <w:t>The Cool Pool Limited (the</w:t>
            </w: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w w:val="95"/>
              </w:rPr>
              <w:t>Marshall Islands</w:t>
            </w:r>
          </w:p>
        </w:tc>
        <w:tc>
          <w:tcPr>
            <w:tcW w:w="1500" w:type="dxa"/>
            <w:vAlign w:val="bottom"/>
            <w:gridSpan w:val="3"/>
          </w:tcPr>
          <w:p>
            <w:pPr>
              <w:ind w:left="120"/>
              <w:spacing w:after="0"/>
              <w:rPr>
                <w:sz w:val="20"/>
                <w:szCs w:val="20"/>
                <w:color w:val="auto"/>
              </w:rPr>
            </w:pPr>
            <w:r>
              <w:rPr>
                <w:rFonts w:ascii="Arial" w:cs="Arial" w:eastAsia="Arial" w:hAnsi="Arial"/>
                <w:sz w:val="18"/>
                <w:szCs w:val="18"/>
                <w:color w:val="auto"/>
              </w:rPr>
              <w:t>September 2015</w:t>
            </w:r>
          </w:p>
        </w:tc>
        <w:tc>
          <w:tcPr>
            <w:tcW w:w="1940" w:type="dxa"/>
            <w:vAlign w:val="bottom"/>
          </w:tcPr>
          <w:p>
            <w:pPr>
              <w:spacing w:after="0"/>
              <w:rPr>
                <w:sz w:val="20"/>
                <w:szCs w:val="20"/>
                <w:color w:val="auto"/>
              </w:rPr>
            </w:pPr>
            <w:r>
              <w:rPr>
                <w:rFonts w:ascii="Arial" w:cs="Arial" w:eastAsia="Arial" w:hAnsi="Arial"/>
                <w:sz w:val="18"/>
                <w:szCs w:val="18"/>
                <w:color w:val="auto"/>
              </w:rPr>
              <w:t>Service company</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“Cool Pool”)</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49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For newbuildings, expected delivery quarters as of March 31, 2016 are presented.</w:t>
      </w:r>
    </w:p>
    <w:p>
      <w:pPr>
        <w:spacing w:after="0" w:line="1" w:lineRule="exact"/>
        <w:rPr>
          <w:rFonts w:ascii="Arial" w:cs="Arial" w:eastAsia="Arial" w:hAnsi="Arial"/>
          <w:sz w:val="30"/>
          <w:szCs w:val="30"/>
          <w:color w:val="auto"/>
          <w:vertAlign w:val="superscript"/>
        </w:rPr>
      </w:pPr>
    </w:p>
    <w:p>
      <w:pPr>
        <w:ind w:left="360" w:right="760" w:hanging="352"/>
        <w:spacing w:after="0" w:line="187" w:lineRule="auto"/>
        <w:tabs>
          <w:tab w:leader="none" w:pos="36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 xml:space="preserve">On February 24, 2016, GAS-twenty six Ltd. completed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 a subsidiary of Mitsui Co. Ltd. (“Mitsui”). Refer to Note 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These unaudited condensed consolidated financial statements have been prepared in accordance with International Accounting Standard (“IAS”) 34 </w:t>
      </w:r>
      <w:r>
        <w:rPr>
          <w:rFonts w:ascii="Arial" w:cs="Arial" w:eastAsia="Arial" w:hAnsi="Arial"/>
          <w:sz w:val="18"/>
          <w:szCs w:val="18"/>
          <w:i w:val="1"/>
          <w:iCs w:val="1"/>
          <w:color w:val="auto"/>
        </w:rPr>
        <w:t xml:space="preserve">Interim Financial Reporting </w:t>
      </w:r>
      <w:r>
        <w:rPr>
          <w:rFonts w:ascii="Arial" w:cs="Arial" w:eastAsia="Arial" w:hAnsi="Arial"/>
          <w:sz w:val="18"/>
          <w:szCs w:val="18"/>
          <w:color w:val="auto"/>
        </w:rPr>
        <w:t>as issued by the International Accounting Standards Board (“IASB”). Certain information and footnote disclosures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Financial Reporting Standards (“IFRS”) for a complete set of annual financial statements have been omitted, and therefore, these unaudited condensed consolidated financial statements should be read in conjunction with the Group’s annual consolidated financial statements as of and for the year ended December 31, 2015 filed with the SEC on March 14, 2016. On May 5, 2016 GasLog’s board of directors authorized the unaudited condensed consolidated financial statements for issuance.</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2015.</w:t>
      </w:r>
    </w:p>
    <w:p>
      <w:pPr>
        <w:spacing w:after="0" w:line="87"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In considering going concern, management has reviewed the Group’s future cash requirements, covenant compliance and earnings projections. As of March 31, 2016, the Group’s current assets totalled $327,575 while current liabilities totalled $870,364, resulting in a negative working capital position of $542,789. Current liabilities include $644,000 of loans due within one year, $575,200 of which was refinanced on April 5, 2016 (Note 17).</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Management anticipates that the Group’s primary sources of funds will be available cash, cash from operations and borrowings under existing and new loan agreements. The Group may also seek to raise additional equity. Management believes that these sources of funds will be sufficient for the Group to meet its liquidity needs and comply with its banking covenants for at least twelve months from the end of the reporting period and therefore it is appropriate to prepare the financial statements on a going concern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and revised IFRS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and amendments in issue not yet adopted</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 the date of authorization of these unaudited condensed consolidated financial statements, the following standards and amendments relevant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Group were in issue but not yet effective:</w:t>
      </w:r>
    </w:p>
    <w:p>
      <w:pPr>
        <w:spacing w:after="0" w:line="2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 xml:space="preserve">In May 2014, the IASB issued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applies to all contracts with customers: the main exceptions are leases, financial instruments and insurance contracts. IFRS 15 specifies how and when an IFRS reporter will recognize revenue as well as requiring such entities to provide users of financial statements with more informative, relevant disclosures. The standard supersedes IAS 18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IAS 11 </w:t>
      </w:r>
      <w:r>
        <w:rPr>
          <w:rFonts w:ascii="Arial" w:cs="Arial" w:eastAsia="Arial" w:hAnsi="Arial"/>
          <w:sz w:val="18"/>
          <w:szCs w:val="18"/>
          <w:i w:val="1"/>
          <w:iCs w:val="1"/>
          <w:color w:val="auto"/>
        </w:rPr>
        <w:t>Construction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t>
      </w:r>
      <w:r>
        <w:rPr>
          <w:rFonts w:ascii="Arial" w:cs="Arial" w:eastAsia="Arial" w:hAnsi="Arial"/>
          <w:sz w:val="18"/>
          <w:szCs w:val="18"/>
          <w:color w:val="auto"/>
        </w:rPr>
        <w:t>and a number of revenue-related interpretations. The standard was amended in September 2015 to delay the effective date to annual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on or after January 1, 2018 but early adoption is permitted. Management is currently evaluating the impact of this standard on the Group’s consolidated financial statements.</w:t>
      </w:r>
    </w:p>
    <w:p>
      <w:pPr>
        <w:spacing w:after="0" w:line="19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July 2014, the IASB issued the complete version of IFRS 9 </w:t>
      </w:r>
      <w:r>
        <w:rPr>
          <w:rFonts w:ascii="Arial" w:cs="Arial" w:eastAsia="Arial" w:hAnsi="Arial"/>
          <w:sz w:val="17"/>
          <w:szCs w:val="17"/>
          <w:i w:val="1"/>
          <w:iCs w:val="1"/>
          <w:color w:val="auto"/>
        </w:rPr>
        <w:t>Financial Instruments</w:t>
      </w:r>
      <w:r>
        <w:rPr>
          <w:rFonts w:ascii="Arial" w:cs="Arial" w:eastAsia="Arial" w:hAnsi="Arial"/>
          <w:sz w:val="17"/>
          <w:szCs w:val="17"/>
          <w:color w:val="auto"/>
        </w:rPr>
        <w:t>. IFRS 9 specifies how an entity should classify and measure financial assets and financial liabilities. The new standard requires all financial assets to be subsequently measured at amortized cost or fair value depending on the business model of the legal entity in relation to the management of the financial assets and the contractual cash flows of the financial assets. The standard also requires a financial liability to be classified as either at fair value through profit or loss or at amortized cost. In addition a new hedge accounting model was introduced, that is designed to be more closely aligned with how entities undertake risk management activities when hedging financial and non-financial risk exposures. The standard is effective for accounting periods beginning on or after January 1, 2018 but early adoption is permitted. Management is currently evaluating the impact of this standard on the Group’s consolidated financial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67" w:gutter="0" w:footer="0" w:header="0"/>
        </w:sectPr>
      </w:pPr>
    </w:p>
    <w:bookmarkStart w:id="31" w:name="page32"/>
    <w:bookmarkEnd w:id="31"/>
    <w:p>
      <w:pPr>
        <w:ind w:right="80" w:firstLine="324"/>
        <w:spacing w:after="0" w:line="271" w:lineRule="auto"/>
        <w:rPr>
          <w:sz w:val="20"/>
          <w:szCs w:val="20"/>
          <w:color w:val="auto"/>
        </w:rPr>
      </w:pPr>
      <w:r>
        <w:rPr>
          <w:rFonts w:ascii="Arial" w:cs="Arial" w:eastAsia="Arial" w:hAnsi="Arial"/>
          <w:sz w:val="17"/>
          <w:szCs w:val="17"/>
          <w:color w:val="auto"/>
        </w:rPr>
        <w:t xml:space="preserve">In January 2016, the IASB issued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recognise: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supersedes the previous leases Standard, IAS 17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related Interpretations. The standard is effective from January 1, 2019, with early adoption permitted only with concurrent adoption of IFRS 15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Management is currently evaluating the impact of this standard on the Group’s financial statements.</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In January 2016, the IASB issued amendments to IAS 7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introducing an additional disclosure that will enable users of financial statements to evaluate changes in liabilities arising from financing activities. The amendments are part of the IASB’s Disclosure Initiative, which continues to explore how financial statement disclosure can be improved. Entities will be required to disclose changes arising from cash flows, such as drawdowns and repayments of borrowings and also non-cash changes, such as acquisitions, disposals and unrealised exchange differences. Even though a specific format is not mandated, where a reconciliation is used the disclosure should provide sufficient information to link items included in the reconciliation to the statement of financial position and statement of cash flows. The amendments are effective for annual periods beginning on or after January 1, 2017, with earlier application being permitted. Entities are not required to present comparative information for preceding periods. Management anticipates that these amendments will only have a disclosure impact on the Group’s financial statements.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all other IFRS standards and amendments issued but not yet adopted is not expected to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Non-controlling Interest</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profit allocation to non-controlling interest is based on the distribution policy for available cash stated in the Partnership Agreement and is illustrated in the table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606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8"/>
                <w:szCs w:val="18"/>
                <w:b w:val="1"/>
                <w:bCs w:val="1"/>
                <w:color w:val="auto"/>
              </w:rPr>
              <w:t>Marginal Percentage Interest in Distributions</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60" w:type="dxa"/>
            <w:vAlign w:val="bottom"/>
          </w:tcPr>
          <w:p>
            <w:pPr>
              <w:spacing w:after="0"/>
              <w:rPr>
                <w:sz w:val="16"/>
                <w:szCs w:val="16"/>
                <w:color w:val="auto"/>
              </w:rPr>
            </w:pPr>
          </w:p>
        </w:tc>
        <w:tc>
          <w:tcPr>
            <w:tcW w:w="34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5"/>
              </w:rPr>
              <w:t>Total Quarterly</w:t>
            </w: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3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3"/>
          </w:tcPr>
          <w:p>
            <w:pPr>
              <w:ind w:left="240"/>
              <w:spacing w:after="0"/>
              <w:rPr>
                <w:sz w:val="20"/>
                <w:szCs w:val="20"/>
                <w:color w:val="auto"/>
              </w:rPr>
            </w:pPr>
            <w:r>
              <w:rPr>
                <w:rFonts w:ascii="Arial" w:cs="Arial" w:eastAsia="Arial" w:hAnsi="Arial"/>
                <w:sz w:val="18"/>
                <w:szCs w:val="18"/>
                <w:b w:val="1"/>
                <w:bCs w:val="1"/>
                <w:color w:val="auto"/>
              </w:rPr>
              <w:t>General</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Holders of</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2"/>
              </w:rPr>
              <w:t>Target Amount</w:t>
            </w:r>
          </w:p>
        </w:tc>
        <w:tc>
          <w:tcPr>
            <w:tcW w:w="3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Unitholders</w:t>
            </w:r>
          </w:p>
        </w:tc>
        <w:tc>
          <w:tcPr>
            <w:tcW w:w="240" w:type="dxa"/>
            <w:vAlign w:val="bottom"/>
          </w:tcPr>
          <w:p>
            <w:pPr>
              <w:spacing w:after="0"/>
              <w:rPr>
                <w:sz w:val="20"/>
                <w:szCs w:val="20"/>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Partner</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IDRs</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Minimum Quarterly Distribution</w:t>
            </w:r>
          </w:p>
        </w:tc>
        <w:tc>
          <w:tcPr>
            <w:tcW w:w="30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5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240" w:type="dxa"/>
            <w:vAlign w:val="bottom"/>
            <w:vMerge w:val="restart"/>
            <w:shd w:val="clear" w:color="auto" w:fill="E5FF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vMerge w:val="continue"/>
            <w:shd w:val="clear" w:color="auto" w:fill="E5FFFF"/>
          </w:tcPr>
          <w:p>
            <w:pPr>
              <w:spacing w:after="0"/>
              <w:rPr>
                <w:sz w:val="18"/>
                <w:szCs w:val="18"/>
                <w:color w:val="auto"/>
              </w:rPr>
            </w:pPr>
          </w:p>
        </w:tc>
        <w:tc>
          <w:tcPr>
            <w:tcW w:w="3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$0.375</w:t>
            </w:r>
          </w:p>
        </w:tc>
        <w:tc>
          <w:tcPr>
            <w:tcW w:w="320" w:type="dxa"/>
            <w:vAlign w:val="bottom"/>
            <w:vMerge w:val="continue"/>
            <w:shd w:val="clear" w:color="auto" w:fill="E5FFFF"/>
          </w:tcPr>
          <w:p>
            <w:pPr>
              <w:spacing w:after="0"/>
              <w:rPr>
                <w:sz w:val="18"/>
                <w:szCs w:val="18"/>
                <w:color w:val="auto"/>
              </w:rPr>
            </w:pPr>
          </w:p>
        </w:tc>
        <w:tc>
          <w:tcPr>
            <w:tcW w:w="12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98.0%</w:t>
            </w:r>
          </w:p>
        </w:tc>
        <w:tc>
          <w:tcPr>
            <w:tcW w:w="240" w:type="dxa"/>
            <w:vAlign w:val="bottom"/>
            <w:vMerge w:val="continue"/>
            <w:shd w:val="clear" w:color="auto" w:fill="E5FFFF"/>
          </w:tcPr>
          <w:p>
            <w:pPr>
              <w:spacing w:after="0"/>
              <w:rPr>
                <w:sz w:val="18"/>
                <w:szCs w:val="18"/>
                <w:color w:val="auto"/>
              </w:rPr>
            </w:pPr>
          </w:p>
        </w:tc>
        <w:tc>
          <w:tcPr>
            <w:tcW w:w="114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First Target Distribution</w:t>
            </w:r>
          </w:p>
        </w:tc>
        <w:tc>
          <w:tcPr>
            <w:tcW w:w="3400" w:type="dxa"/>
            <w:vAlign w:val="bottom"/>
            <w:gridSpan w:val="2"/>
          </w:tcPr>
          <w:p>
            <w:pPr>
              <w:jc w:val="right"/>
              <w:ind w:right="320"/>
              <w:spacing w:after="0"/>
              <w:rPr>
                <w:sz w:val="20"/>
                <w:szCs w:val="20"/>
                <w:color w:val="auto"/>
              </w:rPr>
            </w:pPr>
            <w:r>
              <w:rPr>
                <w:rFonts w:ascii="Arial" w:cs="Arial" w:eastAsia="Arial" w:hAnsi="Arial"/>
                <w:sz w:val="18"/>
                <w:szCs w:val="18"/>
                <w:color w:val="auto"/>
              </w:rPr>
              <w:t>$0.375 up to $0.43125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860" w:type="dxa"/>
            <w:vAlign w:val="bottom"/>
            <w:shd w:val="clear" w:color="auto" w:fill="E5FFFF"/>
          </w:tcPr>
          <w:p>
            <w:pPr>
              <w:spacing w:after="0"/>
              <w:rPr>
                <w:sz w:val="20"/>
                <w:szCs w:val="20"/>
                <w:color w:val="auto"/>
              </w:rPr>
            </w:pPr>
            <w:r>
              <w:rPr>
                <w:rFonts w:ascii="Arial" w:cs="Arial" w:eastAsia="Arial" w:hAnsi="Arial"/>
                <w:sz w:val="18"/>
                <w:szCs w:val="18"/>
                <w:color w:val="auto"/>
              </w:rPr>
              <w:t>Second Target Distribution</w:t>
            </w:r>
          </w:p>
        </w:tc>
        <w:tc>
          <w:tcPr>
            <w:tcW w:w="34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$0.43125 up to $0.46875</w:t>
            </w:r>
          </w:p>
        </w:tc>
        <w:tc>
          <w:tcPr>
            <w:tcW w:w="12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85.0%</w:t>
            </w:r>
          </w:p>
        </w:tc>
        <w:tc>
          <w:tcPr>
            <w:tcW w:w="138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Third Target Distribution</w:t>
            </w:r>
          </w:p>
        </w:tc>
        <w:tc>
          <w:tcPr>
            <w:tcW w:w="3400" w:type="dxa"/>
            <w:vAlign w:val="bottom"/>
            <w:gridSpan w:val="2"/>
          </w:tcPr>
          <w:p>
            <w:pPr>
              <w:jc w:val="right"/>
              <w:ind w:right="320"/>
              <w:spacing w:after="0"/>
              <w:rPr>
                <w:sz w:val="20"/>
                <w:szCs w:val="20"/>
                <w:color w:val="auto"/>
              </w:rPr>
            </w:pPr>
            <w:r>
              <w:rPr>
                <w:rFonts w:ascii="Arial" w:cs="Arial" w:eastAsia="Arial" w:hAnsi="Arial"/>
                <w:sz w:val="18"/>
                <w:szCs w:val="18"/>
                <w:color w:val="auto"/>
              </w:rPr>
              <w:t>$0.46875 up to $0.5625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860" w:type="dxa"/>
            <w:vAlign w:val="bottom"/>
            <w:shd w:val="clear" w:color="auto" w:fill="E5FFFF"/>
          </w:tcPr>
          <w:p>
            <w:pPr>
              <w:spacing w:after="0"/>
              <w:rPr>
                <w:sz w:val="20"/>
                <w:szCs w:val="20"/>
                <w:color w:val="auto"/>
              </w:rPr>
            </w:pPr>
            <w:r>
              <w:rPr>
                <w:rFonts w:ascii="Arial" w:cs="Arial" w:eastAsia="Arial" w:hAnsi="Arial"/>
                <w:sz w:val="18"/>
                <w:szCs w:val="18"/>
                <w:color w:val="auto"/>
              </w:rPr>
              <w:t>Thereafter</w:t>
            </w:r>
          </w:p>
        </w:tc>
        <w:tc>
          <w:tcPr>
            <w:tcW w:w="340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Above $0.5625</w:t>
            </w:r>
          </w:p>
        </w:tc>
        <w:tc>
          <w:tcPr>
            <w:tcW w:w="12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50.0%</w:t>
            </w:r>
          </w:p>
        </w:tc>
        <w:tc>
          <w:tcPr>
            <w:tcW w:w="1380" w:type="dxa"/>
            <w:vAlign w:val="bottom"/>
            <w:gridSpan w:val="3"/>
            <w:shd w:val="clear" w:color="auto" w:fill="E5FFFF"/>
          </w:tcPr>
          <w:p>
            <w:pPr>
              <w:jc w:val="right"/>
              <w:ind w:right="3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0" w:type="dxa"/>
            <w:vAlign w:val="bottom"/>
            <w:gridSpan w:val="4"/>
          </w:tcPr>
          <w:p>
            <w:pPr>
              <w:ind w:left="6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87"/>
              </w:rPr>
              <w:t>Allocation of GasLog Partners’ profit</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5"/>
                <w:szCs w:val="15"/>
                <w:b w:val="1"/>
                <w:bCs w:val="1"/>
                <w:i w:val="1"/>
                <w:iCs w:val="1"/>
                <w:color w:val="auto"/>
              </w:rPr>
              <w:t>(*)</w:t>
            </w:r>
          </w:p>
        </w:tc>
        <w:tc>
          <w:tcPr>
            <w:tcW w:w="4380" w:type="dxa"/>
            <w:vAlign w:val="bottom"/>
            <w:vMerge w:val="restart"/>
          </w:tcPr>
          <w:p>
            <w:pPr>
              <w:spacing w:after="0"/>
              <w:rPr>
                <w:sz w:val="14"/>
                <w:szCs w:val="14"/>
                <w:color w:val="auto"/>
              </w:rPr>
            </w:pPr>
          </w:p>
        </w:tc>
        <w:tc>
          <w:tcPr>
            <w:tcW w:w="19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March 31, 2015</w:t>
            </w:r>
          </w:p>
        </w:tc>
        <w:tc>
          <w:tcPr>
            <w:tcW w:w="16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4380" w:type="dxa"/>
            <w:vAlign w:val="bottom"/>
            <w:vMerge w:val="continue"/>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780" w:type="dxa"/>
            <w:vAlign w:val="bottom"/>
            <w:tcBorders>
              <w:bottom w:val="single" w:sz="8" w:color="E5FFFF"/>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4380" w:type="dxa"/>
            <w:vAlign w:val="bottom"/>
            <w:tcBorders>
              <w:bottom w:val="single" w:sz="8" w:color="E5FF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E5FF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FF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Partnership’s profit attributable to:</w:t>
            </w:r>
          </w:p>
        </w:tc>
        <w:tc>
          <w:tcPr>
            <w:tcW w:w="15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5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Common unitholders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9,619</w:t>
            </w:r>
          </w:p>
        </w:tc>
        <w:tc>
          <w:tcPr>
            <w:tcW w:w="4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16"/>
        </w:trPr>
        <w:tc>
          <w:tcPr>
            <w:tcW w:w="73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Subordinated unitholders</w:t>
            </w:r>
          </w:p>
        </w:tc>
        <w:tc>
          <w:tcPr>
            <w:tcW w:w="15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3,021</w:t>
            </w:r>
          </w:p>
        </w:tc>
        <w:tc>
          <w:tcPr>
            <w:tcW w:w="44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16"/>
        </w:trPr>
        <w:tc>
          <w:tcPr>
            <w:tcW w:w="7340" w:type="dxa"/>
            <w:vAlign w:val="bottom"/>
            <w:gridSpan w:val="3"/>
          </w:tcPr>
          <w:p>
            <w:pPr>
              <w:spacing w:after="0"/>
              <w:rPr>
                <w:sz w:val="20"/>
                <w:szCs w:val="20"/>
                <w:color w:val="auto"/>
              </w:rPr>
            </w:pPr>
            <w:r>
              <w:rPr>
                <w:rFonts w:ascii="Arial" w:cs="Arial" w:eastAsia="Arial" w:hAnsi="Arial"/>
                <w:sz w:val="18"/>
                <w:szCs w:val="18"/>
                <w:color w:val="auto"/>
              </w:rPr>
              <w:t>General partner</w:t>
            </w: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258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734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Incentive distribution rights (“IDRs”)</w:t>
            </w:r>
          </w:p>
        </w:tc>
        <w:tc>
          <w:tcPr>
            <w:tcW w:w="198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63"/>
        </w:trPr>
        <w:tc>
          <w:tcPr>
            <w:tcW w:w="734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12,898</w:t>
            </w:r>
          </w:p>
        </w:tc>
        <w:tc>
          <w:tcPr>
            <w:tcW w:w="440" w:type="dxa"/>
            <w:vAlign w:val="bottom"/>
            <w:tcBorders>
              <w:bottom w:val="single" w:sz="8" w:color="E5FFFF"/>
            </w:tcBorders>
          </w:tcPr>
          <w:p>
            <w:pPr>
              <w:spacing w:after="0"/>
              <w:rPr>
                <w:sz w:val="22"/>
                <w:szCs w:val="22"/>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16,192</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34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Partnership’s profit allocated to GasLog</w:t>
            </w:r>
          </w:p>
        </w:tc>
        <w:tc>
          <w:tcPr>
            <w:tcW w:w="15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3,388</w:t>
            </w:r>
          </w:p>
        </w:tc>
        <w:tc>
          <w:tcPr>
            <w:tcW w:w="440" w:type="dxa"/>
            <w:vAlign w:val="bottom"/>
            <w:shd w:val="clear" w:color="auto" w:fill="E5FFFF"/>
          </w:tcPr>
          <w:p>
            <w:pPr>
              <w:spacing w:after="0"/>
              <w:rPr>
                <w:sz w:val="17"/>
                <w:szCs w:val="17"/>
                <w:color w:val="auto"/>
              </w:rPr>
            </w:pPr>
          </w:p>
        </w:tc>
        <w:tc>
          <w:tcPr>
            <w:tcW w:w="15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5,592</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gridSpan w:val="3"/>
          </w:tcPr>
          <w:p>
            <w:pPr>
              <w:spacing w:after="0"/>
              <w:rPr>
                <w:sz w:val="20"/>
                <w:szCs w:val="20"/>
                <w:color w:val="auto"/>
              </w:rPr>
            </w:pPr>
            <w:r>
              <w:rPr>
                <w:rFonts w:ascii="Arial" w:cs="Arial" w:eastAsia="Arial" w:hAnsi="Arial"/>
                <w:sz w:val="18"/>
                <w:szCs w:val="18"/>
                <w:color w:val="auto"/>
              </w:rPr>
              <w:t>Partnership’s profit allocated to non-controlling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9,510</w:t>
            </w:r>
          </w:p>
        </w:tc>
        <w:tc>
          <w:tcPr>
            <w:tcW w:w="44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23"/>
        </w:trPr>
        <w:tc>
          <w:tcPr>
            <w:tcW w:w="734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12,898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15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16,192</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60" w:right="40" w:hanging="352"/>
        <w:spacing w:after="0" w:line="238" w:lineRule="auto"/>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profits of: (i) GAS-three Ltd., GAS-four Ltd. and GAS-five Ltd. earned after the GasLog Partners’ initial public offering on May 12, 2014, (ii) GAS-sixteen Ltd. and GAS-seventeen Ltd. for the period after their transfer to the Partnership on September 29, 2014 and (iii) GAS-nineteen Ltd., GAS-twenty Ltd. and GAS-twenty one Ltd. for the period after their transfer to the Partnership on July 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Tangible Fixed Assets, Vessels Under Construction and Vessel Held Under Finance Lease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tangible fixed assets, vessels under construction and vessel held under finance lease are reported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Office</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property</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Vessel held</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and other</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tangible fixed</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Vessels under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finance</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Vessels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tangible assets</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8"/>
              </w:rPr>
              <w:t>assets</w:t>
            </w:r>
          </w:p>
        </w:tc>
        <w:tc>
          <w:tcPr>
            <w:tcW w:w="15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construction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lease</w:t>
            </w:r>
          </w:p>
        </w:tc>
      </w:tr>
      <w:tr>
        <w:trPr>
          <w:trHeight w:val="190"/>
        </w:trPr>
        <w:tc>
          <w:tcPr>
            <w:tcW w:w="20" w:type="dxa"/>
            <w:vAlign w:val="bottom"/>
          </w:tcPr>
          <w:p>
            <w:pPr>
              <w:spacing w:after="0"/>
              <w:rPr>
                <w:sz w:val="16"/>
                <w:szCs w:val="16"/>
                <w:color w:val="auto"/>
              </w:rPr>
            </w:pPr>
          </w:p>
        </w:tc>
        <w:tc>
          <w:tcPr>
            <w:tcW w:w="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b w:val="1"/>
                <w:bCs w:val="1"/>
                <w:color w:val="auto"/>
                <w:w w:val="79"/>
              </w:rPr>
              <w:t>Cost</w:t>
            </w:r>
          </w:p>
        </w:tc>
        <w:tc>
          <w:tcPr>
            <w:tcW w:w="3660" w:type="dxa"/>
            <w:vAlign w:val="bottom"/>
            <w:tcBorders>
              <w:top w:val="single" w:sz="8" w:color="E5FFFF"/>
              <w:bottom w:val="single" w:sz="8" w:color="E5FFFF"/>
            </w:tcBorders>
            <w:shd w:val="clear" w:color="auto" w:fill="E5FFFF"/>
          </w:tcPr>
          <w:p>
            <w:pPr>
              <w:spacing w:after="0"/>
              <w:rPr>
                <w:sz w:val="16"/>
                <w:szCs w:val="16"/>
                <w:color w:val="auto"/>
              </w:rPr>
            </w:pPr>
          </w:p>
        </w:tc>
        <w:tc>
          <w:tcPr>
            <w:tcW w:w="104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360" w:type="dxa"/>
            <w:vAlign w:val="bottom"/>
            <w:tcBorders>
              <w:top w:val="single" w:sz="8" w:color="auto"/>
              <w:bottom w:val="single" w:sz="8" w:color="E5FFFF"/>
            </w:tcBorders>
            <w:shd w:val="clear" w:color="auto" w:fill="E5FFFF"/>
          </w:tcPr>
          <w:p>
            <w:pPr>
              <w:spacing w:after="0"/>
              <w:rPr>
                <w:sz w:val="16"/>
                <w:szCs w:val="16"/>
                <w:color w:val="auto"/>
              </w:rPr>
            </w:pPr>
          </w:p>
        </w:tc>
        <w:tc>
          <w:tcPr>
            <w:tcW w:w="36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340" w:type="dxa"/>
            <w:vAlign w:val="bottom"/>
            <w:tcBorders>
              <w:top w:val="single" w:sz="8" w:color="E5FFFF"/>
              <w:bottom w:val="single" w:sz="8" w:color="E5FFFF"/>
            </w:tcBorders>
            <w:shd w:val="clear" w:color="auto" w:fill="E5FFFF"/>
          </w:tcPr>
          <w:p>
            <w:pPr>
              <w:spacing w:after="0"/>
              <w:rPr>
                <w:sz w:val="16"/>
                <w:szCs w:val="16"/>
                <w:color w:val="auto"/>
              </w:rPr>
            </w:pPr>
          </w:p>
        </w:tc>
        <w:tc>
          <w:tcPr>
            <w:tcW w:w="1240" w:type="dxa"/>
            <w:vAlign w:val="bottom"/>
            <w:tcBorders>
              <w:top w:val="single" w:sz="8" w:color="auto"/>
              <w:bottom w:val="single" w:sz="8" w:color="E5FFFF"/>
            </w:tcBorders>
            <w:shd w:val="clear" w:color="auto" w:fill="E5FFFF"/>
          </w:tcPr>
          <w:p>
            <w:pPr>
              <w:spacing w:after="0"/>
              <w:rPr>
                <w:sz w:val="16"/>
                <w:szCs w:val="16"/>
                <w:color w:val="auto"/>
              </w:rPr>
            </w:pPr>
          </w:p>
        </w:tc>
        <w:tc>
          <w:tcPr>
            <w:tcW w:w="320" w:type="dxa"/>
            <w:vAlign w:val="bottom"/>
            <w:tcBorders>
              <w:top w:val="single" w:sz="8" w:color="E5FFFF"/>
              <w:bottom w:val="single" w:sz="8" w:color="E5FFFF"/>
            </w:tcBorders>
            <w:shd w:val="clear" w:color="auto" w:fill="E5FFFF"/>
          </w:tcPr>
          <w:p>
            <w:pPr>
              <w:spacing w:after="0"/>
              <w:rPr>
                <w:sz w:val="16"/>
                <w:szCs w:val="16"/>
                <w:color w:val="auto"/>
              </w:rPr>
            </w:pPr>
          </w:p>
        </w:tc>
        <w:tc>
          <w:tcPr>
            <w:tcW w:w="1140" w:type="dxa"/>
            <w:vAlign w:val="bottom"/>
            <w:tcBorders>
              <w:top w:val="single" w:sz="8" w:color="auto"/>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As of January 1, 2016</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3,619,255</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12,315</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3,631,570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178,405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Sale and leaseback (Note 5)</w:t>
            </w:r>
          </w:p>
        </w:tc>
        <w:tc>
          <w:tcPr>
            <w:tcW w:w="14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(234,650)</w:t>
            </w:r>
          </w:p>
        </w:tc>
        <w:tc>
          <w:tcPr>
            <w:tcW w:w="17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(234,650)</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227,809</w:t>
            </w: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2,690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219</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2,909</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187,481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Transfer from vessels under construction</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209,267</w:t>
            </w:r>
          </w:p>
        </w:tc>
        <w:tc>
          <w:tcPr>
            <w:tcW w:w="17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209,267</w:t>
            </w: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(209,267)</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Fully amortized drydocking component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(2,520)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(2,520)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8"/>
                <w:szCs w:val="18"/>
                <w:b w:val="1"/>
                <w:bCs w:val="1"/>
                <w:color w:val="auto"/>
              </w:rPr>
              <w:t>As of March 31, 2016</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3,594,042</w:t>
            </w: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12,534</w:t>
            </w:r>
          </w:p>
        </w:tc>
        <w:tc>
          <w:tcPr>
            <w:tcW w:w="36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3,606,576</w:t>
            </w: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156,619</w:t>
            </w:r>
          </w:p>
        </w:tc>
        <w:tc>
          <w:tcPr>
            <w:tcW w:w="3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228,523</w:t>
            </w:r>
          </w:p>
        </w:tc>
        <w:tc>
          <w:tcPr>
            <w:tcW w:w="100" w:type="dxa"/>
            <w:vAlign w:val="bottom"/>
            <w:tcBorders>
              <w:top w:val="single" w:sz="8" w:color="E5FFFF"/>
            </w:tcBorders>
            <w:shd w:val="clear" w:color="auto" w:fill="E5FFFF"/>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2"/>
          </w:tcPr>
          <w:p>
            <w:pPr>
              <w:jc w:val="right"/>
              <w:ind w:right="1300"/>
              <w:spacing w:after="0"/>
              <w:rPr>
                <w:sz w:val="20"/>
                <w:szCs w:val="20"/>
                <w:color w:val="auto"/>
              </w:rPr>
            </w:pPr>
            <w:r>
              <w:rPr>
                <w:rFonts w:ascii="Arial" w:cs="Arial" w:eastAsia="Arial" w:hAnsi="Arial"/>
                <w:sz w:val="18"/>
                <w:szCs w:val="18"/>
                <w:color w:val="auto"/>
              </w:rPr>
              <w:t>F-9</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3660" w:type="dxa"/>
            <w:vAlign w:val="bottom"/>
            <w:tcBorders>
              <w:bottom w:val="single" w:sz="8" w:color="C0C0C0"/>
            </w:tcBorders>
          </w:tcPr>
          <w:p>
            <w:pPr>
              <w:spacing w:after="0"/>
              <w:rPr>
                <w:sz w:val="21"/>
                <w:szCs w:val="21"/>
                <w:color w:val="auto"/>
              </w:rPr>
            </w:pPr>
          </w:p>
        </w:tc>
        <w:tc>
          <w:tcPr>
            <w:tcW w:w="104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14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9" w:right="239" w:bottom="589"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Office</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property</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Vessel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and other</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tangible fixed</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Vessels under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under finance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Vessels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tangible assets</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78"/>
              </w:rPr>
              <w:t>assets</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construction</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lease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000" w:type="dxa"/>
            <w:vAlign w:val="bottom"/>
            <w:tcBorders>
              <w:top w:val="single" w:sz="8" w:color="E5FFFF"/>
            </w:tcBorders>
            <w:gridSpan w:val="3"/>
            <w:shd w:val="clear" w:color="auto" w:fill="E5FFFF"/>
          </w:tcPr>
          <w:p>
            <w:pPr>
              <w:spacing w:after="0" w:line="170" w:lineRule="exact"/>
              <w:rPr>
                <w:sz w:val="20"/>
                <w:szCs w:val="20"/>
                <w:color w:val="auto"/>
              </w:rPr>
            </w:pPr>
            <w:r>
              <w:rPr>
                <w:rFonts w:ascii="Arial" w:cs="Arial" w:eastAsia="Arial" w:hAnsi="Arial"/>
                <w:sz w:val="18"/>
                <w:szCs w:val="18"/>
                <w:b w:val="1"/>
                <w:bCs w:val="1"/>
                <w:color w:val="auto"/>
              </w:rPr>
              <w:t>Accumulated depreciation</w:t>
            </w:r>
          </w:p>
        </w:tc>
        <w:tc>
          <w:tcPr>
            <w:tcW w:w="1040" w:type="dxa"/>
            <w:vAlign w:val="bottom"/>
            <w:tcBorders>
              <w:top w:val="single" w:sz="8" w:color="auto"/>
            </w:tcBorders>
            <w:shd w:val="clear" w:color="auto" w:fill="E5FFFF"/>
          </w:tcPr>
          <w:p>
            <w:pPr>
              <w:spacing w:after="0"/>
              <w:rPr>
                <w:sz w:val="16"/>
                <w:szCs w:val="16"/>
                <w:color w:val="auto"/>
              </w:rPr>
            </w:pPr>
          </w:p>
        </w:tc>
        <w:tc>
          <w:tcPr>
            <w:tcW w:w="360" w:type="dxa"/>
            <w:vAlign w:val="bottom"/>
            <w:tcBorders>
              <w:top w:val="single" w:sz="8" w:color="E5FFFF"/>
            </w:tcBorders>
            <w:shd w:val="clear" w:color="auto" w:fill="E5FFFF"/>
          </w:tcPr>
          <w:p>
            <w:pPr>
              <w:spacing w:after="0"/>
              <w:rPr>
                <w:sz w:val="16"/>
                <w:szCs w:val="16"/>
                <w:color w:val="auto"/>
              </w:rPr>
            </w:pPr>
          </w:p>
        </w:tc>
        <w:tc>
          <w:tcPr>
            <w:tcW w:w="1360" w:type="dxa"/>
            <w:vAlign w:val="bottom"/>
            <w:tcBorders>
              <w:top w:val="single" w:sz="8" w:color="auto"/>
            </w:tcBorders>
            <w:shd w:val="clear" w:color="auto" w:fill="E5FFFF"/>
          </w:tcPr>
          <w:p>
            <w:pPr>
              <w:spacing w:after="0"/>
              <w:rPr>
                <w:sz w:val="16"/>
                <w:szCs w:val="16"/>
                <w:color w:val="auto"/>
              </w:rPr>
            </w:pPr>
          </w:p>
        </w:tc>
        <w:tc>
          <w:tcPr>
            <w:tcW w:w="36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340" w:type="dxa"/>
            <w:vAlign w:val="bottom"/>
            <w:tcBorders>
              <w:top w:val="single" w:sz="8" w:color="E5FFFF"/>
            </w:tcBorders>
            <w:shd w:val="clear" w:color="auto" w:fill="E5FFFF"/>
          </w:tcPr>
          <w:p>
            <w:pPr>
              <w:spacing w:after="0"/>
              <w:rPr>
                <w:sz w:val="16"/>
                <w:szCs w:val="16"/>
                <w:color w:val="auto"/>
              </w:rPr>
            </w:pPr>
          </w:p>
        </w:tc>
        <w:tc>
          <w:tcPr>
            <w:tcW w:w="124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1140" w:type="dxa"/>
            <w:vAlign w:val="bottom"/>
            <w:tcBorders>
              <w:top w:val="single" w:sz="8" w:color="auto"/>
            </w:tcBorders>
            <w:shd w:val="clear" w:color="auto" w:fill="E5FFFF"/>
          </w:tcPr>
          <w:p>
            <w:pPr>
              <w:spacing w:after="0"/>
              <w:rPr>
                <w:sz w:val="16"/>
                <w:szCs w:val="16"/>
                <w:color w:val="auto"/>
              </w:rPr>
            </w:pPr>
          </w:p>
        </w:tc>
        <w:tc>
          <w:tcPr>
            <w:tcW w:w="100" w:type="dxa"/>
            <w:vAlign w:val="bottom"/>
            <w:tcBorders>
              <w:top w:val="single" w:sz="8" w:color="E5FFFF"/>
            </w:tcBorders>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of January 1, 2016</w:t>
            </w:r>
          </w:p>
        </w:tc>
        <w:tc>
          <w:tcPr>
            <w:tcW w:w="2000" w:type="dxa"/>
            <w:vAlign w:val="bottom"/>
            <w:tcBorders>
              <w:top w:val="single" w:sz="8" w:color="E5FFFF"/>
            </w:tcBorders>
          </w:tcPr>
          <w:p>
            <w:pPr>
              <w:spacing w:after="0"/>
              <w:rPr>
                <w:sz w:val="18"/>
                <w:szCs w:val="18"/>
                <w:color w:val="auto"/>
              </w:rPr>
            </w:pPr>
          </w:p>
        </w:tc>
        <w:tc>
          <w:tcPr>
            <w:tcW w:w="140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228,531</w:t>
            </w:r>
          </w:p>
        </w:tc>
        <w:tc>
          <w:tcPr>
            <w:tcW w:w="1720" w:type="dxa"/>
            <w:vAlign w:val="bottom"/>
            <w:tcBorders>
              <w:top w:val="single" w:sz="8" w:color="E5FFFF"/>
            </w:tcBorders>
            <w:gridSpan w:val="2"/>
          </w:tcPr>
          <w:p>
            <w:pPr>
              <w:jc w:val="right"/>
              <w:ind w:right="360"/>
              <w:spacing w:after="0"/>
              <w:rPr>
                <w:sz w:val="20"/>
                <w:szCs w:val="20"/>
                <w:color w:val="auto"/>
              </w:rPr>
            </w:pPr>
            <w:r>
              <w:rPr>
                <w:rFonts w:ascii="Arial" w:cs="Arial" w:eastAsia="Arial" w:hAnsi="Arial"/>
                <w:sz w:val="18"/>
                <w:szCs w:val="18"/>
                <w:color w:val="auto"/>
              </w:rPr>
              <w:t>2,769</w:t>
            </w:r>
          </w:p>
        </w:tc>
        <w:tc>
          <w:tcPr>
            <w:tcW w:w="1480" w:type="dxa"/>
            <w:vAlign w:val="bottom"/>
            <w:tcBorders>
              <w:top w:val="single" w:sz="8" w:color="E5FFFF"/>
            </w:tcBorders>
            <w:gridSpan w:val="2"/>
          </w:tcPr>
          <w:p>
            <w:pPr>
              <w:jc w:val="right"/>
              <w:ind w:right="340"/>
              <w:spacing w:after="0"/>
              <w:rPr>
                <w:sz w:val="20"/>
                <w:szCs w:val="20"/>
                <w:color w:val="auto"/>
              </w:rPr>
            </w:pPr>
            <w:r>
              <w:rPr>
                <w:rFonts w:ascii="Arial" w:cs="Arial" w:eastAsia="Arial" w:hAnsi="Arial"/>
                <w:sz w:val="18"/>
                <w:szCs w:val="18"/>
                <w:color w:val="auto"/>
              </w:rPr>
              <w:t>231,300</w:t>
            </w:r>
          </w:p>
        </w:tc>
        <w:tc>
          <w:tcPr>
            <w:tcW w:w="1560" w:type="dxa"/>
            <w:vAlign w:val="bottom"/>
            <w:tcBorders>
              <w:top w:val="single" w:sz="8" w:color="E5FFFF"/>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E5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Depreciation expense</w:t>
            </w:r>
          </w:p>
        </w:tc>
        <w:tc>
          <w:tcPr>
            <w:tcW w:w="14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27,268</w:t>
            </w:r>
          </w:p>
        </w:tc>
        <w:tc>
          <w:tcPr>
            <w:tcW w:w="17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141</w:t>
            </w:r>
          </w:p>
        </w:tc>
        <w:tc>
          <w:tcPr>
            <w:tcW w:w="148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27,409</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Sale and leaseback (Note 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(6,841)</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(6,841)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Fully amortized drydocking component</w:t>
            </w:r>
          </w:p>
        </w:tc>
        <w:tc>
          <w:tcPr>
            <w:tcW w:w="14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(2,520)</w:t>
            </w:r>
          </w:p>
        </w:tc>
        <w:tc>
          <w:tcPr>
            <w:tcW w:w="172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(2,520)</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As of March 31, 2016</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246,438</w:t>
            </w:r>
          </w:p>
        </w:tc>
        <w:tc>
          <w:tcPr>
            <w:tcW w:w="3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2,910</w:t>
            </w:r>
          </w:p>
        </w:tc>
        <w:tc>
          <w:tcPr>
            <w:tcW w:w="3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249,348</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auto"/>
            </w:tcBorders>
            <w:shd w:val="clear" w:color="auto" w:fill="E5FFFF"/>
          </w:tcPr>
          <w:p>
            <w:pPr>
              <w:spacing w:after="0" w:line="176" w:lineRule="exact"/>
              <w:rPr>
                <w:sz w:val="20"/>
                <w:szCs w:val="20"/>
                <w:color w:val="auto"/>
              </w:rPr>
            </w:pPr>
            <w:r>
              <w:rPr>
                <w:rFonts w:ascii="Arial" w:cs="Arial" w:eastAsia="Arial" w:hAnsi="Arial"/>
                <w:sz w:val="18"/>
                <w:szCs w:val="18"/>
                <w:b w:val="1"/>
                <w:bCs w:val="1"/>
                <w:color w:val="auto"/>
                <w:w w:val="87"/>
              </w:rPr>
              <w:t>Net book value</w:t>
            </w:r>
          </w:p>
        </w:tc>
        <w:tc>
          <w:tcPr>
            <w:tcW w:w="2860" w:type="dxa"/>
            <w:vAlign w:val="bottom"/>
            <w:tcBorders>
              <w:bottom w:val="single" w:sz="8" w:color="E5FFFF"/>
            </w:tcBorders>
            <w:gridSpan w:val="2"/>
            <w:shd w:val="clear" w:color="auto" w:fill="E5FFFF"/>
          </w:tcPr>
          <w:p>
            <w:pPr>
              <w:spacing w:after="0"/>
              <w:rPr>
                <w:sz w:val="17"/>
                <w:szCs w:val="17"/>
                <w:color w:val="auto"/>
              </w:rPr>
            </w:pPr>
          </w:p>
        </w:tc>
        <w:tc>
          <w:tcPr>
            <w:tcW w:w="104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E5FFFF"/>
            </w:tcBorders>
            <w:shd w:val="clear" w:color="auto" w:fill="E5FFFF"/>
          </w:tcPr>
          <w:p>
            <w:pPr>
              <w:spacing w:after="0"/>
              <w:rPr>
                <w:sz w:val="17"/>
                <w:szCs w:val="17"/>
                <w:color w:val="auto"/>
              </w:rPr>
            </w:pPr>
          </w:p>
        </w:tc>
        <w:tc>
          <w:tcPr>
            <w:tcW w:w="36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E5FFFF"/>
            </w:tcBorders>
            <w:shd w:val="clear" w:color="auto" w:fill="E5FFFF"/>
          </w:tcPr>
          <w:p>
            <w:pPr>
              <w:spacing w:after="0"/>
              <w:rPr>
                <w:sz w:val="17"/>
                <w:szCs w:val="17"/>
                <w:color w:val="auto"/>
              </w:rPr>
            </w:pPr>
          </w:p>
        </w:tc>
        <w:tc>
          <w:tcPr>
            <w:tcW w:w="34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E5FFFF"/>
            </w:tcBorders>
            <w:shd w:val="clear" w:color="auto" w:fill="E5FFFF"/>
          </w:tcPr>
          <w:p>
            <w:pPr>
              <w:spacing w:after="0"/>
              <w:rPr>
                <w:sz w:val="17"/>
                <w:szCs w:val="17"/>
                <w:color w:val="auto"/>
              </w:rPr>
            </w:pPr>
          </w:p>
        </w:tc>
        <w:tc>
          <w:tcPr>
            <w:tcW w:w="11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As of December 31, 2015</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3,390,724</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9,546</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3,400,270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178,405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8"/>
                <w:szCs w:val="18"/>
                <w:b w:val="1"/>
                <w:bCs w:val="1"/>
                <w:color w:val="auto"/>
              </w:rPr>
              <w:t>As of March 31, 2016</w:t>
            </w:r>
          </w:p>
        </w:tc>
        <w:tc>
          <w:tcPr>
            <w:tcW w:w="10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3,347,604</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9,624</w:t>
            </w:r>
          </w:p>
        </w:tc>
        <w:tc>
          <w:tcPr>
            <w:tcW w:w="36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3,357,228</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156,619</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227,768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Vessels with an aggregate carrying amount of $3,347,604 as of March 31, 2016 (December 31, 2015: $3,390,724) have been pledged as collateral under the terms of the Group’s loan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 under construction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January 2013, GAS-eleven Ltd. and GAS-twelve Ltd. entered into shipbuilding contracts with Samsung Heavy Industries Co. Ltd. (“Samsung”) for the construction of two LNG carriers (174,000 cubic meters each). The first vessel, the </w:t>
      </w:r>
      <w:r>
        <w:rPr>
          <w:rFonts w:ascii="Arial" w:cs="Arial" w:eastAsia="Arial" w:hAnsi="Arial"/>
          <w:sz w:val="18"/>
          <w:szCs w:val="18"/>
          <w:i w:val="1"/>
          <w:iCs w:val="1"/>
          <w:color w:val="auto"/>
        </w:rPr>
        <w:t>GasLog Greece</w:t>
      </w:r>
      <w:r>
        <w:rPr>
          <w:rFonts w:ascii="Arial" w:cs="Arial" w:eastAsia="Arial" w:hAnsi="Arial"/>
          <w:sz w:val="18"/>
          <w:szCs w:val="18"/>
          <w:color w:val="auto"/>
        </w:rPr>
        <w:t>, was delivered on March 29, 2016, with the other one expected to be delivered in the second quarter of 2016.</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August 2013, GAS-thirteen Ltd. and GAS-fourteen Ltd. entered into shipbuilding contracts with Samsung for the construction of two LNG carriers (174,000 cubic meters each). The vessels are expected to be delivered in the second half of 2016.</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2014, GAS-twenty two Ltd. and GAS-twenty three Ltd. entered into shipbuilding contracts with Samsung for the construction of two LNG carriers (174,000 cubic meters each). The vessels are expected to be delivered in the first quarter of 2018 and 2019, respectively.</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June 2014, GAS-twenty four Ltd. and GAS-twenty five Ltd. entered into shipbuilding contracts with Hyundai Heavy Industries Co., Ltd. (“Hyundai”) for the construction of two LNG carriers (174,000 cubic meters each). The vessels are expected to be delivered in the first quarter of 2018.</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Vessels under construction represent scheduled advance payments to the shipyards as well as certain capitalized expenditures. As of March 31, 2016, the Group has paid to the shipyard $150,396 for the vessels that are under construction and expects to pay the remaining installments as they come due upon each vessel’s keel laying, launching and delivery (Note 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w w:val="89"/>
              </w:rPr>
              <w:t>The vessels under construction costs as of December 31, 2015 and March 31, 2016 are as follows:</w:t>
            </w: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4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2015</w:t>
            </w:r>
          </w:p>
        </w:tc>
        <w:tc>
          <w:tcPr>
            <w:tcW w:w="1680" w:type="dxa"/>
            <w:vAlign w:val="bottom"/>
            <w:gridSpan w:val="3"/>
          </w:tcPr>
          <w:p>
            <w:pPr>
              <w:ind w:left="18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Progress shipyard installments</w:t>
            </w: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170,634</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150,396</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Onsite supervision costs</w:t>
            </w:r>
          </w:p>
        </w:tc>
        <w:tc>
          <w:tcPr>
            <w:tcW w:w="1840" w:type="dxa"/>
            <w:vAlign w:val="bottom"/>
          </w:tcPr>
          <w:p>
            <w:pPr>
              <w:jc w:val="right"/>
              <w:spacing w:after="0"/>
              <w:rPr>
                <w:sz w:val="20"/>
                <w:szCs w:val="20"/>
                <w:color w:val="auto"/>
              </w:rPr>
            </w:pPr>
            <w:r>
              <w:rPr>
                <w:rFonts w:ascii="Arial" w:cs="Arial" w:eastAsia="Arial" w:hAnsi="Arial"/>
                <w:sz w:val="18"/>
                <w:szCs w:val="18"/>
                <w:color w:val="auto"/>
              </w:rPr>
              <w:t>4,289</w:t>
            </w:r>
          </w:p>
        </w:tc>
        <w:tc>
          <w:tcPr>
            <w:tcW w:w="46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8"/>
                <w:szCs w:val="18"/>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Critical spare parts, equipment and other vessel delivery expenses</w:t>
            </w: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3,482</w:t>
            </w:r>
          </w:p>
        </w:tc>
        <w:tc>
          <w:tcPr>
            <w:tcW w:w="460" w:type="dxa"/>
            <w:vAlign w:val="bottom"/>
            <w:shd w:val="clear" w:color="auto" w:fill="E5FFFF"/>
          </w:tcPr>
          <w:p>
            <w:pPr>
              <w:spacing w:after="0"/>
              <w:rPr>
                <w:sz w:val="19"/>
                <w:szCs w:val="19"/>
                <w:color w:val="auto"/>
              </w:rPr>
            </w:pP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E5FF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178,405</w:t>
            </w:r>
          </w:p>
        </w:tc>
        <w:tc>
          <w:tcPr>
            <w:tcW w:w="4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156,619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Sale and Leaseback</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On February 24, 2016, GasLog’s subsidiary, GAS-twenty six Ltd., completed the ship sale and leaseback transaction with a subsidiary of Mitsui, for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Mitsui has the right to on-sell and lease back the vessel. The vessel was sold to Mitsui for a cash consideration of $217,000. GasLog has leased back the vessel under a bareboat charter from Mitsui for a period of up to 20 years, having a payment holiday for the first 210 days. GasLog has the option to re-purchase the vessel on pre-agreed terms no earlier than the end of year ten and no later than the end of year 17 of the bareboat charter. The bareboat hire is fixed and GasLog has a holiday period for the first 210 days. This leaseback meets the definition of a finance lease under IFRS.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movements in finance lease liabilities are reported in the following table: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 of January 1, 2016</w:t>
            </w:r>
          </w:p>
        </w:tc>
        <w:tc>
          <w:tcPr>
            <w:tcW w:w="542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Addition</w:t>
            </w:r>
          </w:p>
        </w:tc>
        <w:tc>
          <w:tcPr>
            <w:tcW w:w="7120" w:type="dxa"/>
            <w:vAlign w:val="bottom"/>
            <w:gridSpan w:val="3"/>
          </w:tcPr>
          <w:p>
            <w:pPr>
              <w:jc w:val="right"/>
              <w:ind w:right="100"/>
              <w:spacing w:after="0"/>
              <w:rPr>
                <w:sz w:val="20"/>
                <w:szCs w:val="20"/>
                <w:color w:val="auto"/>
              </w:rPr>
            </w:pPr>
            <w:r>
              <w:rPr>
                <w:rFonts w:ascii="Arial" w:cs="Arial" w:eastAsia="Arial" w:hAnsi="Arial"/>
                <w:sz w:val="18"/>
                <w:szCs w:val="18"/>
                <w:color w:val="auto"/>
              </w:rPr>
              <w:t>217,000</w:t>
            </w:r>
          </w:p>
        </w:tc>
      </w:tr>
      <w:tr>
        <w:trPr>
          <w:trHeight w:val="230"/>
        </w:trPr>
        <w:tc>
          <w:tcPr>
            <w:tcW w:w="430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 (Note 13)</w:t>
            </w:r>
          </w:p>
        </w:tc>
        <w:tc>
          <w:tcPr>
            <w:tcW w:w="712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1,067</w:t>
            </w:r>
          </w:p>
        </w:tc>
      </w:tr>
      <w:tr>
        <w:trPr>
          <w:trHeight w:val="263"/>
        </w:trPr>
        <w:tc>
          <w:tcPr>
            <w:tcW w:w="430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As of March 31, 2016</w:t>
            </w:r>
          </w:p>
        </w:tc>
        <w:tc>
          <w:tcPr>
            <w:tcW w:w="5420" w:type="dxa"/>
            <w:vAlign w:val="bottom"/>
            <w:tcBorders>
              <w:bottom w:val="single" w:sz="8" w:color="E5FFFF"/>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218,067</w:t>
            </w:r>
          </w:p>
        </w:tc>
        <w:tc>
          <w:tcPr>
            <w:tcW w:w="100" w:type="dxa"/>
            <w:vAlign w:val="bottom"/>
            <w:tcBorders>
              <w:bottom w:val="single" w:sz="8" w:color="E5FFFF"/>
            </w:tcBorders>
          </w:tcPr>
          <w:p>
            <w:pPr>
              <w:spacing w:after="0"/>
              <w:rPr>
                <w:sz w:val="22"/>
                <w:szCs w:val="22"/>
                <w:color w:val="auto"/>
              </w:rPr>
            </w:pPr>
          </w:p>
        </w:tc>
      </w:tr>
      <w:tr>
        <w:trPr>
          <w:trHeight w:val="197"/>
        </w:trPr>
        <w:tc>
          <w:tcPr>
            <w:tcW w:w="4300" w:type="dxa"/>
            <w:vAlign w:val="bottom"/>
            <w:shd w:val="clear" w:color="auto" w:fill="E5FFFF"/>
          </w:tcPr>
          <w:p>
            <w:pPr>
              <w:spacing w:after="0" w:line="190" w:lineRule="exact"/>
              <w:rPr>
                <w:sz w:val="20"/>
                <w:szCs w:val="20"/>
                <w:color w:val="auto"/>
              </w:rPr>
            </w:pPr>
            <w:r>
              <w:rPr>
                <w:rFonts w:ascii="Arial" w:cs="Arial" w:eastAsia="Arial" w:hAnsi="Arial"/>
                <w:sz w:val="18"/>
                <w:szCs w:val="18"/>
                <w:color w:val="auto"/>
              </w:rPr>
              <w:t>Finance lease liability, non-current portion</w:t>
            </w:r>
          </w:p>
        </w:tc>
        <w:tc>
          <w:tcPr>
            <w:tcW w:w="5420" w:type="dxa"/>
            <w:vAlign w:val="bottom"/>
            <w:shd w:val="clear" w:color="auto" w:fill="E5FFFF"/>
          </w:tcPr>
          <w:p>
            <w:pPr>
              <w:spacing w:after="0"/>
              <w:rPr>
                <w:sz w:val="17"/>
                <w:szCs w:val="17"/>
                <w:color w:val="auto"/>
              </w:rPr>
            </w:pPr>
          </w:p>
        </w:tc>
        <w:tc>
          <w:tcPr>
            <w:tcW w:w="160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218,067</w:t>
            </w:r>
          </w:p>
        </w:tc>
        <w:tc>
          <w:tcPr>
            <w:tcW w:w="100" w:type="dxa"/>
            <w:vAlign w:val="bottom"/>
            <w:shd w:val="clear" w:color="auto" w:fill="E5FFFF"/>
          </w:tcPr>
          <w:p>
            <w:pPr>
              <w:spacing w:after="0"/>
              <w:rPr>
                <w:sz w:val="17"/>
                <w:szCs w:val="17"/>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218,067</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300" w:type="dxa"/>
            <w:vAlign w:val="bottom"/>
          </w:tcPr>
          <w:p>
            <w:pPr>
              <w:spacing w:after="0"/>
              <w:rPr>
                <w:sz w:val="24"/>
                <w:szCs w:val="24"/>
                <w:color w:val="auto"/>
              </w:rPr>
            </w:pPr>
          </w:p>
        </w:tc>
        <w:tc>
          <w:tcPr>
            <w:tcW w:w="7120" w:type="dxa"/>
            <w:vAlign w:val="bottom"/>
            <w:gridSpan w:val="3"/>
          </w:tcPr>
          <w:p>
            <w:pPr>
              <w:ind w:left="1240"/>
              <w:spacing w:after="0"/>
              <w:rPr>
                <w:sz w:val="20"/>
                <w:szCs w:val="20"/>
                <w:color w:val="auto"/>
              </w:rPr>
            </w:pPr>
            <w:r>
              <w:rPr>
                <w:rFonts w:ascii="Arial" w:cs="Arial" w:eastAsia="Arial" w:hAnsi="Arial"/>
                <w:sz w:val="18"/>
                <w:szCs w:val="18"/>
                <w:color w:val="auto"/>
              </w:rPr>
              <w:t>F-10</w:t>
            </w:r>
          </w:p>
        </w:tc>
      </w:tr>
      <w:tr>
        <w:trPr>
          <w:trHeight w:val="250"/>
        </w:trPr>
        <w:tc>
          <w:tcPr>
            <w:tcW w:w="4300" w:type="dxa"/>
            <w:vAlign w:val="bottom"/>
            <w:tcBorders>
              <w:bottom w:val="single" w:sz="8" w:color="C0C0C0"/>
            </w:tcBorders>
          </w:tcPr>
          <w:p>
            <w:pPr>
              <w:spacing w:after="0"/>
              <w:rPr>
                <w:sz w:val="21"/>
                <w:szCs w:val="21"/>
                <w:color w:val="auto"/>
              </w:rPr>
            </w:pPr>
          </w:p>
        </w:tc>
        <w:tc>
          <w:tcPr>
            <w:tcW w:w="5420" w:type="dxa"/>
            <w:vAlign w:val="bottom"/>
            <w:tcBorders>
              <w:bottom w:val="single" w:sz="8" w:color="C0C0C0"/>
            </w:tcBorders>
          </w:tcPr>
          <w:p>
            <w:pPr>
              <w:spacing w:after="0"/>
              <w:rPr>
                <w:sz w:val="21"/>
                <w:szCs w:val="21"/>
                <w:color w:val="auto"/>
              </w:rPr>
            </w:pPr>
          </w:p>
        </w:tc>
        <w:tc>
          <w:tcPr>
            <w:tcW w:w="160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440" w:type="dxa"/>
            <w:vAlign w:val="bottom"/>
          </w:tcPr>
          <w:p>
            <w:pPr>
              <w:spacing w:after="0"/>
              <w:rPr>
                <w:sz w:val="24"/>
                <w:szCs w:val="24"/>
                <w:color w:val="auto"/>
              </w:rPr>
            </w:pPr>
          </w:p>
        </w:tc>
        <w:tc>
          <w:tcPr>
            <w:tcW w:w="2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December 31, 2015</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Amounts due within one year</w:t>
            </w: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645,193</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785,487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2300" w:type="dxa"/>
            <w:vAlign w:val="bottom"/>
            <w:gridSpan w:val="2"/>
          </w:tcPr>
          <w:p>
            <w:pPr>
              <w:jc w:val="right"/>
              <w:ind w:right="400"/>
              <w:spacing w:after="0"/>
              <w:rPr>
                <w:sz w:val="20"/>
                <w:szCs w:val="20"/>
                <w:color w:val="auto"/>
              </w:rPr>
            </w:pPr>
            <w:r>
              <w:rPr>
                <w:rFonts w:ascii="Arial" w:cs="Arial" w:eastAsia="Arial" w:hAnsi="Arial"/>
                <w:sz w:val="18"/>
                <w:szCs w:val="18"/>
                <w:color w:val="auto"/>
              </w:rPr>
              <w:t>(8,206)</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(7,602)</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current portion</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636,987</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777,885</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Amounts due after one year</w:t>
            </w:r>
          </w:p>
        </w:tc>
        <w:tc>
          <w:tcPr>
            <w:tcW w:w="1840" w:type="dxa"/>
            <w:vAlign w:val="bottom"/>
          </w:tcPr>
          <w:p>
            <w:pPr>
              <w:jc w:val="right"/>
              <w:spacing w:after="0"/>
              <w:rPr>
                <w:sz w:val="20"/>
                <w:szCs w:val="20"/>
                <w:color w:val="auto"/>
              </w:rPr>
            </w:pPr>
            <w:r>
              <w:rPr>
                <w:rFonts w:ascii="Arial" w:cs="Arial" w:eastAsia="Arial" w:hAnsi="Arial"/>
                <w:sz w:val="18"/>
                <w:szCs w:val="18"/>
                <w:color w:val="auto"/>
              </w:rPr>
              <w:t>1,762,580</w:t>
            </w: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1,538,012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7440" w:type="dxa"/>
            <w:vAlign w:val="bottom"/>
            <w:shd w:val="clear" w:color="auto" w:fill="E5FFFF"/>
          </w:tcPr>
          <w:p>
            <w:pPr>
              <w:spacing w:after="0" w:line="256" w:lineRule="exact"/>
              <w:rPr>
                <w:sz w:val="20"/>
                <w:szCs w:val="20"/>
                <w:color w:val="auto"/>
              </w:rPr>
            </w:pPr>
            <w:r>
              <w:rPr>
                <w:rFonts w:ascii="Arial" w:cs="Arial" w:eastAsia="Arial" w:hAnsi="Arial"/>
                <w:sz w:val="18"/>
                <w:szCs w:val="18"/>
                <w:color w:val="auto"/>
              </w:rPr>
              <w:t>Plus: unamortized premium</w:t>
            </w:r>
            <w:r>
              <w:rPr>
                <w:rFonts w:ascii="Arial" w:cs="Arial" w:eastAsia="Arial" w:hAnsi="Arial"/>
                <w:sz w:val="29"/>
                <w:szCs w:val="29"/>
                <w:color w:val="auto"/>
                <w:vertAlign w:val="superscript"/>
              </w:rPr>
              <w:t>(1)</w:t>
            </w: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2,573</w:t>
            </w:r>
          </w:p>
        </w:tc>
        <w:tc>
          <w:tcPr>
            <w:tcW w:w="460" w:type="dxa"/>
            <w:vAlign w:val="bottom"/>
            <w:shd w:val="clear" w:color="auto" w:fill="E5FFFF"/>
          </w:tcPr>
          <w:p>
            <w:pPr>
              <w:spacing w:after="0"/>
              <w:rPr>
                <w:sz w:val="22"/>
                <w:szCs w:val="22"/>
                <w:color w:val="auto"/>
              </w:rPr>
            </w:pPr>
          </w:p>
        </w:tc>
        <w:tc>
          <w:tcPr>
            <w:tcW w:w="16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2,332</w:t>
            </w:r>
          </w:p>
        </w:tc>
        <w:tc>
          <w:tcPr>
            <w:tcW w:w="80" w:type="dxa"/>
            <w:vAlign w:val="bottom"/>
            <w:shd w:val="clear" w:color="auto" w:fill="E5FFFF"/>
          </w:tcPr>
          <w:p>
            <w:pPr>
              <w:spacing w:after="0"/>
              <w:rPr>
                <w:sz w:val="22"/>
                <w:szCs w:val="22"/>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unamortized deferred loan issuance costs</w:t>
            </w:r>
          </w:p>
        </w:tc>
        <w:tc>
          <w:tcPr>
            <w:tcW w:w="2300" w:type="dxa"/>
            <w:vAlign w:val="bottom"/>
            <w:gridSpan w:val="2"/>
          </w:tcPr>
          <w:p>
            <w:pPr>
              <w:jc w:val="right"/>
              <w:ind w:right="400"/>
              <w:spacing w:after="0"/>
              <w:rPr>
                <w:sz w:val="20"/>
                <w:szCs w:val="20"/>
                <w:color w:val="auto"/>
              </w:rPr>
            </w:pPr>
            <w:r>
              <w:rPr>
                <w:rFonts w:ascii="Arial" w:cs="Arial" w:eastAsia="Arial" w:hAnsi="Arial"/>
                <w:sz w:val="18"/>
                <w:szCs w:val="18"/>
                <w:color w:val="auto"/>
              </w:rPr>
              <w:t>(27,653)</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(26,804)</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Borrowings, non-current portion</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1,737,500</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1,513,540</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2,374,487</w:t>
            </w:r>
          </w:p>
        </w:tc>
        <w:tc>
          <w:tcPr>
            <w:tcW w:w="4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2,291,425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Refer to “Senior Unsecured Notes” disclosed below for the premium.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Loans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main terms of the Group’s loan facilities in existence as of December 31, 2015 have been disclosed in the annual audited consolidated financial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statements for the year ended December 31, 2015. Refer to Note 12 “Borrowings”. During the three months ended March 31, 2016, GasLog drew down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$162,967 to partially finance the delivery of the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(three months ended March 31, 2015: $460,000). Also, during the three months ended March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2016, repayments related to the loan facilities of $253,610 (three months ended March 31, 2015: $21,580) were made in accordance with repayment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new agreements were concluded:</w:t>
      </w:r>
    </w:p>
    <w:p>
      <w:pPr>
        <w:spacing w:after="0" w:line="211" w:lineRule="exact"/>
        <w:rPr>
          <w:sz w:val="20"/>
          <w:szCs w:val="20"/>
          <w:color w:val="auto"/>
        </w:rPr>
      </w:pPr>
    </w:p>
    <w:p>
      <w:pPr>
        <w:ind w:left="660" w:right="100" w:hanging="328"/>
        <w:spacing w:after="0" w:line="25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On February 18, 2016, subsidiaries of GasLog and GasLog Partners entered into credit agreements (the “Credit Agreements”) to refinance the debt maturities that were scheduled to become due in 2016 and 2017. The Credit Agreements are comprised of a five-year senior tranche facility of up to $396,500 and a two-year bullet junior tranche of up to $180,000. The vessels covered by the Credit Agreements are the GasLog Partners-owned </w:t>
      </w:r>
      <w:r>
        <w:rPr>
          <w:rFonts w:ascii="Arial" w:cs="Arial" w:eastAsia="Arial" w:hAnsi="Arial"/>
          <w:sz w:val="18"/>
          <w:szCs w:val="18"/>
          <w:i w:val="1"/>
          <w:iCs w:val="1"/>
          <w:color w:val="auto"/>
        </w:rPr>
        <w:t>Methane Alison Victoria</w:t>
      </w:r>
      <w:r>
        <w:rPr>
          <w:rFonts w:ascii="Arial" w:cs="Arial" w:eastAsia="Arial" w:hAnsi="Arial"/>
          <w:sz w:val="18"/>
          <w:szCs w:val="18"/>
          <w:color w:val="auto"/>
        </w:rPr>
        <w:t>,</w:t>
      </w:r>
      <w:r>
        <w:rPr>
          <w:rFonts w:ascii="Arial" w:cs="Arial" w:eastAsia="Arial" w:hAnsi="Arial"/>
          <w:sz w:val="18"/>
          <w:szCs w:val="18"/>
          <w:i w:val="1"/>
          <w:iCs w:val="1"/>
          <w:color w:val="auto"/>
        </w:rPr>
        <w:t xml:space="preserve"> Methane Shirley Elisabeth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Heather Sally </w:t>
      </w:r>
      <w:r>
        <w:rPr>
          <w:rFonts w:ascii="Arial" w:cs="Arial" w:eastAsia="Arial" w:hAnsi="Arial"/>
          <w:sz w:val="18"/>
          <w:szCs w:val="18"/>
          <w:color w:val="auto"/>
        </w:rPr>
        <w:t>and the GasLog-owned</w:t>
      </w:r>
      <w:r>
        <w:rPr>
          <w:rFonts w:ascii="Arial" w:cs="Arial" w:eastAsia="Arial" w:hAnsi="Arial"/>
          <w:sz w:val="18"/>
          <w:szCs w:val="18"/>
          <w:i w:val="1"/>
          <w:iCs w:val="1"/>
          <w:color w:val="auto"/>
        </w:rPr>
        <w:t xml:space="preserve"> Methane Lydon Volney </w:t>
      </w:r>
      <w:r>
        <w:rPr>
          <w:rFonts w:ascii="Arial" w:cs="Arial" w:eastAsia="Arial" w:hAnsi="Arial"/>
          <w:sz w:val="18"/>
          <w:szCs w:val="18"/>
          <w:color w:val="auto"/>
        </w:rPr>
        <w:t>and</w:t>
      </w:r>
      <w:r>
        <w:rPr>
          <w:rFonts w:ascii="Arial" w:cs="Arial" w:eastAsia="Arial" w:hAnsi="Arial"/>
          <w:sz w:val="18"/>
          <w:szCs w:val="18"/>
          <w:i w:val="1"/>
          <w:iCs w:val="1"/>
          <w:color w:val="auto"/>
        </w:rPr>
        <w:t xml:space="preserve"> Methane Becki Anne</w:t>
      </w:r>
      <w:r>
        <w:rPr>
          <w:rFonts w:ascii="Arial" w:cs="Arial" w:eastAsia="Arial" w:hAnsi="Arial"/>
          <w:sz w:val="18"/>
          <w:szCs w:val="18"/>
          <w:color w:val="auto"/>
        </w:rPr>
        <w:t>. ABN AMRO Bank N.V. and DNB (UK) Ltd. were mandated lead arrangers to the transaction. The other banks in the syndicate are: DVB</w:t>
      </w:r>
      <w:r>
        <w:rPr>
          <w:rFonts w:ascii="Arial" w:cs="Arial" w:eastAsia="Arial" w:hAnsi="Arial"/>
          <w:sz w:val="18"/>
          <w:szCs w:val="18"/>
          <w:i w:val="1"/>
          <w:iCs w:val="1"/>
          <w:color w:val="auto"/>
        </w:rPr>
        <w:t xml:space="preserve"> </w:t>
      </w:r>
      <w:r>
        <w:rPr>
          <w:rFonts w:ascii="Arial" w:cs="Arial" w:eastAsia="Arial" w:hAnsi="Arial"/>
          <w:sz w:val="18"/>
          <w:szCs w:val="18"/>
          <w:color w:val="auto"/>
        </w:rPr>
        <w:t>Bank America N.V., Commonwealth Bank of Australia, ING Bank N.V., London Branch, Credit Agricole Corporate and Investment Bank and National Australia Bank Limited. As of March 31, 2016, no amount was drawn under the Credit Agreements. Refer also to Note 17 “Subsequent Events”.</w:t>
      </w:r>
    </w:p>
    <w:p>
      <w:pPr>
        <w:spacing w:after="0" w:line="192" w:lineRule="exact"/>
        <w:rPr>
          <w:rFonts w:ascii="Arial" w:cs="Arial" w:eastAsia="Arial" w:hAnsi="Arial"/>
          <w:sz w:val="18"/>
          <w:szCs w:val="18"/>
          <w:color w:val="auto"/>
        </w:rPr>
      </w:pPr>
    </w:p>
    <w:p>
      <w:pPr>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As of March 31, 2016, commitment, arrangement, coordination, underwriting, structuring, agency and legal fees incurred for obtaining the Credit Agreements of $11,964 are recorded as Deferred financing costs under non-current assets in the statement of financial position and will be reclassified contra to debt on the drawdown date.</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Credit Agreements will be secured as follows: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first priority mortgages over the ships owned by the respective borrowers;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guarantees from GasLog, GasLog Partners, GasLog Carriers and GasLog Partners Holdings LLC;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share charge over the share capital of the respective borrower;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first priority assignment of all earnings and insurance related to the ship owned by the respective borrower.</w:t>
      </w:r>
    </w:p>
    <w:p>
      <w:pPr>
        <w:spacing w:after="0" w:line="211"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The Credit Agreements impose certain operating and financial restrictions on GasLog and GasLog Partners. These restrictions generally limit GasLog’s and GasLog Partners’ collective subsidiaries’ ability to, among other things: (a) incur additional indebtedness, create liens or provide guarantees, (b) provide any form of credit or financial assistance to, or enter into any non-arms’ length transactions with, GasLog or any of its affiliates, (c) sell or otherwise dispose of assets, including GasLog’s ships, (d) engage in merger transactions, (e) enter into, terminate or amend any charter, (f) amend GasLog’s shipbuilding contracts, (g) change the manager of GasLog’s ships, or (h) acquire assets, make investments or enter into any joint venture arrangements outside of the ordinary course of business.</w:t>
      </w:r>
    </w:p>
    <w:p>
      <w:pPr>
        <w:spacing w:after="0" w:line="17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Credit Agreements also impose specified financial covenants that apply to GasLog and GasLog Partners and its subsidiaries on a consolidated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covenants that apply to GasLog and its subsidiaries on a consolidated basis include the following:</w:t>
      </w:r>
    </w:p>
    <w:p>
      <w:pPr>
        <w:spacing w:after="0" w:line="225"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working capital (excluding the current portion of long-term debt) must be not less than $0;</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indebtedness divided by total assets must not exceed 75.0%;</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w:t>
      </w:r>
    </w:p>
    <w:p>
      <w:pPr>
        <w:ind w:left="1300" w:right="360" w:hanging="320"/>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and $50,000 after the first drawdown;</w:t>
      </w:r>
    </w:p>
    <w:p>
      <w:pPr>
        <w:ind w:left="1300" w:right="640" w:hanging="320"/>
        <w:spacing w:after="0" w:line="28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GasLog is permitted to pay dividends, provided that it holds unencumbered cash and cash equivalents equal to at least 4.0% of total indebtedness, subject to no event of default having occurred or occurring as a consequence of the payment of such dividends; and</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GasLog’s market value adjusted net worth must at all times be not less than $350,000.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covenants that apply to GasLog Partners include the following:</w:t>
      </w:r>
    </w:p>
    <w:p>
      <w:pPr>
        <w:spacing w:after="0" w:line="225" w:lineRule="exact"/>
        <w:rPr>
          <w:sz w:val="20"/>
          <w:szCs w:val="20"/>
          <w:color w:val="auto"/>
        </w:rPr>
      </w:pPr>
    </w:p>
    <w:p>
      <w:pPr>
        <w:ind w:left="1300" w:right="480" w:hanging="320"/>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amount of all unencumbered cash and cash equivalents must be not less than the higher of 3.0% of total indebtedness or $15,000;</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indebtedness divided by total assets must be less than 60.0%;</w:t>
      </w:r>
    </w:p>
    <w:p>
      <w:pPr>
        <w:spacing w:after="0" w:line="9" w:lineRule="exact"/>
        <w:rPr>
          <w:rFonts w:ascii="Arial" w:cs="Arial" w:eastAsia="Arial" w:hAnsi="Arial"/>
          <w:sz w:val="18"/>
          <w:szCs w:val="18"/>
          <w:color w:val="auto"/>
        </w:rPr>
      </w:pPr>
    </w:p>
    <w:p>
      <w:pPr>
        <w:ind w:left="1300" w:right="22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ratio of EBITDA over debt service obligations (including interest and debt repayments) on a trailing 12 months basis must be not less than 110.0%; and</w:t>
      </w:r>
    </w:p>
    <w:p>
      <w:pPr>
        <w:ind w:left="1300" w:right="60" w:hanging="320"/>
        <w:spacing w:after="0" w:line="26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GasLog Partners is permitted to declare or pay any dividends or distributions, subject to no event of default having occurred or occurring as a consequence of the payment of such dividends or distributions.</w:t>
      </w:r>
    </w:p>
    <w:p>
      <w:pPr>
        <w:sectPr>
          <w:pgSz w:w="11900" w:h="16838" w:orient="portrait"/>
          <w:cols w:equalWidth="0" w:num="1">
            <w:col w:w="11420"/>
          </w:cols>
          <w:pgMar w:left="240" w:top="405"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660" w:right="100"/>
        <w:spacing w:after="0" w:line="259" w:lineRule="auto"/>
        <w:rPr>
          <w:sz w:val="20"/>
          <w:szCs w:val="20"/>
          <w:color w:val="auto"/>
        </w:rPr>
      </w:pPr>
      <w:r>
        <w:rPr>
          <w:rFonts w:ascii="Arial" w:cs="Arial" w:eastAsia="Arial" w:hAnsi="Arial"/>
          <w:sz w:val="18"/>
          <w:szCs w:val="18"/>
          <w:color w:val="auto"/>
        </w:rPr>
        <w:t>The Credit Agreements also impose certain restrictions relating to GasLog and GasLog Partners, and their other subsidiaries, including restrictions that limit GasLog’s and GasLog Partners’ ability to make any substantial change in the nature of GasLog’s or GasLog Partners’ business or to engage in transactions that would constitute a change of control, as defined in the Credit Agreements, without repaying all of GasLog’s and GasLog Partners’ indebtedness under the Credit Agreements in full.</w:t>
      </w:r>
    </w:p>
    <w:p>
      <w:pPr>
        <w:spacing w:after="0" w:line="187" w:lineRule="exact"/>
        <w:rPr>
          <w:sz w:val="20"/>
          <w:szCs w:val="20"/>
          <w:color w:val="auto"/>
        </w:rPr>
      </w:pPr>
    </w:p>
    <w:p>
      <w:pPr>
        <w:ind w:left="660" w:right="200"/>
        <w:spacing w:after="0" w:line="291" w:lineRule="auto"/>
        <w:rPr>
          <w:sz w:val="20"/>
          <w:szCs w:val="20"/>
          <w:color w:val="auto"/>
        </w:rPr>
      </w:pPr>
      <w:r>
        <w:rPr>
          <w:rFonts w:ascii="Arial" w:cs="Arial" w:eastAsia="Arial" w:hAnsi="Arial"/>
          <w:sz w:val="16"/>
          <w:szCs w:val="16"/>
          <w:color w:val="auto"/>
        </w:rPr>
        <w:t>The Credit Agreements contain customary events of default, including nonpayment of principal or interest, breach of covenants or material inaccuracy of representations, default under other material indebtedness and bankruptcy. In addition, they contain covenants requiring GasLog, GasLog Partners and certain of their subsidiaries to maintain the aggregate of (i) the market value, on a charter exclusive basis, of the mortgaged vessel or vessels and (ii) the market value of any additional security provided to the lenders, at not less than 115.0% until the maturity of the junior tranche, and 120.0% at any time thereafter, of the then outstanding amount under the applicable facility and any related swap exposure. If GasLog and GasLog Partners fail to comply with these covenants and are not able to obtain covenant waivers or modifications, the lenders could require prepayments or additional collateral sufficient for the compliance with such covenants, otherwise indebtedness could be accelerated.</w:t>
      </w:r>
    </w:p>
    <w:p>
      <w:pPr>
        <w:spacing w:after="0" w:line="167" w:lineRule="exact"/>
        <w:rPr>
          <w:sz w:val="20"/>
          <w:szCs w:val="20"/>
          <w:color w:val="auto"/>
        </w:rPr>
      </w:pPr>
    </w:p>
    <w:p>
      <w:pPr>
        <w:ind w:left="660" w:right="220" w:hanging="328"/>
        <w:spacing w:after="0" w:line="27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On February 24, 2016, following the completion of the sale and leaseback of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(Note 5), $162,500 was prepaid into the senior secured term loan facility of up to $325,000 with ABN Amro Bank N.V., Commonwealth Bank of Australia, Credit Agricole Corporate and Investment Bank, Deutsche Bank AG Filiale Deutschlandgeschäft, DNB Bank ASA, London Branch and ING Bank N.V., London Branch and $67,500 was prepaid into the subordinated term loan facility of up to $135,000 with ABN Amro Bank N.V., Credit Agricole Corporate and Investment Bank, Deutsche Bank AG Filiale Deutschlandgeschäft and DNB Bank ASA, London Branch.</w:t>
      </w:r>
    </w:p>
    <w:p>
      <w:pPr>
        <w:spacing w:after="0" w:line="172"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February 25, 2016, a supplemental deed was signed with the lenders of the GAS-eight Ltd., GAS-nine Ltd. and GAS-ten Ltd. loan facility, permitting GasLog to withdraw the $21,000 maintained in blocked accounts for each of GAS-nine Ltd. and GAS-ten Ltd., provided GasLog has an executed guarantee or letter of credit with a minimum duration of six months. In connection with this, on February 26, 2016, GasLog entered into two bank guarantees, issued by BNP Paribas S.A. for GAS-nine Ltd. and GAS-ten Ltd. of $21,000 each (refer to Note 11). The bank guarantees bear interest at a margin and are available for a period of up to two years.</w:t>
      </w:r>
    </w:p>
    <w:p>
      <w:pPr>
        <w:spacing w:after="0" w:line="18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carrying amount of the Group’s bank debt recognized in the unaudited condensed consolidated financial statements approximates its fair value after adjusting for the unamortized loan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main terms of the Group’s senior unsecured bonds have been disclosed in the annual audited consolidated financial statements for the year ended December 31, 2015. Refer to Note 12 “Borrowings”. The carrying amount of the bonds, net of unamortized financing costs and unamortized premium, as of March 31, 2016 is $118,689 while its fair value is $112,758 based on a USD/NOK exchange rate of 0.1201 as of March 31, 2016.</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Group was in compliance with the covenants under the NOK bond agreement as of 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Group has the following balances with related parties which have been included in the unaudited condensed consolidated statements of financial position: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Dividends receivable and due from related parties</w:t>
            </w: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2015</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Dividends receivable from associate</w:t>
            </w:r>
          </w:p>
        </w:tc>
        <w:tc>
          <w:tcPr>
            <w:tcW w:w="18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925</w:t>
            </w: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Due from the Cool Pool</w:t>
            </w:r>
          </w:p>
        </w:tc>
        <w:tc>
          <w:tcPr>
            <w:tcW w:w="2300" w:type="dxa"/>
            <w:vAlign w:val="bottom"/>
            <w:gridSpan w:val="2"/>
          </w:tcPr>
          <w:p>
            <w:pPr>
              <w:jc w:val="right"/>
              <w:ind w:right="460"/>
              <w:spacing w:after="0"/>
              <w:rPr>
                <w:sz w:val="20"/>
                <w:szCs w:val="20"/>
                <w:color w:val="auto"/>
              </w:rPr>
            </w:pPr>
            <w:r>
              <w:rPr>
                <w:rFonts w:ascii="Arial" w:cs="Arial" w:eastAsia="Arial" w:hAnsi="Arial"/>
                <w:sz w:val="18"/>
                <w:szCs w:val="18"/>
                <w:color w:val="auto"/>
              </w:rPr>
              <w:t>249</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Other receivables</w:t>
            </w:r>
          </w:p>
        </w:tc>
        <w:tc>
          <w:tcPr>
            <w:tcW w:w="23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171</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w:t>
            </w:r>
          </w:p>
        </w:tc>
        <w:tc>
          <w:tcPr>
            <w:tcW w:w="4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Current Liabilities</w:t>
            </w: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40" w:type="dxa"/>
            <w:vAlign w:val="bottom"/>
            <w:vMerge w:val="restart"/>
          </w:tcPr>
          <w:p>
            <w:pPr>
              <w:spacing w:after="0"/>
              <w:rPr>
                <w:sz w:val="20"/>
                <w:szCs w:val="20"/>
                <w:color w:val="auto"/>
              </w:rPr>
            </w:pPr>
            <w:r>
              <w:rPr>
                <w:rFonts w:ascii="Arial" w:cs="Arial" w:eastAsia="Arial" w:hAnsi="Arial"/>
                <w:sz w:val="18"/>
                <w:szCs w:val="18"/>
                <w:color w:val="auto"/>
              </w:rPr>
              <w:t>Ship management creditors</w:t>
            </w: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2015</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195"/>
        </w:trPr>
        <w:tc>
          <w:tcPr>
            <w:tcW w:w="7440" w:type="dxa"/>
            <w:vAlign w:val="bottom"/>
            <w:vMerge w:val="continue"/>
          </w:tcPr>
          <w:p>
            <w:pPr>
              <w:spacing w:after="0"/>
              <w:rPr>
                <w:sz w:val="16"/>
                <w:szCs w:val="16"/>
                <w:color w:val="auto"/>
              </w:rPr>
            </w:pPr>
          </w:p>
        </w:tc>
        <w:tc>
          <w:tcPr>
            <w:tcW w:w="1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w:t>
            </w:r>
          </w:p>
        </w:tc>
        <w:tc>
          <w:tcPr>
            <w:tcW w:w="460" w:type="dxa"/>
            <w:vAlign w:val="bottom"/>
          </w:tcPr>
          <w:p>
            <w:pPr>
              <w:spacing w:after="0"/>
              <w:rPr>
                <w:sz w:val="16"/>
                <w:szCs w:val="16"/>
                <w:color w:val="auto"/>
              </w:rPr>
            </w:pPr>
          </w:p>
        </w:tc>
        <w:tc>
          <w:tcPr>
            <w:tcW w:w="1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300" w:type="dxa"/>
            <w:vAlign w:val="bottom"/>
            <w:gridSpan w:val="2"/>
          </w:tcPr>
          <w:p>
            <w:pPr>
              <w:jc w:val="right"/>
              <w:ind w:right="460"/>
              <w:spacing w:after="0"/>
              <w:rPr>
                <w:sz w:val="20"/>
                <w:szCs w:val="20"/>
                <w:color w:val="auto"/>
              </w:rPr>
            </w:pPr>
            <w:r>
              <w:rPr>
                <w:rFonts w:ascii="Arial" w:cs="Arial" w:eastAsia="Arial" w:hAnsi="Arial"/>
                <w:sz w:val="18"/>
                <w:szCs w:val="18"/>
                <w:color w:val="auto"/>
              </w:rPr>
              <w:t>163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Ship management creditors’ liability comprises cash collected from Egypt LNG Shipping Ltd. to cover the obligations of its vessel under the Group’s management.</w:t>
      </w:r>
    </w:p>
    <w:p>
      <w:pPr>
        <w:spacing w:after="0" w:line="170"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Amounts due to related parties of $147 as of March 31, 2016 (December 31, 2015: $163) represent payables to other related parties for the office lease and other operating expenses.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connection with the aforementioned sale and leaseback transaction (Note 5), GasLog entered into a consulting agreement with Unisea Maritime Ltd., an affiliate of Ceres Shipping, under the terms of which GasLog agreed to pay a brokerage commission fee equal to 0.25% of the agreed charter rates under the sale and leaseback transaction plus reasonable expenses (incurred in line with the Group policies). The brokerage commission fee of $430 was paid in advance for the full 20-year period of the bareboat charter.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8. General and Administrative Expenses</w:t>
            </w: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An analysis of general and administrative expenses is as follows:</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40" w:type="dxa"/>
            <w:vAlign w:val="bottom"/>
            <w:gridSpan w:val="4"/>
          </w:tcPr>
          <w:p>
            <w:pPr>
              <w:ind w:left="140"/>
              <w:spacing w:after="0"/>
              <w:rPr>
                <w:sz w:val="20"/>
                <w:szCs w:val="20"/>
                <w:color w:val="auto"/>
              </w:rPr>
            </w:pPr>
            <w:r>
              <w:rPr>
                <w:rFonts w:ascii="Arial" w:cs="Arial" w:eastAsia="Arial" w:hAnsi="Arial"/>
                <w:sz w:val="18"/>
                <w:szCs w:val="18"/>
                <w:b w:val="1"/>
                <w:bCs w:val="1"/>
                <w:color w:val="auto"/>
              </w:rPr>
              <w:t>March 31, 2015</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Employee costs</w:t>
            </w:r>
          </w:p>
        </w:tc>
        <w:tc>
          <w:tcPr>
            <w:tcW w:w="46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4,306</w:t>
            </w:r>
          </w:p>
        </w:tc>
        <w:tc>
          <w:tcPr>
            <w:tcW w:w="3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Board of directors’ fees</w:t>
            </w:r>
          </w:p>
        </w:tc>
        <w:tc>
          <w:tcPr>
            <w:tcW w:w="2300" w:type="dxa"/>
            <w:vAlign w:val="bottom"/>
            <w:gridSpan w:val="4"/>
          </w:tcPr>
          <w:p>
            <w:pPr>
              <w:jc w:val="right"/>
              <w:ind w:right="34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Share-based compensation</w:t>
            </w:r>
          </w:p>
        </w:tc>
        <w:tc>
          <w:tcPr>
            <w:tcW w:w="2300" w:type="dxa"/>
            <w:vAlign w:val="bottom"/>
            <w:gridSpan w:val="4"/>
            <w:shd w:val="clear" w:color="auto" w:fill="E5FFFF"/>
          </w:tcPr>
          <w:p>
            <w:pPr>
              <w:jc w:val="right"/>
              <w:ind w:right="34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Rent and utilities</w:t>
            </w:r>
          </w:p>
        </w:tc>
        <w:tc>
          <w:tcPr>
            <w:tcW w:w="2300" w:type="dxa"/>
            <w:vAlign w:val="bottom"/>
            <w:gridSpan w:val="4"/>
          </w:tcPr>
          <w:p>
            <w:pPr>
              <w:jc w:val="right"/>
              <w:ind w:right="34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Travel and accommodation</w:t>
            </w:r>
          </w:p>
        </w:tc>
        <w:tc>
          <w:tcPr>
            <w:tcW w:w="2300" w:type="dxa"/>
            <w:vAlign w:val="bottom"/>
            <w:gridSpan w:val="4"/>
            <w:shd w:val="clear" w:color="auto" w:fill="E5FFFF"/>
          </w:tcPr>
          <w:p>
            <w:pPr>
              <w:jc w:val="right"/>
              <w:ind w:right="34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300" w:type="dxa"/>
            <w:vAlign w:val="bottom"/>
            <w:gridSpan w:val="4"/>
          </w:tcPr>
          <w:p>
            <w:pPr>
              <w:jc w:val="right"/>
              <w:ind w:right="34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differences, net</w:t>
            </w:r>
          </w:p>
        </w:tc>
        <w:tc>
          <w:tcPr>
            <w:tcW w:w="2300" w:type="dxa"/>
            <w:vAlign w:val="bottom"/>
            <w:gridSpan w:val="4"/>
            <w:shd w:val="clear" w:color="auto" w:fill="E5FFFF"/>
          </w:tcPr>
          <w:p>
            <w:pPr>
              <w:jc w:val="right"/>
              <w:ind w:right="340"/>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expenses</w:t>
            </w:r>
          </w:p>
        </w:tc>
        <w:tc>
          <w:tcPr>
            <w:tcW w:w="2300" w:type="dxa"/>
            <w:vAlign w:val="bottom"/>
            <w:gridSpan w:val="4"/>
          </w:tcPr>
          <w:p>
            <w:pPr>
              <w:jc w:val="right"/>
              <w:ind w:right="34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50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11,159</w:t>
            </w: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8,734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9. Other Payables and Accruals</w:t>
            </w:r>
          </w:p>
        </w:tc>
        <w:tc>
          <w:tcPr>
            <w:tcW w:w="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An analysis of other payables and accruals is as follows:</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4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2015</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March 31, 2016</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Social contributions</w:t>
            </w:r>
          </w:p>
        </w:tc>
        <w:tc>
          <w:tcPr>
            <w:tcW w:w="18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auto"/>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Unearned revenue</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30,159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legal and professional fees</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board of directors’ fees</w:t>
            </w:r>
          </w:p>
        </w:tc>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employee costs</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4,955</w:t>
            </w: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off-hire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3,781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crew costs</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5,244</w:t>
            </w: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4,992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purchases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6,207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financing costs</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interest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Accrued brokerage commission on vessels’ acquisition</w:t>
            </w:r>
          </w:p>
        </w:tc>
        <w:tc>
          <w:tcPr>
            <w:tcW w:w="18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accruals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67,084</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340" w:type="dxa"/>
            <w:vAlign w:val="bottom"/>
            <w:tcBorders>
              <w:top w:val="single" w:sz="8" w:color="E5FFFF"/>
              <w:bottom w:val="single" w:sz="8" w:color="E5FFFF"/>
            </w:tcBorders>
            <w:shd w:val="clear" w:color="auto" w:fill="E5FFFF"/>
          </w:tcPr>
          <w:p>
            <w:pPr>
              <w:spacing w:after="0"/>
              <w:rPr>
                <w:sz w:val="19"/>
                <w:szCs w:val="19"/>
                <w:color w:val="auto"/>
              </w:rPr>
            </w:pPr>
          </w:p>
        </w:tc>
        <w:tc>
          <w:tcPr>
            <w:tcW w:w="100" w:type="dxa"/>
            <w:vAlign w:val="bottom"/>
            <w:tcBorders>
              <w:top w:val="single" w:sz="8" w:color="auto"/>
              <w:bottom w:val="single" w:sz="8" w:color="auto"/>
            </w:tcBorders>
            <w:shd w:val="clear" w:color="auto" w:fill="E5FFFF"/>
          </w:tcPr>
          <w:p>
            <w:pPr>
              <w:spacing w:after="0"/>
              <w:rPr>
                <w:sz w:val="19"/>
                <w:szCs w:val="19"/>
                <w:color w:val="auto"/>
              </w:rPr>
            </w:pP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67,655</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 and Preferred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GasLog’s authorized share capital consists of 500,000,000 shares with a par value of $0.01 per share.</w:t>
      </w:r>
    </w:p>
    <w:p>
      <w:pPr>
        <w:spacing w:after="0" w:line="225"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As of March 31, 2016, the share capital consisted of 80,496,499 issued and outstanding common shares, par value $0.01 per share, 496,627 treasury shares and 4,600,000 preference shares. The movements in the number of shares, the share capital, the preferred stock, the contributed surplus and the treasury shares are reported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4"/>
              </w:rPr>
              <w:t>Number of Shares</w:t>
            </w:r>
          </w:p>
        </w:tc>
        <w:tc>
          <w:tcPr>
            <w:tcW w:w="13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Amounts</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60"/>
              <w:spacing w:after="0" w:line="205" w:lineRule="exact"/>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7"/>
                <w:szCs w:val="17"/>
                <w:color w:val="auto"/>
              </w:rPr>
            </w:pPr>
          </w:p>
        </w:tc>
        <w:tc>
          <w:tcPr>
            <w:tcW w:w="1480" w:type="dxa"/>
            <w:vAlign w:val="bottom"/>
            <w:gridSpan w:val="2"/>
          </w:tcPr>
          <w:p>
            <w:pPr>
              <w:ind w:left="180"/>
              <w:spacing w:after="0" w:line="205" w:lineRule="exact"/>
              <w:rPr>
                <w:sz w:val="20"/>
                <w:szCs w:val="20"/>
                <w:color w:val="auto"/>
              </w:rPr>
            </w:pPr>
            <w:r>
              <w:rPr>
                <w:rFonts w:ascii="Arial" w:cs="Arial" w:eastAsia="Arial" w:hAnsi="Arial"/>
                <w:sz w:val="18"/>
                <w:szCs w:val="18"/>
                <w:b w:val="1"/>
                <w:bCs w:val="1"/>
                <w:color w:val="auto"/>
              </w:rPr>
              <w:t>Number of</w:t>
            </w:r>
          </w:p>
        </w:tc>
        <w:tc>
          <w:tcPr>
            <w:tcW w:w="13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Preferred</w:t>
            </w:r>
          </w:p>
        </w:tc>
        <w:tc>
          <w:tcPr>
            <w:tcW w:w="1320" w:type="dxa"/>
            <w:vAlign w:val="bottom"/>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6"/>
              </w:rPr>
              <w:t>Contributed</w:t>
            </w:r>
          </w:p>
        </w:tc>
        <w:tc>
          <w:tcPr>
            <w:tcW w:w="980" w:type="dxa"/>
            <w:vAlign w:val="bottom"/>
          </w:tcPr>
          <w:p>
            <w:pPr>
              <w:jc w:val="right"/>
              <w:ind w:right="50"/>
              <w:spacing w:after="0" w:line="205" w:lineRule="exact"/>
              <w:rPr>
                <w:sz w:val="20"/>
                <w:szCs w:val="20"/>
                <w:color w:val="auto"/>
              </w:rPr>
            </w:pPr>
            <w:r>
              <w:rPr>
                <w:rFonts w:ascii="Arial" w:cs="Arial" w:eastAsia="Arial" w:hAnsi="Arial"/>
                <w:sz w:val="18"/>
                <w:szCs w:val="18"/>
                <w:b w:val="1"/>
                <w:bCs w:val="1"/>
                <w:color w:val="auto"/>
              </w:rPr>
              <w:t>Treasury</w:t>
            </w:r>
          </w:p>
        </w:tc>
        <w:tc>
          <w:tcPr>
            <w:tcW w:w="100" w:type="dxa"/>
            <w:vAlign w:val="bottom"/>
          </w:tcPr>
          <w:p>
            <w:pPr>
              <w:spacing w:after="0"/>
              <w:rPr>
                <w:sz w:val="17"/>
                <w:szCs w:val="17"/>
                <w:color w:val="auto"/>
              </w:rPr>
            </w:pPr>
          </w:p>
        </w:tc>
      </w:tr>
      <w:tr>
        <w:trPr>
          <w:trHeight w:val="234"/>
        </w:trPr>
        <w:tc>
          <w:tcPr>
            <w:tcW w:w="1720" w:type="dxa"/>
            <w:vAlign w:val="bottom"/>
          </w:tcPr>
          <w:p>
            <w:pPr>
              <w:spacing w:after="0"/>
              <w:rPr>
                <w:sz w:val="20"/>
                <w:szCs w:val="20"/>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5"/>
              </w:rPr>
              <w:t>common shares</w:t>
            </w:r>
          </w:p>
        </w:tc>
        <w:tc>
          <w:tcPr>
            <w:tcW w:w="14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treasury shares</w:t>
            </w: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Preference Shares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Share capital</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stock</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surplus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r>
      <w:tr>
        <w:trPr>
          <w:trHeight w:val="178"/>
        </w:trPr>
        <w:tc>
          <w:tcPr>
            <w:tcW w:w="172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Outstanding as of</w:t>
            </w:r>
          </w:p>
        </w:tc>
        <w:tc>
          <w:tcPr>
            <w:tcW w:w="12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48"/>
        </w:trPr>
        <w:tc>
          <w:tcPr>
            <w:tcW w:w="172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January 1, 2016</w:t>
            </w:r>
          </w:p>
        </w:tc>
        <w:tc>
          <w:tcPr>
            <w:tcW w:w="144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80,496,499</w:t>
            </w:r>
          </w:p>
        </w:tc>
        <w:tc>
          <w:tcPr>
            <w:tcW w:w="16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496,627</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4,600,000</w:t>
            </w:r>
          </w:p>
        </w:tc>
        <w:tc>
          <w:tcPr>
            <w:tcW w:w="13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810</w:t>
            </w:r>
          </w:p>
        </w:tc>
        <w:tc>
          <w:tcPr>
            <w:tcW w:w="980" w:type="dxa"/>
            <w:vAlign w:val="bottom"/>
            <w:shd w:val="clear" w:color="auto" w:fill="E5FFFF"/>
          </w:tcPr>
          <w:p>
            <w:pPr>
              <w:ind w:left="800"/>
              <w:spacing w:after="0"/>
              <w:rPr>
                <w:sz w:val="20"/>
                <w:szCs w:val="20"/>
                <w:color w:val="auto"/>
              </w:rPr>
            </w:pPr>
            <w:r>
              <w:rPr>
                <w:rFonts w:ascii="Arial" w:cs="Arial" w:eastAsia="Arial" w:hAnsi="Arial"/>
                <w:sz w:val="18"/>
                <w:szCs w:val="18"/>
                <w:b w:val="1"/>
                <w:bCs w:val="1"/>
                <w:color w:val="auto"/>
                <w:w w:val="79"/>
              </w:rPr>
              <w:t>46</w:t>
            </w:r>
          </w:p>
        </w:tc>
        <w:tc>
          <w:tcPr>
            <w:tcW w:w="2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1,020,292</w:t>
            </w:r>
          </w:p>
        </w:tc>
        <w:tc>
          <w:tcPr>
            <w:tcW w:w="30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(12,491)</w:t>
            </w:r>
          </w:p>
        </w:tc>
      </w:tr>
      <w:tr>
        <w:trPr>
          <w:trHeight w:val="182"/>
        </w:trPr>
        <w:tc>
          <w:tcPr>
            <w:tcW w:w="1720" w:type="dxa"/>
            <w:vAlign w:val="bottom"/>
          </w:tcPr>
          <w:p>
            <w:pPr>
              <w:spacing w:after="0" w:line="182" w:lineRule="exact"/>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rPr>
              <w:t>deducted from</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w w:val="97"/>
              </w:rPr>
              <w:t>Contributed surplus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20" w:type="dxa"/>
            <w:vAlign w:val="bottom"/>
          </w:tcPr>
          <w:p>
            <w:pPr>
              <w:ind w:left="180"/>
              <w:spacing w:after="0"/>
              <w:rPr>
                <w:sz w:val="20"/>
                <w:szCs w:val="20"/>
                <w:color w:val="auto"/>
              </w:rPr>
            </w:pPr>
            <w:r>
              <w:rPr>
                <w:rFonts w:ascii="Arial" w:cs="Arial" w:eastAsia="Arial" w:hAnsi="Arial"/>
                <w:sz w:val="18"/>
                <w:szCs w:val="18"/>
                <w:color w:val="auto"/>
                <w:w w:val="96"/>
              </w:rPr>
              <w:t>due to accumulated</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720" w:type="dxa"/>
            <w:vAlign w:val="bottom"/>
          </w:tcPr>
          <w:p>
            <w:pPr>
              <w:ind w:left="18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(11,939)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78"/>
        </w:trPr>
        <w:tc>
          <w:tcPr>
            <w:tcW w:w="1720" w:type="dxa"/>
            <w:vAlign w:val="bottom"/>
            <w:tcBorders>
              <w:top w:val="single" w:sz="8" w:color="E5FFFF"/>
            </w:tcBorders>
            <w:shd w:val="clear" w:color="auto" w:fill="E5FFFF"/>
          </w:tcPr>
          <w:p>
            <w:pPr>
              <w:spacing w:after="0" w:line="178" w:lineRule="exact"/>
              <w:rPr>
                <w:sz w:val="20"/>
                <w:szCs w:val="20"/>
                <w:color w:val="auto"/>
              </w:rPr>
            </w:pPr>
            <w:r>
              <w:rPr>
                <w:rFonts w:ascii="Arial" w:cs="Arial" w:eastAsia="Arial" w:hAnsi="Arial"/>
                <w:sz w:val="18"/>
                <w:szCs w:val="18"/>
                <w:b w:val="1"/>
                <w:bCs w:val="1"/>
                <w:color w:val="auto"/>
              </w:rPr>
              <w:t>Outstanding as of</w:t>
            </w:r>
          </w:p>
        </w:tc>
        <w:tc>
          <w:tcPr>
            <w:tcW w:w="12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40" w:type="dxa"/>
            <w:vAlign w:val="bottom"/>
            <w:tcBorders>
              <w:top w:val="single" w:sz="8" w:color="E5FFFF"/>
            </w:tcBorders>
            <w:shd w:val="clear" w:color="auto" w:fill="E5FFFF"/>
          </w:tcPr>
          <w:p>
            <w:pPr>
              <w:spacing w:after="0"/>
              <w:rPr>
                <w:sz w:val="15"/>
                <w:szCs w:val="15"/>
                <w:color w:val="auto"/>
              </w:rPr>
            </w:pPr>
          </w:p>
        </w:tc>
        <w:tc>
          <w:tcPr>
            <w:tcW w:w="118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38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100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280" w:type="dxa"/>
            <w:vAlign w:val="bottom"/>
            <w:tcBorders>
              <w:top w:val="single" w:sz="8" w:color="E5FFFF"/>
            </w:tcBorders>
            <w:shd w:val="clear" w:color="auto" w:fill="E5FFFF"/>
          </w:tcPr>
          <w:p>
            <w:pPr>
              <w:spacing w:after="0"/>
              <w:rPr>
                <w:sz w:val="15"/>
                <w:szCs w:val="15"/>
                <w:color w:val="auto"/>
              </w:rPr>
            </w:pPr>
          </w:p>
        </w:tc>
        <w:tc>
          <w:tcPr>
            <w:tcW w:w="1020" w:type="dxa"/>
            <w:vAlign w:val="bottom"/>
            <w:tcBorders>
              <w:top w:val="single" w:sz="8" w:color="auto"/>
            </w:tcBorders>
            <w:shd w:val="clear" w:color="auto" w:fill="E5FFFF"/>
          </w:tcPr>
          <w:p>
            <w:pPr>
              <w:spacing w:after="0"/>
              <w:rPr>
                <w:sz w:val="15"/>
                <w:szCs w:val="15"/>
                <w:color w:val="auto"/>
              </w:rPr>
            </w:pPr>
          </w:p>
        </w:tc>
        <w:tc>
          <w:tcPr>
            <w:tcW w:w="3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r>
      <w:tr>
        <w:trPr>
          <w:trHeight w:val="261"/>
        </w:trPr>
        <w:tc>
          <w:tcPr>
            <w:tcW w:w="1720" w:type="dxa"/>
            <w:vAlign w:val="bottom"/>
            <w:shd w:val="clear" w:color="auto" w:fill="E5FFFF"/>
          </w:tcPr>
          <w:p>
            <w:pPr>
              <w:ind w:left="180"/>
              <w:spacing w:after="0"/>
              <w:rPr>
                <w:sz w:val="20"/>
                <w:szCs w:val="20"/>
                <w:color w:val="auto"/>
              </w:rPr>
            </w:pPr>
            <w:r>
              <w:rPr>
                <w:rFonts w:ascii="Arial" w:cs="Arial" w:eastAsia="Arial" w:hAnsi="Arial"/>
                <w:sz w:val="18"/>
                <w:szCs w:val="18"/>
                <w:b w:val="1"/>
                <w:bCs w:val="1"/>
                <w:color w:val="auto"/>
              </w:rPr>
              <w:t>March 31, 2016</w:t>
            </w:r>
          </w:p>
        </w:tc>
        <w:tc>
          <w:tcPr>
            <w:tcW w:w="1440" w:type="dxa"/>
            <w:vAlign w:val="bottom"/>
            <w:gridSpan w:val="3"/>
            <w:shd w:val="clear" w:color="auto" w:fill="E5FFFF"/>
          </w:tcPr>
          <w:p>
            <w:pPr>
              <w:jc w:val="right"/>
              <w:ind w:right="140"/>
              <w:spacing w:after="0"/>
              <w:rPr>
                <w:sz w:val="20"/>
                <w:szCs w:val="20"/>
                <w:color w:val="auto"/>
              </w:rPr>
            </w:pPr>
            <w:r>
              <w:rPr>
                <w:rFonts w:ascii="Arial" w:cs="Arial" w:eastAsia="Arial" w:hAnsi="Arial"/>
                <w:sz w:val="18"/>
                <w:szCs w:val="18"/>
                <w:b w:val="1"/>
                <w:bCs w:val="1"/>
                <w:color w:val="auto"/>
              </w:rPr>
              <w:t>80,496,499</w:t>
            </w:r>
          </w:p>
        </w:tc>
        <w:tc>
          <w:tcPr>
            <w:tcW w:w="1620" w:type="dxa"/>
            <w:vAlign w:val="bottom"/>
            <w:gridSpan w:val="3"/>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496,627</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4,600,000</w:t>
            </w:r>
          </w:p>
        </w:tc>
        <w:tc>
          <w:tcPr>
            <w:tcW w:w="13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b w:val="1"/>
                <w:bCs w:val="1"/>
                <w:color w:val="auto"/>
              </w:rPr>
              <w:t>810</w:t>
            </w:r>
          </w:p>
        </w:tc>
        <w:tc>
          <w:tcPr>
            <w:tcW w:w="980" w:type="dxa"/>
            <w:vAlign w:val="bottom"/>
            <w:shd w:val="clear" w:color="auto" w:fill="E5FFFF"/>
          </w:tcPr>
          <w:p>
            <w:pPr>
              <w:ind w:left="800"/>
              <w:spacing w:after="0"/>
              <w:rPr>
                <w:sz w:val="20"/>
                <w:szCs w:val="20"/>
                <w:color w:val="auto"/>
              </w:rPr>
            </w:pPr>
            <w:r>
              <w:rPr>
                <w:rFonts w:ascii="Arial" w:cs="Arial" w:eastAsia="Arial" w:hAnsi="Arial"/>
                <w:sz w:val="18"/>
                <w:szCs w:val="18"/>
                <w:b w:val="1"/>
                <w:bCs w:val="1"/>
                <w:color w:val="auto"/>
                <w:w w:val="79"/>
              </w:rPr>
              <w:t>46</w:t>
            </w:r>
          </w:p>
        </w:tc>
        <w:tc>
          <w:tcPr>
            <w:tcW w:w="280" w:type="dxa"/>
            <w:vAlign w:val="bottom"/>
            <w:shd w:val="clear" w:color="auto" w:fill="E5FFFF"/>
          </w:tcPr>
          <w:p>
            <w:pPr>
              <w:spacing w:after="0"/>
              <w:rPr>
                <w:sz w:val="22"/>
                <w:szCs w:val="22"/>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8"/>
                <w:szCs w:val="18"/>
                <w:b w:val="1"/>
                <w:bCs w:val="1"/>
                <w:color w:val="auto"/>
              </w:rPr>
              <w:t>1,008,353</w:t>
            </w:r>
          </w:p>
        </w:tc>
        <w:tc>
          <w:tcPr>
            <w:tcW w:w="300" w:type="dxa"/>
            <w:vAlign w:val="bottom"/>
            <w:shd w:val="clear" w:color="auto" w:fill="E5FFFF"/>
          </w:tcPr>
          <w:p>
            <w:pPr>
              <w:spacing w:after="0"/>
              <w:rPr>
                <w:sz w:val="22"/>
                <w:szCs w:val="22"/>
                <w:color w:val="auto"/>
              </w:rPr>
            </w:pPr>
          </w:p>
        </w:tc>
        <w:tc>
          <w:tcPr>
            <w:tcW w:w="10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b w:val="1"/>
                <w:bCs w:val="1"/>
                <w:color w:val="auto"/>
              </w:rPr>
              <w:t>(12,491)</w:t>
            </w:r>
          </w:p>
        </w:tc>
      </w:tr>
      <w:tr>
        <w:trPr>
          <w:trHeight w:val="20"/>
        </w:trPr>
        <w:tc>
          <w:tcPr>
            <w:tcW w:w="17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treasury shares were acquired by GasLog in 2014 in relation to the share-based compensation (Note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On February 24, 2016 the board of directors declared a quarterly cash dividend of $0.14 per common share which was paid on March 17, 2016 to shareholders of record as of March 7, 2016 for a total amount of $11,270.</w:t>
      </w:r>
    </w:p>
    <w:p>
      <w:pPr>
        <w:spacing w:after="0" w:line="170"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On March 11, 2016, the board of directors declared a dividend on the Preference Shares of $0.546875 per share or $2,515 in the aggregate payable on April 1, 2016 to holders of record as of March 31, 2016. GasLog paid the declared dividend to the transfer agent on March 30,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072"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r>
              <w:rPr>
                <w:rFonts w:ascii="Arial" w:cs="Arial" w:eastAsia="Arial" w:hAnsi="Arial"/>
                <w:sz w:val="18"/>
                <w:szCs w:val="18"/>
                <w:b w:val="1"/>
                <w:bCs w:val="1"/>
                <w:color w:val="auto"/>
              </w:rPr>
              <w:t>11. Commitments and Contingencies</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40" w:type="dxa"/>
            <w:vAlign w:val="bottom"/>
          </w:tcPr>
          <w:p>
            <w:pPr>
              <w:spacing w:after="0"/>
              <w:rPr>
                <w:sz w:val="20"/>
                <w:szCs w:val="20"/>
                <w:color w:val="auto"/>
              </w:rPr>
            </w:pPr>
            <w:r>
              <w:rPr>
                <w:rFonts w:ascii="Arial" w:cs="Arial" w:eastAsia="Arial" w:hAnsi="Arial"/>
                <w:sz w:val="18"/>
                <w:szCs w:val="18"/>
                <w:color w:val="auto"/>
              </w:rPr>
              <w:t>(a)  As of March 31, 2016 the Group had the following commitments relating to buildings under operating leases: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2,375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operating lease commitment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vMerge w:val="restart"/>
          </w:tcPr>
          <w:p>
            <w:pPr>
              <w:spacing w:after="0"/>
              <w:rPr>
                <w:sz w:val="20"/>
                <w:szCs w:val="20"/>
                <w:color w:val="auto"/>
              </w:rPr>
            </w:pPr>
            <w:r>
              <w:rPr>
                <w:rFonts w:ascii="Arial" w:cs="Arial" w:eastAsia="Arial" w:hAnsi="Arial"/>
                <w:sz w:val="18"/>
                <w:szCs w:val="18"/>
                <w:color w:val="auto"/>
              </w:rPr>
              <w:t>(b)  Commitments relating to the vessels under construction (Note 4) as of March 31, 2016 were as follows:</w:t>
            </w: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8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Vessels under construction</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563,136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720,687</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vessels under construction commitment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1,283,823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Based on an agreement entered into by GAS-twenty two Ltd. and GAS-twenty three Ltd. with Methane Services Limited (“MSL”) on March 8, 2016, the first two entities declared their options with Samsung to install reliquefaction plants on board the vessels. MSL agreed to reimburse 50% of such cost per vessel, resulting in an aggregate commitment to pay $3,200 per vessel to GasLog after the installation has been completed. In the case that the reliquefaction plants do not fulfill specified enhanced performance criteria during operation as set forth in the relevant agreement, GasLog will refund the reimbursed amounts to MSL in the form of a daily compensation amount per vessel. As of March 31, 2016, no construction or installation of these plants has been started.</w:t>
      </w:r>
    </w:p>
    <w:p>
      <w:pPr>
        <w:spacing w:after="0" w:line="193" w:lineRule="exact"/>
        <w:rPr>
          <w:sz w:val="20"/>
          <w:szCs w:val="20"/>
          <w:color w:val="auto"/>
        </w:rPr>
      </w:pPr>
    </w:p>
    <w:p>
      <w:pPr>
        <w:ind w:left="360" w:right="60" w:hanging="352"/>
        <w:spacing w:after="0" w:line="259"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gross minimum revenues receivable upon collection of hire under non-cancellable time charter agreements for vessels in operation, including a vessel under a finance lease (Note 5), as of March 31, 2016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4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9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Revenues</w:t>
            </w:r>
          </w:p>
        </w:tc>
        <w:tc>
          <w:tcPr>
            <w:tcW w:w="148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Not later than one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423,068</w:t>
            </w:r>
          </w:p>
        </w:tc>
        <w:tc>
          <w:tcPr>
            <w:tcW w:w="80" w:type="dxa"/>
            <w:vAlign w:val="bottom"/>
          </w:tcPr>
          <w:p>
            <w:pPr>
              <w:spacing w:after="0"/>
              <w:rPr>
                <w:sz w:val="18"/>
                <w:szCs w:val="18"/>
                <w:color w:val="auto"/>
              </w:rPr>
            </w:pPr>
          </w:p>
        </w:tc>
      </w:tr>
      <w:tr>
        <w:trPr>
          <w:trHeight w:val="216"/>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Later than one year and not later than three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720,367</w:t>
            </w:r>
          </w:p>
        </w:tc>
        <w:tc>
          <w:tcPr>
            <w:tcW w:w="80" w:type="dxa"/>
            <w:vAlign w:val="bottom"/>
            <w:shd w:val="clear" w:color="auto" w:fill="E5FF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Later than three years and not later than five years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468,786</w:t>
            </w:r>
          </w:p>
        </w:tc>
        <w:tc>
          <w:tcPr>
            <w:tcW w:w="80" w:type="dxa"/>
            <w:vAlign w:val="bottom"/>
          </w:tcPr>
          <w:p>
            <w:pPr>
              <w:spacing w:after="0"/>
              <w:rPr>
                <w:sz w:val="18"/>
                <w:szCs w:val="18"/>
                <w:color w:val="auto"/>
              </w:rPr>
            </w:pPr>
          </w:p>
        </w:tc>
      </w:tr>
      <w:tr>
        <w:trPr>
          <w:trHeight w:val="230"/>
        </w:trPr>
        <w:tc>
          <w:tcPr>
            <w:tcW w:w="9840" w:type="dxa"/>
            <w:vAlign w:val="bottom"/>
            <w:shd w:val="clear" w:color="auto" w:fill="E5FFFF"/>
          </w:tcPr>
          <w:p>
            <w:pPr>
              <w:spacing w:after="0"/>
              <w:rPr>
                <w:sz w:val="20"/>
                <w:szCs w:val="20"/>
                <w:color w:val="auto"/>
              </w:rPr>
            </w:pPr>
            <w:r>
              <w:rPr>
                <w:rFonts w:ascii="Arial" w:cs="Arial" w:eastAsia="Arial" w:hAnsi="Arial"/>
                <w:sz w:val="18"/>
                <w:szCs w:val="18"/>
                <w:color w:val="auto"/>
              </w:rPr>
              <w:t>More than five years</w:t>
            </w:r>
          </w:p>
        </w:tc>
        <w:tc>
          <w:tcPr>
            <w:tcW w:w="150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398,882</w:t>
            </w:r>
          </w:p>
        </w:tc>
        <w:tc>
          <w:tcPr>
            <w:tcW w:w="80" w:type="dxa"/>
            <w:vAlign w:val="bottom"/>
            <w:shd w:val="clear" w:color="auto" w:fill="E5FFFF"/>
          </w:tcPr>
          <w:p>
            <w:pPr>
              <w:spacing w:after="0"/>
              <w:rPr>
                <w:sz w:val="19"/>
                <w:szCs w:val="19"/>
                <w:color w:val="auto"/>
              </w:rPr>
            </w:pPr>
          </w:p>
        </w:tc>
      </w:tr>
      <w:tr>
        <w:trPr>
          <w:trHeight w:val="223"/>
        </w:trPr>
        <w:tc>
          <w:tcPr>
            <w:tcW w:w="9840" w:type="dxa"/>
            <w:vAlign w:val="bottom"/>
          </w:tcPr>
          <w:p>
            <w:pPr>
              <w:spacing w:after="0"/>
              <w:rPr>
                <w:sz w:val="20"/>
                <w:szCs w:val="20"/>
                <w:color w:val="auto"/>
              </w:rPr>
            </w:pPr>
            <w:r>
              <w:rPr>
                <w:rFonts w:ascii="Arial" w:cs="Arial" w:eastAsia="Arial" w:hAnsi="Arial"/>
                <w:sz w:val="18"/>
                <w:szCs w:val="18"/>
                <w:b w:val="1"/>
                <w:bCs w:val="1"/>
                <w:color w:val="auto"/>
              </w:rPr>
              <w:t>Total future gross minimum charter hire</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2,011,103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gross minimum revenues disclosed in the above table exclude the revenues of the vessels that are under construction.</w:t>
      </w:r>
    </w:p>
    <w:p>
      <w:pPr>
        <w:spacing w:after="0" w:line="225" w:lineRule="exact"/>
        <w:rPr>
          <w:sz w:val="20"/>
          <w:szCs w:val="20"/>
          <w:color w:val="auto"/>
        </w:rPr>
      </w:pPr>
    </w:p>
    <w:p>
      <w:pPr>
        <w:ind w:left="360" w:right="40" w:hanging="352"/>
        <w:spacing w:after="0" w:line="259"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Related to the acquisition of six vessels from a subsidiary of BG Group plc. (“BG Group”) in 2014 and another two vessels in 2015, the Group is committed to purchase depot spares from BG Group with an aggregate value of $8,000 of which depot spares with value $660 have been purchased as of March 31, 2016 and are included in Tangible fixed assets (Note 4). The remaining spares should be acquired before the end of the initial term of the charter party agreements.</w:t>
      </w:r>
    </w:p>
    <w:p>
      <w:pPr>
        <w:spacing w:after="0" w:line="186" w:lineRule="exact"/>
        <w:rPr>
          <w:rFonts w:ascii="Arial" w:cs="Arial" w:eastAsia="Arial" w:hAnsi="Arial"/>
          <w:sz w:val="18"/>
          <w:szCs w:val="18"/>
          <w:color w:val="auto"/>
        </w:rPr>
      </w:pPr>
    </w:p>
    <w:p>
      <w:pPr>
        <w:ind w:left="360" w:right="180" w:hanging="352"/>
        <w:spacing w:after="0" w:line="259"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2, 2015, following execution of a letter agreement between GasLog and MSL reimbursing MSL the sum of $2,654 for value as of November 1, 2015, adjusted for future value through January 2020 up to $3,801, allowing for the future use of the reimbursement amount against the funding of specific MSL projects, such as costs associated with change orders on LNG newbuildings and or modifications of existing vessels as agreed between the parties. As of March 31, 2016, the outstanding commitment is $2,731.</w:t>
      </w:r>
    </w:p>
    <w:p>
      <w:pPr>
        <w:spacing w:after="0" w:line="186" w:lineRule="exact"/>
        <w:rPr>
          <w:rFonts w:ascii="Arial" w:cs="Arial" w:eastAsia="Arial" w:hAnsi="Arial"/>
          <w:sz w:val="18"/>
          <w:szCs w:val="18"/>
          <w:color w:val="auto"/>
        </w:rPr>
      </w:pPr>
    </w:p>
    <w:p>
      <w:pPr>
        <w:jc w:val="both"/>
        <w:ind w:left="360" w:right="160" w:hanging="352"/>
        <w:spacing w:after="0" w:line="264"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February 26, 2016, in connection with the supplemental deed signed with the lenders of GAS-eight Ltd., GAS-nine Ltd. and GAS-ten Ltd., GasLog entered into two bank guarantees, issued by BNP Paribas S.A. for GAS-nine Ltd. and GAS-ten Ltd. of $21,000 each. The bank guarantees bear interest at a margin and are available for a period of up to two years.</w:t>
      </w:r>
    </w:p>
    <w:p>
      <w:pPr>
        <w:spacing w:after="0" w:line="181" w:lineRule="exact"/>
        <w:rPr>
          <w:rFonts w:ascii="Arial" w:cs="Arial" w:eastAsia="Arial" w:hAnsi="Arial"/>
          <w:sz w:val="18"/>
          <w:szCs w:val="18"/>
          <w:color w:val="auto"/>
        </w:rPr>
      </w:pPr>
    </w:p>
    <w:p>
      <w:pPr>
        <w:ind w:left="360" w:right="40" w:hanging="352"/>
        <w:spacing w:after="0" w:line="279"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March 30, 2016, GasLog Carriers entered into a consortium agreement with third parties, setting out the terms and conditions under which the parties are prepared to form a joint venture in order to participate collaboratively in a time charter tender. In connection with the above agreement, GasLog Carriers has arranged for the provision of a $1,500 bid security, deposited in a restricted cash collateral account; in the event of the tender holder demanding such amount, GasLog Carriers will be entitled to claim 75% from the remaining participants in the consortium agreement.</w:t>
      </w:r>
    </w:p>
    <w:p>
      <w:pPr>
        <w:spacing w:after="0" w:line="171" w:lineRule="exact"/>
        <w:rPr>
          <w:sz w:val="20"/>
          <w:szCs w:val="20"/>
          <w:color w:val="auto"/>
        </w:rPr>
      </w:pPr>
    </w:p>
    <w:p>
      <w:pPr>
        <w:jc w:val="both"/>
        <w:ind w:left="360" w:right="40"/>
        <w:spacing w:after="0" w:line="279" w:lineRule="auto"/>
        <w:rPr>
          <w:sz w:val="20"/>
          <w:szCs w:val="20"/>
          <w:color w:val="auto"/>
        </w:rPr>
      </w:pPr>
      <w:r>
        <w:rPr>
          <w:rFonts w:ascii="Arial" w:cs="Arial" w:eastAsia="Arial" w:hAnsi="Arial"/>
          <w:sz w:val="17"/>
          <w:szCs w:val="17"/>
          <w:color w:val="auto"/>
        </w:rPr>
        <w:t>On March 30, 2016, in connection with the aforementioned consortium agreement, GasLog Carriers entered into a letter of credit agreement with Credit Agricole Corporate and Investment Bank for an amount of $1,500, bearing interest at a margin and available until December 31, 2016. Pursuant to this, a pledge agreement was also entered into with the aforementioned bank, with GasLog Carriers depositing $1,500 in a cash collateral account. This amount will be held as collateral until expiry of the letter of credit agreement and is thus classified under “Restricted cash”.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099" w:gutter="0" w:footer="0" w:header="0"/>
        </w:sectPr>
      </w:pPr>
    </w:p>
    <w:bookmarkStart w:id="38" w:name="page39"/>
    <w:bookmarkEnd w:id="38"/>
    <w:p>
      <w:pPr>
        <w:ind w:right="40" w:firstLine="324"/>
        <w:spacing w:after="0" w:line="259" w:lineRule="auto"/>
        <w:rPr>
          <w:sz w:val="20"/>
          <w:szCs w:val="20"/>
          <w:color w:val="auto"/>
        </w:rPr>
      </w:pPr>
      <w:r>
        <w:rPr>
          <w:rFonts w:ascii="Arial" w:cs="Arial" w:eastAsia="Arial" w:hAnsi="Arial"/>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12. Derivative Financial Instruments</w:t>
            </w:r>
          </w:p>
        </w:tc>
        <w:tc>
          <w:tcPr>
            <w:tcW w:w="1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ind w:left="340"/>
              <w:spacing w:after="0"/>
              <w:rPr>
                <w:sz w:val="20"/>
                <w:szCs w:val="20"/>
                <w:color w:val="auto"/>
              </w:rPr>
            </w:pPr>
            <w:r>
              <w:rPr>
                <w:rFonts w:ascii="Arial" w:cs="Arial" w:eastAsia="Arial" w:hAnsi="Arial"/>
                <w:sz w:val="18"/>
                <w:szCs w:val="18"/>
                <w:color w:val="auto"/>
              </w:rPr>
              <w:t>The fair value of the derivative assets is as follows:</w:t>
            </w: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2015</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Derivative assets carried at fair value through profit or loss (FVTPL)</w:t>
            </w:r>
          </w:p>
        </w:tc>
        <w:tc>
          <w:tcPr>
            <w:tcW w:w="184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61</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Derivative financial instruments, non-current asset</w:t>
            </w: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Borders>
              <w:bottom w:val="single" w:sz="8" w:color="E5FFFF"/>
            </w:tcBorders>
            <w:vMerge w:val="continue"/>
          </w:tcPr>
          <w:p>
            <w:pPr>
              <w:spacing w:after="0"/>
              <w:rPr>
                <w:sz w:val="17"/>
                <w:szCs w:val="17"/>
                <w:color w:val="auto"/>
              </w:rPr>
            </w:pP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460" w:type="dxa"/>
            <w:vAlign w:val="bottom"/>
            <w:tcBorders>
              <w:bottom w:val="single" w:sz="8" w:color="E5FFFF"/>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61</w:t>
            </w:r>
          </w:p>
        </w:tc>
        <w:tc>
          <w:tcPr>
            <w:tcW w:w="460" w:type="dxa"/>
            <w:vAlign w:val="bottom"/>
            <w:tcBorders>
              <w:bottom w:val="single" w:sz="8" w:color="E5FFFF"/>
            </w:tcBorders>
            <w:shd w:val="clear" w:color="auto" w:fill="E5FFFF"/>
          </w:tcPr>
          <w:p>
            <w:pPr>
              <w:spacing w:after="0"/>
              <w:rPr>
                <w:sz w:val="19"/>
                <w:szCs w:val="19"/>
                <w:color w:val="auto"/>
              </w:rPr>
            </w:pPr>
          </w:p>
        </w:tc>
        <w:tc>
          <w:tcPr>
            <w:tcW w:w="15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340"/>
              <w:spacing w:after="0"/>
              <w:rPr>
                <w:sz w:val="20"/>
                <w:szCs w:val="20"/>
                <w:color w:val="auto"/>
              </w:rPr>
            </w:pPr>
            <w:r>
              <w:rPr>
                <w:rFonts w:ascii="Arial" w:cs="Arial" w:eastAsia="Arial" w:hAnsi="Arial"/>
                <w:sz w:val="18"/>
                <w:szCs w:val="18"/>
                <w:color w:val="auto"/>
              </w:rPr>
              <w:t>The fair value of the derivative liabilities is as follows:</w:t>
            </w: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30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 2015</w:t>
            </w: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2016</w:t>
            </w:r>
          </w:p>
        </w:tc>
        <w:tc>
          <w:tcPr>
            <w:tcW w:w="0" w:type="dxa"/>
            <w:vAlign w:val="bottom"/>
          </w:tcPr>
          <w:p>
            <w:pPr>
              <w:spacing w:after="0"/>
              <w:rPr>
                <w:sz w:val="1"/>
                <w:szCs w:val="1"/>
                <w:color w:val="auto"/>
              </w:rPr>
            </w:pP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w w:val="97"/>
              </w:rPr>
              <w:t>Derivative liabilities designated and effective as hedging instruments carried at fair value</w:t>
            </w:r>
          </w:p>
        </w:tc>
        <w:tc>
          <w:tcPr>
            <w:tcW w:w="184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15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tcPr>
          <w:p>
            <w:pPr>
              <w:jc w:val="right"/>
              <w:spacing w:after="0"/>
              <w:rPr>
                <w:sz w:val="20"/>
                <w:szCs w:val="20"/>
                <w:color w:val="auto"/>
              </w:rPr>
            </w:pPr>
            <w:r>
              <w:rPr>
                <w:rFonts w:ascii="Arial" w:cs="Arial" w:eastAsia="Arial" w:hAnsi="Arial"/>
                <w:sz w:val="18"/>
                <w:szCs w:val="18"/>
                <w:color w:val="auto"/>
              </w:rPr>
              <w:t>8,410</w:t>
            </w:r>
          </w:p>
        </w:tc>
        <w:tc>
          <w:tcPr>
            <w:tcW w:w="46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r>
        <w:trPr>
          <w:trHeight w:val="216"/>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Cross currency swaps</w:t>
            </w:r>
          </w:p>
        </w:tc>
        <w:tc>
          <w:tcPr>
            <w:tcW w:w="230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56,152</w:t>
            </w: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49,068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Derivative liabilities carried at fair value through profit or loss (FVTPL)</w:t>
            </w:r>
          </w:p>
        </w:tc>
        <w:tc>
          <w:tcPr>
            <w:tcW w:w="1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E5FFFF"/>
          </w:tcPr>
          <w:p>
            <w:pPr>
              <w:spacing w:after="0"/>
              <w:rPr>
                <w:sz w:val="20"/>
                <w:szCs w:val="20"/>
                <w:color w:val="auto"/>
              </w:rPr>
            </w:pPr>
            <w:r>
              <w:rPr>
                <w:rFonts w:ascii="Arial" w:cs="Arial" w:eastAsia="Arial" w:hAnsi="Arial"/>
                <w:sz w:val="18"/>
                <w:szCs w:val="18"/>
                <w:color w:val="auto"/>
              </w:rPr>
              <w:t>Interest rate swaps</w:t>
            </w:r>
          </w:p>
        </w:tc>
        <w:tc>
          <w:tcPr>
            <w:tcW w:w="1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8,212</w:t>
            </w:r>
          </w:p>
        </w:tc>
        <w:tc>
          <w:tcPr>
            <w:tcW w:w="460" w:type="dxa"/>
            <w:vAlign w:val="bottom"/>
            <w:shd w:val="clear" w:color="auto" w:fill="E5FFFF"/>
          </w:tcPr>
          <w:p>
            <w:pPr>
              <w:spacing w:after="0"/>
              <w:rPr>
                <w:sz w:val="19"/>
                <w:szCs w:val="19"/>
                <w:color w:val="auto"/>
              </w:rPr>
            </w:pPr>
          </w:p>
        </w:tc>
        <w:tc>
          <w:tcPr>
            <w:tcW w:w="16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16,287</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72,774</w:t>
            </w:r>
          </w:p>
        </w:tc>
        <w:tc>
          <w:tcPr>
            <w:tcW w:w="460" w:type="dxa"/>
            <w:vAlign w:val="bottom"/>
            <w:tcBorders>
              <w:bottom w:val="single" w:sz="8" w:color="E5FFFF"/>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78,917</w:t>
            </w:r>
          </w:p>
        </w:tc>
        <w:tc>
          <w:tcPr>
            <w:tcW w:w="100" w:type="dxa"/>
            <w:vAlign w:val="bottom"/>
            <w:tcBorders>
              <w:bottom w:val="single" w:sz="8" w:color="E5FF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Derivative financial instruments, current liability</w:t>
            </w:r>
          </w:p>
        </w:tc>
        <w:tc>
          <w:tcPr>
            <w:tcW w:w="1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14,243</w:t>
            </w:r>
          </w:p>
        </w:tc>
        <w:tc>
          <w:tcPr>
            <w:tcW w:w="460" w:type="dxa"/>
            <w:vAlign w:val="bottom"/>
            <w:shd w:val="clear" w:color="auto" w:fill="E5FFFF"/>
          </w:tcPr>
          <w:p>
            <w:pPr>
              <w:spacing w:after="0"/>
              <w:rPr>
                <w:sz w:val="17"/>
                <w:szCs w:val="17"/>
                <w:color w:val="auto"/>
              </w:rPr>
            </w:pPr>
          </w:p>
        </w:tc>
        <w:tc>
          <w:tcPr>
            <w:tcW w:w="15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14,875</w:t>
            </w: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Derivative financial instruments, non-current liability</w:t>
            </w:r>
          </w:p>
        </w:tc>
        <w:tc>
          <w:tcPr>
            <w:tcW w:w="2300" w:type="dxa"/>
            <w:vAlign w:val="bottom"/>
            <w:gridSpan w:val="2"/>
          </w:tcPr>
          <w:p>
            <w:pPr>
              <w:jc w:val="right"/>
              <w:ind w:right="460"/>
              <w:spacing w:after="0"/>
              <w:rPr>
                <w:sz w:val="20"/>
                <w:szCs w:val="20"/>
                <w:color w:val="auto"/>
              </w:rPr>
            </w:pPr>
            <w:r>
              <w:rPr>
                <w:rFonts w:ascii="Arial" w:cs="Arial" w:eastAsia="Arial" w:hAnsi="Arial"/>
                <w:sz w:val="18"/>
                <w:szCs w:val="18"/>
                <w:color w:val="auto"/>
              </w:rPr>
              <w:t>58,531</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64,042</w:t>
            </w:r>
          </w:p>
        </w:tc>
        <w:tc>
          <w:tcPr>
            <w:tcW w:w="0" w:type="dxa"/>
            <w:vAlign w:val="bottom"/>
          </w:tcPr>
          <w:p>
            <w:pPr>
              <w:spacing w:after="0"/>
              <w:rPr>
                <w:sz w:val="1"/>
                <w:szCs w:val="1"/>
                <w:color w:val="auto"/>
              </w:rPr>
            </w:pPr>
          </w:p>
        </w:tc>
      </w:tr>
      <w:tr>
        <w:trPr>
          <w:trHeight w:val="223"/>
        </w:trPr>
        <w:tc>
          <w:tcPr>
            <w:tcW w:w="7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72,774</w:t>
            </w: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78,917</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three-month U.S. dollar LIBOR, and the Group effects quarterly payments to the bank on the notional amount at the respective fixed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designated as cash flow hedging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interest rate swaps designated as cash flow hedging instruments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Fixed</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Trade</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Effective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3480" w:type="dxa"/>
            <w:vAlign w:val="bottom"/>
            <w:gridSpan w:val="4"/>
          </w:tcPr>
          <w:p>
            <w:pPr>
              <w:ind w:left="1020"/>
              <w:spacing w:after="0"/>
              <w:rPr>
                <w:sz w:val="20"/>
                <w:szCs w:val="20"/>
                <w:color w:val="auto"/>
              </w:rPr>
            </w:pPr>
            <w:r>
              <w:rPr>
                <w:rFonts w:ascii="Arial" w:cs="Arial" w:eastAsia="Arial" w:hAnsi="Arial"/>
                <w:sz w:val="18"/>
                <w:szCs w:val="18"/>
                <w:b w:val="1"/>
                <w:bCs w:val="1"/>
                <w:color w:val="auto"/>
              </w:rPr>
              <w:t>Notional Amount</w:t>
            </w:r>
          </w:p>
        </w:tc>
      </w:tr>
      <w:tr>
        <w:trPr>
          <w:trHeight w:val="223"/>
        </w:trPr>
        <w:tc>
          <w:tcPr>
            <w:tcW w:w="15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220" w:type="dxa"/>
            <w:vAlign w:val="bottom"/>
          </w:tcPr>
          <w:p>
            <w:pPr>
              <w:spacing w:after="0"/>
              <w:rPr>
                <w:sz w:val="19"/>
                <w:szCs w:val="19"/>
                <w:color w:val="auto"/>
              </w:rPr>
            </w:pPr>
          </w:p>
        </w:tc>
        <w:tc>
          <w:tcPr>
            <w:tcW w:w="1820" w:type="dxa"/>
            <w:vAlign w:val="bottom"/>
            <w:gridSpan w:val="3"/>
          </w:tcPr>
          <w:p>
            <w:pPr>
              <w:ind w:left="280"/>
              <w:spacing w:after="0"/>
              <w:rPr>
                <w:sz w:val="20"/>
                <w:szCs w:val="20"/>
                <w:color w:val="auto"/>
              </w:rPr>
            </w:pPr>
            <w:r>
              <w:rPr>
                <w:rFonts w:ascii="Arial" w:cs="Arial" w:eastAsia="Arial" w:hAnsi="Arial"/>
                <w:sz w:val="18"/>
                <w:szCs w:val="18"/>
                <w:b w:val="1"/>
                <w:bCs w:val="1"/>
                <w:color w:val="auto"/>
              </w:rPr>
              <w:t>Counterparty</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Date</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21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8"/>
              </w:rPr>
              <w:t>December 31, 2015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March 31, 2016</w:t>
            </w:r>
          </w:p>
        </w:tc>
        <w:tc>
          <w:tcPr>
            <w:tcW w:w="100" w:type="dxa"/>
            <w:vAlign w:val="bottom"/>
          </w:tcPr>
          <w:p>
            <w:pPr>
              <w:spacing w:after="0"/>
              <w:rPr>
                <w:sz w:val="19"/>
                <w:szCs w:val="19"/>
                <w:color w:val="auto"/>
              </w:rPr>
            </w:pPr>
          </w:p>
        </w:tc>
      </w:tr>
      <w:tr>
        <w:trPr>
          <w:trHeight w:val="210"/>
        </w:trPr>
        <w:tc>
          <w:tcPr>
            <w:tcW w:w="15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GAS-six Ltd.</w:t>
            </w:r>
          </w:p>
        </w:tc>
        <w:tc>
          <w:tcPr>
            <w:tcW w:w="22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8"/>
                <w:szCs w:val="18"/>
                <w:color w:val="auto"/>
                <w:w w:val="93"/>
              </w:rPr>
              <w:t>Nordea Bank Finland</w:t>
            </w:r>
          </w:p>
        </w:tc>
        <w:tc>
          <w:tcPr>
            <w:tcW w:w="220" w:type="dxa"/>
            <w:vAlign w:val="bottom"/>
            <w:tcBorders>
              <w:top w:val="single" w:sz="8" w:color="E5FFFF"/>
            </w:tcBorders>
            <w:shd w:val="clear" w:color="auto" w:fill="E5FFFF"/>
          </w:tcPr>
          <w:p>
            <w:pPr>
              <w:spacing w:after="0"/>
              <w:rPr>
                <w:sz w:val="18"/>
                <w:szCs w:val="18"/>
                <w:color w:val="auto"/>
              </w:rPr>
            </w:pPr>
          </w:p>
        </w:tc>
        <w:tc>
          <w:tcPr>
            <w:tcW w:w="7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Nov 2011</w:t>
            </w:r>
          </w:p>
        </w:tc>
        <w:tc>
          <w:tcPr>
            <w:tcW w:w="22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July 2013</w:t>
            </w:r>
          </w:p>
        </w:tc>
        <w:tc>
          <w:tcPr>
            <w:tcW w:w="22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July 2018</w:t>
            </w:r>
          </w:p>
        </w:tc>
        <w:tc>
          <w:tcPr>
            <w:tcW w:w="220" w:type="dxa"/>
            <w:vAlign w:val="bottom"/>
            <w:tcBorders>
              <w:top w:val="single" w:sz="8" w:color="E5FFFF"/>
            </w:tcBorders>
            <w:shd w:val="clear" w:color="auto" w:fill="E5FFFF"/>
          </w:tcPr>
          <w:p>
            <w:pPr>
              <w:spacing w:after="0"/>
              <w:rPr>
                <w:sz w:val="18"/>
                <w:szCs w:val="18"/>
                <w:color w:val="auto"/>
              </w:rPr>
            </w:pPr>
          </w:p>
        </w:tc>
        <w:tc>
          <w:tcPr>
            <w:tcW w:w="9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2.04%</w:t>
            </w:r>
          </w:p>
        </w:tc>
        <w:tc>
          <w:tcPr>
            <w:tcW w:w="220" w:type="dxa"/>
            <w:vAlign w:val="bottom"/>
            <w:tcBorders>
              <w:top w:val="single" w:sz="8" w:color="E5FFFF"/>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65,074</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63,971</w:t>
            </w:r>
          </w:p>
        </w:tc>
        <w:tc>
          <w:tcPr>
            <w:tcW w:w="100" w:type="dxa"/>
            <w:vAlign w:val="bottom"/>
            <w:tcBorders>
              <w:top w:val="single" w:sz="8" w:color="E5FFFF"/>
            </w:tcBorders>
            <w:shd w:val="clear" w:color="auto" w:fill="E5FFFF"/>
          </w:tcPr>
          <w:p>
            <w:pPr>
              <w:spacing w:after="0"/>
              <w:rPr>
                <w:sz w:val="18"/>
                <w:szCs w:val="18"/>
                <w:color w:val="auto"/>
              </w:rPr>
            </w:pPr>
          </w:p>
        </w:tc>
      </w:tr>
      <w:tr>
        <w:trPr>
          <w:trHeight w:val="257"/>
        </w:trPr>
        <w:tc>
          <w:tcPr>
            <w:tcW w:w="1500" w:type="dxa"/>
            <w:vAlign w:val="bottom"/>
          </w:tcPr>
          <w:p>
            <w:pPr>
              <w:spacing w:after="0"/>
              <w:rPr>
                <w:sz w:val="20"/>
                <w:szCs w:val="20"/>
                <w:color w:val="auto"/>
              </w:rPr>
            </w:pPr>
            <w:r>
              <w:rPr>
                <w:rFonts w:ascii="Arial" w:cs="Arial" w:eastAsia="Arial" w:hAnsi="Arial"/>
                <w:sz w:val="18"/>
                <w:szCs w:val="18"/>
                <w:color w:val="auto"/>
              </w:rPr>
              <w:t>GAS-nine Ltd.</w:t>
            </w:r>
          </w:p>
        </w:tc>
        <w:tc>
          <w:tcPr>
            <w:tcW w:w="2040" w:type="dxa"/>
            <w:vAlign w:val="bottom"/>
            <w:gridSpan w:val="4"/>
          </w:tcPr>
          <w:p>
            <w:pPr>
              <w:ind w:left="220"/>
              <w:spacing w:after="0" w:line="256" w:lineRule="exact"/>
              <w:rPr>
                <w:sz w:val="20"/>
                <w:szCs w:val="20"/>
                <w:color w:val="auto"/>
              </w:rPr>
            </w:pPr>
            <w:r>
              <w:rPr>
                <w:rFonts w:ascii="Arial" w:cs="Arial" w:eastAsia="Arial" w:hAnsi="Arial"/>
                <w:sz w:val="18"/>
                <w:szCs w:val="18"/>
                <w:color w:val="auto"/>
              </w:rPr>
              <w:t>CBA</w:t>
            </w:r>
            <w:r>
              <w:rPr>
                <w:rFonts w:ascii="Arial" w:cs="Arial" w:eastAsia="Arial" w:hAnsi="Arial"/>
                <w:sz w:val="29"/>
                <w:szCs w:val="29"/>
                <w:color w:val="auto"/>
                <w:vertAlign w:val="superscript"/>
              </w:rPr>
              <w:t>(1)</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2019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2.23%</w:t>
            </w:r>
          </w:p>
        </w:tc>
        <w:tc>
          <w:tcPr>
            <w:tcW w:w="220" w:type="dxa"/>
            <w:vAlign w:val="bottom"/>
          </w:tcPr>
          <w:p>
            <w:pPr>
              <w:spacing w:after="0"/>
              <w:rPr>
                <w:sz w:val="22"/>
                <w:szCs w:val="22"/>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59,024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58,155</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GAS-nine Ltd.</w:t>
            </w:r>
          </w:p>
        </w:tc>
        <w:tc>
          <w:tcPr>
            <w:tcW w:w="2040" w:type="dxa"/>
            <w:vAlign w:val="bottom"/>
            <w:gridSpan w:val="4"/>
            <w:shd w:val="clear" w:color="auto" w:fill="E5FFFF"/>
          </w:tcPr>
          <w:p>
            <w:pPr>
              <w:ind w:left="220"/>
              <w:spacing w:after="0"/>
              <w:rPr>
                <w:sz w:val="20"/>
                <w:szCs w:val="20"/>
                <w:color w:val="auto"/>
              </w:rPr>
            </w:pPr>
            <w:r>
              <w:rPr>
                <w:rFonts w:ascii="Arial" w:cs="Arial" w:eastAsia="Arial" w:hAnsi="Arial"/>
                <w:sz w:val="18"/>
                <w:szCs w:val="18"/>
                <w:color w:val="auto"/>
              </w:rPr>
              <w:t>DNB Bank ASA</w:t>
            </w:r>
          </w:p>
        </w:tc>
        <w:tc>
          <w:tcPr>
            <w:tcW w:w="10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0"/>
              </w:rPr>
              <w:t>Dec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8"/>
              </w:rPr>
              <w:t>Dec 2019</w:t>
            </w:r>
          </w:p>
        </w:tc>
        <w:tc>
          <w:tcPr>
            <w:tcW w:w="9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2.24%</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59,024</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58,155</w:t>
            </w:r>
          </w:p>
        </w:tc>
      </w:tr>
      <w:tr>
        <w:trPr>
          <w:trHeight w:val="257"/>
        </w:trPr>
        <w:tc>
          <w:tcPr>
            <w:tcW w:w="1500" w:type="dxa"/>
            <w:vAlign w:val="bottom"/>
          </w:tcPr>
          <w:p>
            <w:pPr>
              <w:spacing w:after="0"/>
              <w:rPr>
                <w:sz w:val="20"/>
                <w:szCs w:val="20"/>
                <w:color w:val="auto"/>
              </w:rPr>
            </w:pPr>
            <w:r>
              <w:rPr>
                <w:rFonts w:ascii="Arial" w:cs="Arial" w:eastAsia="Arial" w:hAnsi="Arial"/>
                <w:sz w:val="18"/>
                <w:szCs w:val="18"/>
                <w:color w:val="auto"/>
              </w:rPr>
              <w:t>GAS-ten Ltd.</w:t>
            </w:r>
          </w:p>
        </w:tc>
        <w:tc>
          <w:tcPr>
            <w:tcW w:w="2040" w:type="dxa"/>
            <w:vAlign w:val="bottom"/>
            <w:gridSpan w:val="4"/>
          </w:tcPr>
          <w:p>
            <w:pPr>
              <w:ind w:left="220"/>
              <w:spacing w:after="0" w:line="256" w:lineRule="exact"/>
              <w:rPr>
                <w:sz w:val="20"/>
                <w:szCs w:val="20"/>
                <w:color w:val="auto"/>
              </w:rPr>
            </w:pPr>
            <w:r>
              <w:rPr>
                <w:rFonts w:ascii="Arial" w:cs="Arial" w:eastAsia="Arial" w:hAnsi="Arial"/>
                <w:sz w:val="18"/>
                <w:szCs w:val="18"/>
                <w:color w:val="auto"/>
              </w:rPr>
              <w:t>SEB</w:t>
            </w:r>
            <w:r>
              <w:rPr>
                <w:rFonts w:ascii="Arial" w:cs="Arial" w:eastAsia="Arial" w:hAnsi="Arial"/>
                <w:sz w:val="29"/>
                <w:szCs w:val="29"/>
                <w:color w:val="auto"/>
                <w:vertAlign w:val="superscript"/>
              </w:rPr>
              <w:t>(2)</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2015</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Feb 2020</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2.25%</w:t>
            </w:r>
          </w:p>
        </w:tc>
        <w:tc>
          <w:tcPr>
            <w:tcW w:w="220" w:type="dxa"/>
            <w:vAlign w:val="bottom"/>
          </w:tcPr>
          <w:p>
            <w:pPr>
              <w:spacing w:after="0"/>
              <w:rPr>
                <w:sz w:val="22"/>
                <w:szCs w:val="22"/>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59,893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59,024</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GAS-ten Ltd.</w:t>
            </w:r>
          </w:p>
        </w:tc>
        <w:tc>
          <w:tcPr>
            <w:tcW w:w="2040" w:type="dxa"/>
            <w:vAlign w:val="bottom"/>
            <w:gridSpan w:val="4"/>
            <w:shd w:val="clear" w:color="auto" w:fill="E5FFFF"/>
          </w:tcPr>
          <w:p>
            <w:pPr>
              <w:ind w:left="220"/>
              <w:spacing w:after="0"/>
              <w:rPr>
                <w:sz w:val="20"/>
                <w:szCs w:val="20"/>
                <w:color w:val="auto"/>
              </w:rPr>
            </w:pPr>
            <w:r>
              <w:rPr>
                <w:rFonts w:ascii="Arial" w:cs="Arial" w:eastAsia="Arial" w:hAnsi="Arial"/>
                <w:sz w:val="18"/>
                <w:szCs w:val="18"/>
                <w:color w:val="auto"/>
              </w:rPr>
              <w:t>ING Bank N.V.</w:t>
            </w:r>
          </w:p>
        </w:tc>
        <w:tc>
          <w:tcPr>
            <w:tcW w:w="100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2014</w:t>
            </w:r>
          </w:p>
        </w:tc>
        <w:tc>
          <w:tcPr>
            <w:tcW w:w="102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9"/>
              </w:rPr>
              <w:t>Feb 2015</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9"/>
              </w:rPr>
              <w:t>Feb 2020</w:t>
            </w:r>
          </w:p>
        </w:tc>
        <w:tc>
          <w:tcPr>
            <w:tcW w:w="9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2.23%</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59,893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59,024</w:t>
            </w:r>
          </w:p>
        </w:tc>
      </w:tr>
      <w:tr>
        <w:trPr>
          <w:trHeight w:val="270"/>
        </w:trPr>
        <w:tc>
          <w:tcPr>
            <w:tcW w:w="1500" w:type="dxa"/>
            <w:vAlign w:val="bottom"/>
          </w:tcPr>
          <w:p>
            <w:pPr>
              <w:spacing w:after="0" w:line="269" w:lineRule="exact"/>
              <w:rPr>
                <w:sz w:val="20"/>
                <w:szCs w:val="20"/>
                <w:color w:val="auto"/>
              </w:rPr>
            </w:pPr>
            <w:r>
              <w:rPr>
                <w:rFonts w:ascii="Arial" w:cs="Arial" w:eastAsia="Arial" w:hAnsi="Arial"/>
                <w:sz w:val="18"/>
                <w:szCs w:val="18"/>
                <w:color w:val="auto"/>
                <w:w w:val="97"/>
              </w:rPr>
              <w:t>GAS-fifteen Ltd.</w:t>
            </w:r>
            <w:r>
              <w:rPr>
                <w:rFonts w:ascii="Arial" w:cs="Arial" w:eastAsia="Arial" w:hAnsi="Arial"/>
                <w:sz w:val="30"/>
                <w:szCs w:val="30"/>
                <w:color w:val="auto"/>
                <w:w w:val="97"/>
                <w:vertAlign w:val="superscript"/>
              </w:rPr>
              <w:t>(3)</w:t>
            </w:r>
          </w:p>
        </w:tc>
        <w:tc>
          <w:tcPr>
            <w:tcW w:w="2040" w:type="dxa"/>
            <w:vAlign w:val="bottom"/>
            <w:gridSpan w:val="4"/>
          </w:tcPr>
          <w:p>
            <w:pPr>
              <w:ind w:left="220"/>
              <w:spacing w:after="0"/>
              <w:rPr>
                <w:sz w:val="20"/>
                <w:szCs w:val="20"/>
                <w:color w:val="auto"/>
              </w:rPr>
            </w:pPr>
            <w:r>
              <w:rPr>
                <w:rFonts w:ascii="Arial" w:cs="Arial" w:eastAsia="Arial" w:hAnsi="Arial"/>
                <w:sz w:val="18"/>
                <w:szCs w:val="18"/>
                <w:color w:val="auto"/>
              </w:rPr>
              <w:t>Citibank</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July 2014</w:t>
            </w: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2018</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0.66%/2.89%</w:t>
            </w:r>
          </w:p>
        </w:tc>
        <w:tc>
          <w:tcPr>
            <w:tcW w:w="220" w:type="dxa"/>
            <w:vAlign w:val="bottom"/>
          </w:tcPr>
          <w:p>
            <w:pPr>
              <w:spacing w:after="0"/>
              <w:rPr>
                <w:sz w:val="23"/>
                <w:szCs w:val="23"/>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86,660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83,325</w:t>
            </w:r>
          </w:p>
        </w:tc>
      </w:tr>
      <w:tr>
        <w:trPr>
          <w:trHeight w:val="223"/>
        </w:trPr>
        <w:tc>
          <w:tcPr>
            <w:tcW w:w="15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580" w:type="dxa"/>
            <w:vAlign w:val="bottom"/>
            <w:tcBorders>
              <w:top w:val="single" w:sz="8" w:color="E5FFFF"/>
              <w:bottom w:val="single" w:sz="8" w:color="E5FFFF"/>
            </w:tcBorders>
            <w:shd w:val="clear" w:color="auto" w:fill="E5FFFF"/>
          </w:tcPr>
          <w:p>
            <w:pPr>
              <w:spacing w:after="0"/>
              <w:rPr>
                <w:sz w:val="19"/>
                <w:szCs w:val="19"/>
                <w:color w:val="auto"/>
              </w:rPr>
            </w:pPr>
          </w:p>
        </w:tc>
        <w:tc>
          <w:tcPr>
            <w:tcW w:w="10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78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0" w:type="dxa"/>
            <w:vAlign w:val="bottom"/>
            <w:tcBorders>
              <w:top w:val="single" w:sz="8" w:color="E5FFFF"/>
              <w:bottom w:val="single" w:sz="8" w:color="E5FFFF"/>
            </w:tcBorders>
            <w:gridSpan w:val="2"/>
            <w:shd w:val="clear" w:color="auto" w:fill="E5FFFF"/>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389,568</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381,654</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0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Commonwealth Bank of Australia</w:t>
      </w:r>
    </w:p>
    <w:p>
      <w:pPr>
        <w:spacing w:after="0" w:line="163" w:lineRule="exact"/>
        <w:rPr>
          <w:rFonts w:ascii="Arial" w:cs="Arial" w:eastAsia="Arial" w:hAnsi="Arial"/>
          <w:sz w:val="30"/>
          <w:szCs w:val="30"/>
          <w:color w:val="auto"/>
          <w:vertAlign w:val="superscript"/>
        </w:rPr>
      </w:pPr>
    </w:p>
    <w:p>
      <w:pPr>
        <w:ind w:left="360" w:hanging="352"/>
        <w:spacing w:after="0" w:line="186" w:lineRule="auto"/>
        <w:tabs>
          <w:tab w:leader="none" w:pos="36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Skandinavinska Enskilda Banken AB (publ)</w:t>
      </w:r>
    </w:p>
    <w:p>
      <w:pPr>
        <w:spacing w:after="0" w:line="164" w:lineRule="exact"/>
        <w:rPr>
          <w:rFonts w:ascii="Arial" w:cs="Arial" w:eastAsia="Arial" w:hAnsi="Arial"/>
          <w:sz w:val="30"/>
          <w:szCs w:val="30"/>
          <w:color w:val="auto"/>
          <w:vertAlign w:val="superscript"/>
        </w:rPr>
      </w:pPr>
    </w:p>
    <w:p>
      <w:pPr>
        <w:ind w:left="360" w:hanging="352"/>
        <w:spacing w:after="0" w:line="186" w:lineRule="auto"/>
        <w:tabs>
          <w:tab w:leader="none" w:pos="36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The fixed interest rate is agreed at 0.66% until September 2016 and at 2.89% from September 2016 to September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derivative instruments listed above qualified as cash flow hedging instruments for accounting purposes as of March 31, 2016.</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three months ended March 31, 2016, the effective portion of changes in the fair value of derivatives designated as cash flow hedging instruments amounting to a loss of $6,439 has been recognized in Other comprehensive income (for the three months ended March 31, 2015: $5,619). For the three months ended March 31, 2016, a loss of $1,286, was recycled to profit or loss representing the realized loss on interest rate swaps in relation to the interest expense component of the hedge (for the three months ended March 31, 2015: $1,439).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991"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3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Interest rate swaps held for trading</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820" w:type="dxa"/>
            <w:vAlign w:val="bottom"/>
            <w:gridSpan w:val="10"/>
          </w:tcPr>
          <w:p>
            <w:pPr>
              <w:ind w:left="340"/>
              <w:spacing w:after="0"/>
              <w:rPr>
                <w:sz w:val="20"/>
                <w:szCs w:val="20"/>
                <w:color w:val="auto"/>
              </w:rPr>
            </w:pPr>
            <w:r>
              <w:rPr>
                <w:rFonts w:ascii="Arial" w:cs="Arial" w:eastAsia="Arial" w:hAnsi="Arial"/>
                <w:sz w:val="18"/>
                <w:szCs w:val="18"/>
                <w:color w:val="auto"/>
              </w:rPr>
              <w:t>The principal terms of the interest rate swaps held for trading were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6"/>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Fixed</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Trade</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Effective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3480" w:type="dxa"/>
            <w:vAlign w:val="bottom"/>
            <w:gridSpan w:val="4"/>
          </w:tcPr>
          <w:p>
            <w:pPr>
              <w:ind w:left="1020"/>
              <w:spacing w:after="0"/>
              <w:rPr>
                <w:sz w:val="20"/>
                <w:szCs w:val="20"/>
                <w:color w:val="auto"/>
              </w:rPr>
            </w:pPr>
            <w:r>
              <w:rPr>
                <w:rFonts w:ascii="Arial" w:cs="Arial" w:eastAsia="Arial" w:hAnsi="Arial"/>
                <w:sz w:val="18"/>
                <w:szCs w:val="18"/>
                <w:b w:val="1"/>
                <w:bCs w:val="1"/>
                <w:color w:val="auto"/>
              </w:rPr>
              <w:t>Notional Amount</w:t>
            </w:r>
          </w:p>
        </w:tc>
      </w:tr>
      <w:tr>
        <w:trPr>
          <w:trHeight w:val="223"/>
        </w:trPr>
        <w:tc>
          <w:tcPr>
            <w:tcW w:w="150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220" w:type="dxa"/>
            <w:vAlign w:val="bottom"/>
          </w:tcPr>
          <w:p>
            <w:pPr>
              <w:spacing w:after="0"/>
              <w:rPr>
                <w:sz w:val="19"/>
                <w:szCs w:val="19"/>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Counterparty</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21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8"/>
              </w:rPr>
              <w:t>December 31, 2015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March 31, 2016</w:t>
            </w:r>
          </w:p>
        </w:tc>
        <w:tc>
          <w:tcPr>
            <w:tcW w:w="100" w:type="dxa"/>
            <w:vAlign w:val="bottom"/>
          </w:tcPr>
          <w:p>
            <w:pPr>
              <w:spacing w:after="0"/>
              <w:rPr>
                <w:sz w:val="19"/>
                <w:szCs w:val="19"/>
                <w:color w:val="auto"/>
              </w:rPr>
            </w:pPr>
          </w:p>
        </w:tc>
      </w:tr>
      <w:tr>
        <w:trPr>
          <w:trHeight w:val="210"/>
        </w:trPr>
        <w:tc>
          <w:tcPr>
            <w:tcW w:w="15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GAS-eight Ltd.</w:t>
            </w:r>
          </w:p>
        </w:tc>
        <w:tc>
          <w:tcPr>
            <w:tcW w:w="22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SEB</w:t>
            </w:r>
          </w:p>
        </w:tc>
        <w:tc>
          <w:tcPr>
            <w:tcW w:w="2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Feb 2012</w:t>
            </w:r>
          </w:p>
        </w:tc>
        <w:tc>
          <w:tcPr>
            <w:tcW w:w="2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2"/>
              </w:rPr>
              <w:t>Mar 2014</w:t>
            </w:r>
          </w:p>
        </w:tc>
        <w:tc>
          <w:tcPr>
            <w:tcW w:w="22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Mar 2021</w:t>
            </w: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2.26%</w:t>
            </w:r>
          </w:p>
        </w:tc>
        <w:tc>
          <w:tcPr>
            <w:tcW w:w="220" w:type="dxa"/>
            <w:vAlign w:val="bottom"/>
            <w:tcBorders>
              <w:top w:val="single" w:sz="8" w:color="E5FFFF"/>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39,263</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38,657</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ING Bank N.V.</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Feb 2012</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2021</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39,263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38,657</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SEB</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2012</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2"/>
              </w:rPr>
              <w:t>Mar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4"/>
              </w:rPr>
              <w:t>Mar 2021</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12,636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12,441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ING Bank N.V.</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2012</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2021</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12,636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12,441</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2012</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2"/>
              </w:rPr>
              <w:t>Mar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4"/>
              </w:rPr>
              <w:t>Mar 2021</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2.05%</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12,636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12,441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GAS-eight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CBA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2012</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 2021</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2.06%</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12,636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12,441</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GAS-one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Danish Ship Finance</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Oct 2011</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Nov 2011</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1"/>
              </w:rPr>
              <w:t>May 2020</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2.10%</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64,095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62,990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GAS-one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Danish Ship Finance</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2013</w:t>
            </w: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Aug 2013</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May 2020</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55,554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54,596</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GAS-six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ABN-AMRO Bank</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2012</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0"/>
              </w:rPr>
              <w:t>July 2013</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July 2019</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1.72%</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55,096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54,162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GAS-seven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Credit Suisse AG</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 2012</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Nov 2013</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Nov 2020</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2.23%</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96,000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94,500</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GAS-seven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Credit Suisse AG</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1"/>
              </w:rPr>
              <w:t>May 2019</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1.77%</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32,000</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31,500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GAS-two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CBA</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Sept 2013</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Feb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28,333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GAS-two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DNB Bank ASA</w:t>
            </w:r>
          </w:p>
        </w:tc>
        <w:tc>
          <w:tcPr>
            <w:tcW w:w="10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7"/>
              </w:rPr>
              <w:t>Sept 2013</w:t>
            </w:r>
          </w:p>
        </w:tc>
        <w:tc>
          <w:tcPr>
            <w:tcW w:w="104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89"/>
              </w:rPr>
              <w:t>Feb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8"/>
              </w:rPr>
              <w:t>April 2018</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1.69%</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28,333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27,500</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GAS-two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SEB</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Sept 2013</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Feb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April 2018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22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28,333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r>
        <w:trPr>
          <w:trHeight w:val="223"/>
        </w:trPr>
        <w:tc>
          <w:tcPr>
            <w:tcW w:w="15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6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120" w:type="dxa"/>
            <w:vAlign w:val="bottom"/>
            <w:tcBorders>
              <w:top w:val="single" w:sz="8" w:color="E5FFFF"/>
              <w:bottom w:val="single" w:sz="8" w:color="E5FFFF"/>
            </w:tcBorders>
            <w:gridSpan w:val="2"/>
            <w:shd w:val="clear" w:color="auto" w:fill="E5FFFF"/>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516,814</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507,326</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derivative instruments listed above were not designated as cash flow hedging instruments as of March 31, 2016. The change in the fair value of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contracts for the three months ended March 31, 2016 amounted to a net loss of $8,137 (for the three months ended March 31, 2015: $4,509), which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against profit or loss in the period incurred and is included in Loss on swaps. During the three months ended March 31, 2016, the net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$8,137 derived mainly from the fact that the LIBOR yield curve, which was used to calculate the present value of the estimated future cash flows, was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than the agreed fixed interest rates resulting in an increase in derivative liabilities from interest rate swaps held for trading.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 agreements (“CCS”)</w:t>
      </w:r>
    </w:p>
    <w:p>
      <w:pPr>
        <w:spacing w:after="0" w:line="148"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The Group enters into CCSs which convert the floating interest rate exposure and the variability of the USD functional currency equivalent cash flows into a fixed interest rate and principal on maturity in order to hedge the Group’s exposure to fluctuations deriving from its senior unsecured notes which are denominated in NOK.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terms of the CCSs designated as cash flow hedging instruments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Fixed</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Trade</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Effective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Termination</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3480" w:type="dxa"/>
            <w:vAlign w:val="bottom"/>
            <w:gridSpan w:val="4"/>
          </w:tcPr>
          <w:p>
            <w:pPr>
              <w:ind w:left="1020"/>
              <w:spacing w:after="0"/>
              <w:rPr>
                <w:sz w:val="20"/>
                <w:szCs w:val="20"/>
                <w:color w:val="auto"/>
              </w:rPr>
            </w:pPr>
            <w:r>
              <w:rPr>
                <w:rFonts w:ascii="Arial" w:cs="Arial" w:eastAsia="Arial" w:hAnsi="Arial"/>
                <w:sz w:val="18"/>
                <w:szCs w:val="18"/>
                <w:b w:val="1"/>
                <w:bCs w:val="1"/>
                <w:color w:val="auto"/>
              </w:rPr>
              <w:t>Notional Amount</w:t>
            </w:r>
          </w:p>
        </w:tc>
      </w:tr>
      <w:tr>
        <w:trPr>
          <w:trHeight w:val="223"/>
        </w:trPr>
        <w:tc>
          <w:tcPr>
            <w:tcW w:w="150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220" w:type="dxa"/>
            <w:vAlign w:val="bottom"/>
          </w:tcPr>
          <w:p>
            <w:pPr>
              <w:spacing w:after="0"/>
              <w:rPr>
                <w:sz w:val="19"/>
                <w:szCs w:val="19"/>
                <w:color w:val="auto"/>
              </w:rPr>
            </w:pPr>
          </w:p>
        </w:tc>
        <w:tc>
          <w:tcPr>
            <w:tcW w:w="1840" w:type="dxa"/>
            <w:vAlign w:val="bottom"/>
            <w:gridSpan w:val="2"/>
          </w:tcPr>
          <w:p>
            <w:pPr>
              <w:ind w:left="280"/>
              <w:spacing w:after="0"/>
              <w:rPr>
                <w:sz w:val="20"/>
                <w:szCs w:val="20"/>
                <w:color w:val="auto"/>
              </w:rPr>
            </w:pPr>
            <w:r>
              <w:rPr>
                <w:rFonts w:ascii="Arial" w:cs="Arial" w:eastAsia="Arial" w:hAnsi="Arial"/>
                <w:sz w:val="18"/>
                <w:szCs w:val="18"/>
                <w:b w:val="1"/>
                <w:bCs w:val="1"/>
                <w:color w:val="auto"/>
              </w:rPr>
              <w:t>Counterparty</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Rate</w:t>
            </w:r>
          </w:p>
        </w:tc>
        <w:tc>
          <w:tcPr>
            <w:tcW w:w="21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8"/>
              </w:rPr>
              <w:t>December 31, 2015</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March 31, 2016</w:t>
            </w:r>
          </w:p>
        </w:tc>
        <w:tc>
          <w:tcPr>
            <w:tcW w:w="100" w:type="dxa"/>
            <w:vAlign w:val="bottom"/>
          </w:tcPr>
          <w:p>
            <w:pPr>
              <w:spacing w:after="0"/>
              <w:rPr>
                <w:sz w:val="19"/>
                <w:szCs w:val="19"/>
                <w:color w:val="auto"/>
              </w:rPr>
            </w:pPr>
          </w:p>
        </w:tc>
      </w:tr>
      <w:tr>
        <w:trPr>
          <w:trHeight w:val="210"/>
        </w:trPr>
        <w:tc>
          <w:tcPr>
            <w:tcW w:w="15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GasLog Ltd.</w:t>
            </w:r>
          </w:p>
        </w:tc>
        <w:tc>
          <w:tcPr>
            <w:tcW w:w="220" w:type="dxa"/>
            <w:vAlign w:val="bottom"/>
            <w:tcBorders>
              <w:top w:val="single" w:sz="8" w:color="E5FFFF"/>
            </w:tcBorders>
            <w:shd w:val="clear" w:color="auto" w:fill="E5FFFF"/>
          </w:tcPr>
          <w:p>
            <w:pPr>
              <w:spacing w:after="0"/>
              <w:rPr>
                <w:sz w:val="18"/>
                <w:szCs w:val="18"/>
                <w:color w:val="auto"/>
              </w:rPr>
            </w:pPr>
          </w:p>
        </w:tc>
        <w:tc>
          <w:tcPr>
            <w:tcW w:w="16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color w:val="auto"/>
              </w:rPr>
              <w:t>DNB Bank ASA</w:t>
            </w:r>
          </w:p>
        </w:tc>
        <w:tc>
          <w:tcPr>
            <w:tcW w:w="2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June 2013</w:t>
            </w:r>
          </w:p>
        </w:tc>
        <w:tc>
          <w:tcPr>
            <w:tcW w:w="22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7"/>
              </w:rPr>
              <w:t>June 2013</w:t>
            </w:r>
          </w:p>
        </w:tc>
        <w:tc>
          <w:tcPr>
            <w:tcW w:w="22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5"/>
              </w:rPr>
              <w:t>June 2018</w:t>
            </w:r>
          </w:p>
        </w:tc>
        <w:tc>
          <w:tcPr>
            <w:tcW w:w="220" w:type="dxa"/>
            <w:vAlign w:val="bottom"/>
            <w:tcBorders>
              <w:top w:val="single" w:sz="8" w:color="E5FFFF"/>
            </w:tcBorders>
            <w:shd w:val="clear" w:color="auto" w:fill="E5FFFF"/>
          </w:tcPr>
          <w:p>
            <w:pPr>
              <w:spacing w:after="0"/>
              <w:rPr>
                <w:sz w:val="18"/>
                <w:szCs w:val="18"/>
                <w:color w:val="auto"/>
              </w:rPr>
            </w:pPr>
          </w:p>
        </w:tc>
        <w:tc>
          <w:tcPr>
            <w:tcW w:w="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0"/>
              </w:rPr>
              <w:t>7.40%</w:t>
            </w:r>
          </w:p>
        </w:tc>
        <w:tc>
          <w:tcPr>
            <w:tcW w:w="220" w:type="dxa"/>
            <w:vAlign w:val="bottom"/>
            <w:tcBorders>
              <w:top w:val="single" w:sz="8" w:color="E5FFFF"/>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27,732</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GasLog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SEB</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2013</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June 2013</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7.41%</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27,731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27,731</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GasLog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Nordea Bank Finland</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7"/>
              </w:rPr>
              <w:t>June 2013</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7"/>
              </w:rPr>
              <w:t>June 2013</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2018</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7.43%</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27,743</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27,743</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GasLog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DNB Bank ASA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27,871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27,871</w:t>
            </w:r>
          </w:p>
        </w:tc>
      </w:tr>
      <w:tr>
        <w:trPr>
          <w:trHeight w:val="216"/>
        </w:trPr>
        <w:tc>
          <w:tcPr>
            <w:tcW w:w="1500" w:type="dxa"/>
            <w:vAlign w:val="bottom"/>
            <w:shd w:val="clear" w:color="auto" w:fill="E5FFFF"/>
          </w:tcPr>
          <w:p>
            <w:pPr>
              <w:spacing w:after="0"/>
              <w:rPr>
                <w:sz w:val="20"/>
                <w:szCs w:val="20"/>
                <w:color w:val="auto"/>
              </w:rPr>
            </w:pPr>
            <w:r>
              <w:rPr>
                <w:rFonts w:ascii="Arial" w:cs="Arial" w:eastAsia="Arial" w:hAnsi="Arial"/>
                <w:sz w:val="18"/>
                <w:szCs w:val="18"/>
                <w:color w:val="auto"/>
              </w:rPr>
              <w:t>GasLog Ltd.</w:t>
            </w:r>
          </w:p>
        </w:tc>
        <w:tc>
          <w:tcPr>
            <w:tcW w:w="2060" w:type="dxa"/>
            <w:vAlign w:val="bottom"/>
            <w:gridSpan w:val="3"/>
            <w:shd w:val="clear" w:color="auto" w:fill="E5FFFF"/>
          </w:tcPr>
          <w:p>
            <w:pPr>
              <w:ind w:left="220"/>
              <w:spacing w:after="0"/>
              <w:rPr>
                <w:sz w:val="20"/>
                <w:szCs w:val="20"/>
                <w:color w:val="auto"/>
              </w:rPr>
            </w:pPr>
            <w:r>
              <w:rPr>
                <w:rFonts w:ascii="Arial" w:cs="Arial" w:eastAsia="Arial" w:hAnsi="Arial"/>
                <w:sz w:val="18"/>
                <w:szCs w:val="18"/>
                <w:color w:val="auto"/>
              </w:rPr>
              <w:t>SEB</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93"/>
              </w:rPr>
              <w:t>May 2014</w:t>
            </w:r>
          </w:p>
        </w:tc>
        <w:tc>
          <w:tcPr>
            <w:tcW w:w="1180" w:type="dxa"/>
            <w:vAlign w:val="bottom"/>
            <w:gridSpan w:val="2"/>
            <w:shd w:val="clear" w:color="auto" w:fill="E5FFFF"/>
          </w:tcPr>
          <w:p>
            <w:pPr>
              <w:jc w:val="center"/>
              <w:ind w:right="220"/>
              <w:spacing w:after="0"/>
              <w:rPr>
                <w:sz w:val="20"/>
                <w:szCs w:val="20"/>
                <w:color w:val="auto"/>
              </w:rPr>
            </w:pPr>
            <w:r>
              <w:rPr>
                <w:rFonts w:ascii="Arial" w:cs="Arial" w:eastAsia="Arial" w:hAnsi="Arial"/>
                <w:sz w:val="18"/>
                <w:szCs w:val="18"/>
                <w:color w:val="auto"/>
                <w:w w:val="85"/>
              </w:rPr>
              <w:t>June 2018</w:t>
            </w:r>
          </w:p>
        </w:tc>
        <w:tc>
          <w:tcPr>
            <w:tcW w:w="90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shd w:val="clear" w:color="auto" w:fill="E5FFFF"/>
          </w:tcPr>
          <w:p>
            <w:pPr>
              <w:spacing w:after="0"/>
              <w:rPr>
                <w:sz w:val="18"/>
                <w:szCs w:val="18"/>
                <w:color w:val="auto"/>
              </w:rPr>
            </w:pPr>
          </w:p>
        </w:tc>
        <w:tc>
          <w:tcPr>
            <w:tcW w:w="212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27,871</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27,871</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GasLog Ltd.</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Nordea Bank Finland</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2014</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May 2014</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June 2018</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5.99%</w:t>
            </w:r>
          </w:p>
        </w:tc>
        <w:tc>
          <w:tcPr>
            <w:tcW w:w="220" w:type="dxa"/>
            <w:vAlign w:val="bottom"/>
          </w:tcPr>
          <w:p>
            <w:pPr>
              <w:spacing w:after="0"/>
              <w:rPr>
                <w:sz w:val="19"/>
                <w:szCs w:val="19"/>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27,871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27,871</w:t>
            </w:r>
          </w:p>
        </w:tc>
      </w:tr>
      <w:tr>
        <w:trPr>
          <w:trHeight w:val="223"/>
        </w:trPr>
        <w:tc>
          <w:tcPr>
            <w:tcW w:w="15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6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82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96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120" w:type="dxa"/>
            <w:vAlign w:val="bottom"/>
            <w:tcBorders>
              <w:top w:val="single" w:sz="8" w:color="E5FFFF"/>
              <w:bottom w:val="single" w:sz="8" w:color="E5FFFF"/>
            </w:tcBorders>
            <w:gridSpan w:val="2"/>
            <w:shd w:val="clear" w:color="auto" w:fill="E5FFFF"/>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1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166,819</w:t>
            </w:r>
          </w:p>
        </w:tc>
        <w:tc>
          <w:tcPr>
            <w:tcW w:w="32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166,819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For the three months ended March 31, 2016, the effective portion of changes in the fair value of CCSs amounting to a gain of $6,226 has been recognized in Other comprehensive income (for the three months ended March 31, 2015: loss of $11,809). For the three months ended March 31, 2016, a loss of $858 was recycled to profit or loss representing the realized loss on CCSs in relation to the interest expense component of the hedge (for the three months ended March 31, 2015: $537). Additionally, for the three months ended March 31, 2016, a loss of $6,369, was recognized in Other comprehensive income in relation to the retranslation of the Bond in U.S. dollars as of March 31, 2016 (for the three months ended March 31, 2015: gain of $10,467).</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13. Financial Costs and Loss on Swaps</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8360" w:type="dxa"/>
            <w:vAlign w:val="bottom"/>
          </w:tcPr>
          <w:p>
            <w:pPr>
              <w:ind w:left="340"/>
              <w:spacing w:after="0"/>
              <w:rPr>
                <w:sz w:val="20"/>
                <w:szCs w:val="20"/>
                <w:color w:val="auto"/>
              </w:rPr>
            </w:pPr>
            <w:r>
              <w:rPr>
                <w:rFonts w:ascii="Arial" w:cs="Arial" w:eastAsia="Arial" w:hAnsi="Arial"/>
                <w:sz w:val="18"/>
                <w:szCs w:val="18"/>
                <w:color w:val="auto"/>
              </w:rPr>
              <w:t>An analysis of financial costs and gain/loss on swaps is as follows:</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360" w:type="dxa"/>
            <w:vAlign w:val="bottom"/>
          </w:tcPr>
          <w:p>
            <w:pPr>
              <w:spacing w:after="0"/>
              <w:rPr>
                <w:sz w:val="24"/>
                <w:szCs w:val="24"/>
                <w:color w:val="auto"/>
              </w:rPr>
            </w:pPr>
          </w:p>
        </w:tc>
        <w:tc>
          <w:tcPr>
            <w:tcW w:w="3060" w:type="dxa"/>
            <w:vAlign w:val="bottom"/>
            <w:gridSpan w:val="5"/>
          </w:tcPr>
          <w:p>
            <w:pPr>
              <w:ind w:left="40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36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March 31, 2015</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2016</w:t>
            </w: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Amortization of deferred loan issuance costs and premium</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1,946</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6,027</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Interest expense on loans and realized loss on cash flow hedges</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13,558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18,313</w:t>
            </w:r>
          </w:p>
        </w:tc>
        <w:tc>
          <w:tcPr>
            <w:tcW w:w="80" w:type="dxa"/>
            <w:vAlign w:val="bottom"/>
          </w:tcPr>
          <w:p>
            <w:pPr>
              <w:spacing w:after="0"/>
              <w:rPr>
                <w:sz w:val="18"/>
                <w:szCs w:val="18"/>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Interest expense on Bond and realized loss on cross-currency swaps</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2,794</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2,825</w:t>
            </w:r>
          </w:p>
        </w:tc>
        <w:tc>
          <w:tcPr>
            <w:tcW w:w="80" w:type="dxa"/>
            <w:vAlign w:val="bottom"/>
            <w:shd w:val="clear" w:color="auto" w:fill="E5FF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Finance lease charge</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230</w:t>
            </w: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947</w:t>
            </w:r>
          </w:p>
        </w:tc>
        <w:tc>
          <w:tcPr>
            <w:tcW w:w="80" w:type="dxa"/>
            <w:vAlign w:val="bottom"/>
            <w:shd w:val="clear" w:color="auto" w:fill="E5FFFF"/>
          </w:tcPr>
          <w:p>
            <w:pPr>
              <w:spacing w:after="0"/>
              <w:rPr>
                <w:sz w:val="19"/>
                <w:szCs w:val="19"/>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financial costs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18,528</w:t>
            </w: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82"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Unrealized loss on interest rate swaps held for trading (Note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Realized loss on interest rate swaps held for trading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Recycled loss of cash flow hedges reclassified to profit or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Ineffective portion of cash flow hedges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loss on swaps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820" w:type="dxa"/>
        <w:tblCellMar>
          <w:top w:w="0" w:type="dxa"/>
          <w:left w:w="0" w:type="dxa"/>
          <w:bottom w:w="0" w:type="dxa"/>
          <w:right w:w="0" w:type="dxa"/>
        </w:tblCellMar>
      </w:tblPr>
      <w:tr>
        <w:trPr>
          <w:trHeight w:val="216"/>
        </w:trPr>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4,509</w:t>
            </w:r>
          </w:p>
        </w:tc>
        <w:tc>
          <w:tcPr>
            <w:tcW w:w="1260" w:type="dxa"/>
            <w:vAlign w:val="bottom"/>
          </w:tcPr>
          <w:p>
            <w:pPr>
              <w:jc w:val="right"/>
              <w:spacing w:after="0"/>
              <w:rPr>
                <w:sz w:val="20"/>
                <w:szCs w:val="20"/>
                <w:color w:val="auto"/>
              </w:rPr>
            </w:pPr>
            <w:r>
              <w:rPr>
                <w:rFonts w:ascii="Arial" w:cs="Arial" w:eastAsia="Arial" w:hAnsi="Arial"/>
                <w:sz w:val="18"/>
                <w:szCs w:val="18"/>
                <w:color w:val="auto"/>
              </w:rPr>
              <w:t>8,137</w:t>
            </w:r>
          </w:p>
        </w:tc>
      </w:tr>
      <w:tr>
        <w:trPr>
          <w:trHeight w:val="216"/>
        </w:trPr>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2,197</w:t>
            </w:r>
          </w:p>
        </w:tc>
        <w:tc>
          <w:tcPr>
            <w:tcW w:w="1260" w:type="dxa"/>
            <w:vAlign w:val="bottom"/>
          </w:tcPr>
          <w:p>
            <w:pPr>
              <w:jc w:val="right"/>
              <w:spacing w:after="0"/>
              <w:rPr>
                <w:sz w:val="20"/>
                <w:szCs w:val="20"/>
                <w:color w:val="auto"/>
              </w:rPr>
            </w:pPr>
            <w:r>
              <w:rPr>
                <w:rFonts w:ascii="Arial" w:cs="Arial" w:eastAsia="Arial" w:hAnsi="Arial"/>
                <w:sz w:val="18"/>
                <w:szCs w:val="18"/>
                <w:color w:val="auto"/>
              </w:rPr>
              <w:t>1,928</w:t>
            </w:r>
          </w:p>
        </w:tc>
      </w:tr>
      <w:tr>
        <w:trPr>
          <w:trHeight w:val="216"/>
        </w:trPr>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284</w:t>
            </w:r>
          </w:p>
        </w:tc>
        <w:tc>
          <w:tcPr>
            <w:tcW w:w="12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44"/>
        </w:trPr>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6,979</w:t>
            </w: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10,414</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-462280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-179705</wp:posOffset>
            </wp:positionV>
            <wp:extent cx="72466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152400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820" w:space="720"/>
            <w:col w:w="5880"/>
          </w:cols>
          <w:pgMar w:left="240" w:top="382" w:right="23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14. Non-cash Items on Statements of Cash Flows</w:t>
      </w:r>
    </w:p>
    <w:p>
      <w:pPr>
        <w:spacing w:after="0" w:line="14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As of March 31, 2016, there are capital expenditures for vessels and vessels under construction of $5,169 that have not been paid during the three months ended March 31, 2016 and are included in current liabilities (December 31, 2015: $12,576). Also, as of March 31, 2015, there were capital expenditures of $6,045 that had not been paid during the three months ended March 31, 2015 and were included in current liabilities (December 31, 2014: $7,999).</w:t>
      </w:r>
    </w:p>
    <w:p>
      <w:pPr>
        <w:spacing w:after="0" w:line="14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March 31, 2016, there are equity raising costs of $17 that have not been paid during the three months ended March 31, 2016 and are included in current liabilities (December 31, 2015: $59). Also, as of March 31, 2015, there were equity raising costs of $41 that had not been paid during the three months ended March 31, 2015 and were included in current liabilities (December 31, 2014: $174).</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March 31, 2016, there are loan issuance costs of $3,673 that have not been paid during the three months ended March 31, 2016 and are included in current liabilities (December 31, 2015: $247). Also, as of March 31, 2015, there were loan issuance costs of $3,432 that had not been paid during the three months ended March 31, 2015 and were included in current liabilities (December 31, 2014: $903).</w:t>
      </w:r>
    </w:p>
    <w:p>
      <w:pPr>
        <w:spacing w:after="0" w:line="18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March 31, 2016, there are expenditures for vessel held under finance lease of $430 that have not been paid during the three months ended March 31, 2016 and are included in liabilities at the end of the period (December 31, 2015: $0).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terms of the 2013 Omnibus Incentive Compensation Plan (the “Plan”) and the assumptions for the valuation of Restricted Stock Units (“RSUs”) and Stock Appreciation Rights (“SARs”) have been disclosed in Note 20 “Share-Based Compensation” in the annual audited consolidated financial statements for the year ended December 31, 2015.</w:t>
      </w:r>
    </w:p>
    <w:p>
      <w:pPr>
        <w:spacing w:after="0" w:line="181" w:lineRule="exact"/>
        <w:rPr>
          <w:sz w:val="20"/>
          <w:szCs w:val="20"/>
          <w:color w:val="auto"/>
        </w:rPr>
      </w:pPr>
    </w:p>
    <w:p>
      <w:pPr>
        <w:ind w:right="460" w:firstLine="324"/>
        <w:spacing w:after="0" w:line="259" w:lineRule="auto"/>
        <w:rPr>
          <w:sz w:val="20"/>
          <w:szCs w:val="20"/>
          <w:color w:val="auto"/>
        </w:rPr>
      </w:pPr>
      <w:r>
        <w:rPr>
          <w:rFonts w:ascii="Arial" w:cs="Arial" w:eastAsia="Arial" w:hAnsi="Arial"/>
          <w:sz w:val="18"/>
          <w:szCs w:val="18"/>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Movement in RSUs and SARs during the period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summary of RSUs and SARs is presented below:</w:t>
      </w:r>
    </w:p>
    <w:p>
      <w:pPr>
        <w:sectPr>
          <w:pgSz w:w="11900" w:h="16838" w:orient="portrait"/>
          <w:cols w:equalWidth="0" w:num="1">
            <w:col w:w="11420"/>
          </w:cols>
          <w:pgMar w:left="240" w:top="37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RSUs</w:t>
      </w:r>
    </w:p>
    <w:p>
      <w:pPr>
        <w:spacing w:after="0" w:line="27" w:lineRule="exact"/>
        <w:rPr>
          <w:sz w:val="20"/>
          <w:szCs w:val="20"/>
          <w:color w:val="auto"/>
        </w:rPr>
      </w:pPr>
    </w:p>
    <w:p>
      <w:pPr>
        <w:ind w:left="300"/>
        <w:spacing w:after="0" w:line="250" w:lineRule="auto"/>
        <w:rPr>
          <w:sz w:val="20"/>
          <w:szCs w:val="20"/>
          <w:color w:val="auto"/>
        </w:rPr>
      </w:pPr>
      <w:r>
        <w:rPr>
          <w:rFonts w:ascii="Arial" w:cs="Arial" w:eastAsia="Arial" w:hAnsi="Arial"/>
          <w:sz w:val="18"/>
          <w:szCs w:val="18"/>
          <w:b w:val="1"/>
          <w:bCs w:val="1"/>
          <w:color w:val="auto"/>
        </w:rPr>
        <w:t xml:space="preserve">Outstanding as of January 1, 2016 </w:t>
      </w:r>
      <w:r>
        <w:rPr>
          <w:rFonts w:ascii="Arial" w:cs="Arial" w:eastAsia="Arial" w:hAnsi="Arial"/>
          <w:sz w:val="18"/>
          <w:szCs w:val="18"/>
          <w:color w:val="auto"/>
        </w:rPr>
        <w:t>Forfeited during the period</w:t>
      </w:r>
    </w:p>
    <w:p>
      <w:pPr>
        <w:spacing w:after="0" w:line="1" w:lineRule="exact"/>
        <w:rPr>
          <w:sz w:val="20"/>
          <w:szCs w:val="20"/>
          <w:color w:val="auto"/>
        </w:rPr>
      </w:pPr>
    </w:p>
    <w:p>
      <w:pPr>
        <w:ind w:left="300" w:right="20"/>
        <w:spacing w:after="0" w:line="297" w:lineRule="auto"/>
        <w:rPr>
          <w:sz w:val="20"/>
          <w:szCs w:val="20"/>
          <w:color w:val="auto"/>
        </w:rPr>
      </w:pPr>
      <w:r>
        <w:rPr>
          <w:rFonts w:ascii="Arial" w:cs="Arial" w:eastAsia="Arial" w:hAnsi="Arial"/>
          <w:sz w:val="18"/>
          <w:szCs w:val="18"/>
          <w:b w:val="1"/>
          <w:bCs w:val="1"/>
          <w:color w:val="auto"/>
        </w:rPr>
        <w:t>Outstanding as of March 31, 2016 SARs</w:t>
      </w:r>
    </w:p>
    <w:p>
      <w:pPr>
        <w:spacing w:after="0" w:line="1" w:lineRule="exact"/>
        <w:rPr>
          <w:sz w:val="20"/>
          <w:szCs w:val="20"/>
          <w:color w:val="auto"/>
        </w:rPr>
      </w:pPr>
    </w:p>
    <w:p>
      <w:pPr>
        <w:ind w:left="300"/>
        <w:spacing w:after="0" w:line="250" w:lineRule="auto"/>
        <w:rPr>
          <w:sz w:val="20"/>
          <w:szCs w:val="20"/>
          <w:color w:val="auto"/>
        </w:rPr>
      </w:pPr>
      <w:r>
        <w:rPr>
          <w:rFonts w:ascii="Arial" w:cs="Arial" w:eastAsia="Arial" w:hAnsi="Arial"/>
          <w:sz w:val="18"/>
          <w:szCs w:val="18"/>
          <w:b w:val="1"/>
          <w:bCs w:val="1"/>
          <w:color w:val="auto"/>
        </w:rPr>
        <w:t xml:space="preserve">Outstanding as of January 1, 2016 </w:t>
      </w:r>
      <w:r>
        <w:rPr>
          <w:rFonts w:ascii="Arial" w:cs="Arial" w:eastAsia="Arial" w:hAnsi="Arial"/>
          <w:sz w:val="18"/>
          <w:szCs w:val="18"/>
          <w:color w:val="auto"/>
        </w:rPr>
        <w:t>Forfeited during the period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Outstanding as of March 31, 2016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exercise</w:t>
            </w: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share price at</w:t>
            </w: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 of</w:t>
            </w: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price per</w:t>
            </w: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the date of</w:t>
            </w: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contractual</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Aggregate fair</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awards</w:t>
            </w:r>
          </w:p>
        </w:tc>
        <w:tc>
          <w:tcPr>
            <w:tcW w:w="32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3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34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320" w:type="dxa"/>
            <w:vAlign w:val="bottom"/>
          </w:tcPr>
          <w:p>
            <w:pPr>
              <w:spacing w:after="0"/>
              <w:rPr>
                <w:sz w:val="20"/>
                <w:szCs w:val="20"/>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0"/>
                <w:szCs w:val="20"/>
                <w:color w:val="auto"/>
              </w:rPr>
            </w:pPr>
          </w:p>
        </w:tc>
      </w:tr>
      <w:tr>
        <w:trPr>
          <w:trHeight w:val="411"/>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216,968</w:t>
            </w:r>
          </w:p>
        </w:tc>
        <w:tc>
          <w:tcPr>
            <w:tcW w:w="320" w:type="dxa"/>
            <w:vAlign w:val="bottom"/>
          </w:tcPr>
          <w:p>
            <w:pPr>
              <w:spacing w:after="0"/>
              <w:rPr>
                <w:sz w:val="24"/>
                <w:szCs w:val="24"/>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3,986</w:t>
            </w:r>
          </w:p>
        </w:tc>
        <w:tc>
          <w:tcPr>
            <w:tcW w:w="60" w:type="dxa"/>
            <w:vAlign w:val="bottom"/>
          </w:tcPr>
          <w:p>
            <w:pPr>
              <w:spacing w:after="0"/>
              <w:rPr>
                <w:sz w:val="24"/>
                <w:szCs w:val="24"/>
                <w:color w:val="auto"/>
              </w:rPr>
            </w:pPr>
          </w:p>
        </w:tc>
      </w:tr>
      <w:tr>
        <w:trPr>
          <w:trHeight w:val="244"/>
        </w:trPr>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(340)</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216,628</w:t>
            </w: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3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3,979</w:t>
            </w:r>
          </w:p>
        </w:tc>
        <w:tc>
          <w:tcPr>
            <w:tcW w:w="60" w:type="dxa"/>
            <w:vAlign w:val="bottom"/>
          </w:tcPr>
          <w:p>
            <w:pPr>
              <w:spacing w:after="0"/>
              <w:rPr>
                <w:sz w:val="19"/>
                <w:szCs w:val="19"/>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873,228</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c>
          <w:tcPr>
            <w:tcW w:w="320" w:type="dxa"/>
            <w:vAlign w:val="bottom"/>
          </w:tcPr>
          <w:p>
            <w:pPr>
              <w:spacing w:after="0"/>
              <w:rPr>
                <w:sz w:val="24"/>
                <w:szCs w:val="24"/>
                <w:color w:val="auto"/>
              </w:rPr>
            </w:pPr>
          </w:p>
        </w:tc>
        <w:tc>
          <w:tcPr>
            <w:tcW w:w="1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3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4,056</w:t>
            </w:r>
          </w:p>
        </w:tc>
        <w:tc>
          <w:tcPr>
            <w:tcW w:w="60" w:type="dxa"/>
            <w:vAlign w:val="bottom"/>
          </w:tcPr>
          <w:p>
            <w:pPr>
              <w:spacing w:after="0"/>
              <w:rPr>
                <w:sz w:val="24"/>
                <w:szCs w:val="24"/>
                <w:color w:val="auto"/>
              </w:rPr>
            </w:pPr>
          </w:p>
        </w:tc>
      </w:tr>
      <w:tr>
        <w:trPr>
          <w:trHeight w:val="244"/>
        </w:trPr>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(392)</w:t>
            </w: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320" w:type="dxa"/>
            <w:vAlign w:val="bottom"/>
          </w:tcPr>
          <w:p>
            <w:pPr>
              <w:spacing w:after="0"/>
              <w:rPr>
                <w:sz w:val="21"/>
                <w:szCs w:val="21"/>
                <w:color w:val="auto"/>
              </w:rPr>
            </w:pPr>
          </w:p>
        </w:tc>
        <w:tc>
          <w:tcPr>
            <w:tcW w:w="1520" w:type="dxa"/>
            <w:vAlign w:val="bottom"/>
            <w:gridSpan w:val="2"/>
          </w:tcPr>
          <w:p>
            <w:pPr>
              <w:ind w:left="100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872,836</w:t>
            </w: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w w:val="88"/>
              </w:rPr>
              <w:t>—</w:t>
            </w:r>
          </w:p>
        </w:tc>
        <w:tc>
          <w:tcPr>
            <w:tcW w:w="3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w:t>
            </w:r>
          </w:p>
        </w:tc>
        <w:tc>
          <w:tcPr>
            <w:tcW w:w="3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4,054</w:t>
            </w:r>
          </w:p>
        </w:tc>
        <w:tc>
          <w:tcPr>
            <w:tcW w:w="60" w:type="dxa"/>
            <w:vAlign w:val="bottom"/>
          </w:tcPr>
          <w:p>
            <w:pPr>
              <w:spacing w:after="0"/>
              <w:rPr>
                <w:sz w:val="19"/>
                <w:szCs w:val="19"/>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-1208405</wp:posOffset>
            </wp:positionV>
            <wp:extent cx="687768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-925830</wp:posOffset>
            </wp:positionV>
            <wp:extent cx="68776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77685" cy="14605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-616585</wp:posOffset>
            </wp:positionV>
            <wp:extent cx="687768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7685" cy="15430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-325120</wp:posOffset>
            </wp:positionV>
            <wp:extent cx="687768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660"/>
            <w:col w:w="7840"/>
          </w:cols>
          <w:pgMar w:left="240" w:top="378" w:right="239" w:bottom="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291,676 SARs have been vested but not exercised.</w:t>
      </w:r>
    </w:p>
    <w:p>
      <w:pPr>
        <w:spacing w:after="0" w:line="225"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 terms of the 2015 Long-Term Incentive Plan (the “GasLog Partners’ Plan”) and the assumptions for the valuation of Restricted Common Units (“RCUs”) and Performance Common Units (“PCUs”) have been disclosed in Note 20 “Share-Based Compensation” in the annual audited consolidated financial statements for the year ended December 31, 2015.</w:t>
      </w:r>
    </w:p>
    <w:p>
      <w:pPr>
        <w:spacing w:after="0" w:line="181"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Movement in RCUs and PCUs during the period</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51"/>
        </w:trPr>
        <w:tc>
          <w:tcPr>
            <w:tcW w:w="300" w:type="dxa"/>
            <w:vAlign w:val="bottom"/>
          </w:tcPr>
          <w:p>
            <w:pPr>
              <w:spacing w:after="0"/>
              <w:rPr>
                <w:sz w:val="24"/>
                <w:szCs w:val="24"/>
                <w:color w:val="auto"/>
              </w:rPr>
            </w:pPr>
          </w:p>
        </w:tc>
        <w:tc>
          <w:tcPr>
            <w:tcW w:w="6080" w:type="dxa"/>
            <w:vAlign w:val="bottom"/>
          </w:tcPr>
          <w:p>
            <w:pPr>
              <w:ind w:left="40"/>
              <w:spacing w:after="0"/>
              <w:rPr>
                <w:sz w:val="20"/>
                <w:szCs w:val="20"/>
                <w:color w:val="auto"/>
              </w:rPr>
            </w:pPr>
            <w:r>
              <w:rPr>
                <w:rFonts w:ascii="Arial" w:cs="Arial" w:eastAsia="Arial" w:hAnsi="Arial"/>
                <w:sz w:val="18"/>
                <w:szCs w:val="18"/>
                <w:color w:val="auto"/>
              </w:rPr>
              <w:t>The summary of RCUs and PCUs is presented below:</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0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Number of</w:t>
            </w: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30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awards</w:t>
            </w: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contractual life</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00" w:type="dxa"/>
            <w:vAlign w:val="bottom"/>
          </w:tcPr>
          <w:p>
            <w:pPr>
              <w:spacing w:after="0"/>
              <w:rPr>
                <w:sz w:val="18"/>
                <w:szCs w:val="18"/>
                <w:color w:val="auto"/>
              </w:rPr>
            </w:pPr>
          </w:p>
        </w:tc>
        <w:tc>
          <w:tcPr>
            <w:tcW w:w="6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RCUs</w:t>
            </w:r>
          </w:p>
        </w:tc>
        <w:tc>
          <w:tcPr>
            <w:tcW w:w="1200" w:type="dxa"/>
            <w:vAlign w:val="bottom"/>
            <w:tcBorders>
              <w:top w:val="single" w:sz="8" w:color="auto"/>
            </w:tcBorders>
            <w:shd w:val="clear" w:color="auto" w:fill="E5FFFF"/>
          </w:tcPr>
          <w:p>
            <w:pPr>
              <w:spacing w:after="0"/>
              <w:rPr>
                <w:sz w:val="18"/>
                <w:szCs w:val="18"/>
                <w:color w:val="auto"/>
              </w:rPr>
            </w:pPr>
          </w:p>
        </w:tc>
        <w:tc>
          <w:tcPr>
            <w:tcW w:w="42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608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6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63"/>
        </w:trPr>
        <w:tc>
          <w:tcPr>
            <w:tcW w:w="300" w:type="dxa"/>
            <w:vAlign w:val="bottom"/>
          </w:tcPr>
          <w:p>
            <w:pPr>
              <w:spacing w:after="0"/>
              <w:rPr>
                <w:sz w:val="22"/>
                <w:szCs w:val="22"/>
                <w:color w:val="auto"/>
              </w:rPr>
            </w:pPr>
          </w:p>
        </w:tc>
        <w:tc>
          <w:tcPr>
            <w:tcW w:w="60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Outstanding as of March 31, 2016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Borders>
              <w:bottom w:val="single" w:sz="8" w:color="E5FFFF"/>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440" w:type="dxa"/>
            <w:vAlign w:val="bottom"/>
            <w:tcBorders>
              <w:bottom w:val="single" w:sz="8" w:color="E5FFFF"/>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bottom w:val="single" w:sz="8" w:color="E5FFFF"/>
            </w:tcBorders>
          </w:tcPr>
          <w:p>
            <w:pPr>
              <w:spacing w:after="0"/>
              <w:rPr>
                <w:sz w:val="22"/>
                <w:szCs w:val="22"/>
                <w:color w:val="auto"/>
              </w:rPr>
            </w:pPr>
          </w:p>
        </w:tc>
      </w:tr>
      <w:tr>
        <w:trPr>
          <w:trHeight w:val="197"/>
        </w:trPr>
        <w:tc>
          <w:tcPr>
            <w:tcW w:w="300" w:type="dxa"/>
            <w:vAlign w:val="bottom"/>
          </w:tcPr>
          <w:p>
            <w:pPr>
              <w:spacing w:after="0"/>
              <w:rPr>
                <w:sz w:val="17"/>
                <w:szCs w:val="17"/>
                <w:color w:val="auto"/>
              </w:rPr>
            </w:pPr>
          </w:p>
        </w:tc>
        <w:tc>
          <w:tcPr>
            <w:tcW w:w="60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PCUs</w:t>
            </w:r>
          </w:p>
        </w:tc>
        <w:tc>
          <w:tcPr>
            <w:tcW w:w="120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Outstanding as of January 1, 2016</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6080" w:type="dxa"/>
            <w:vAlign w:val="bottom"/>
            <w:shd w:val="clear" w:color="auto" w:fill="E5FFFF"/>
          </w:tcPr>
          <w:p>
            <w:pPr>
              <w:spacing w:after="0"/>
              <w:rPr>
                <w:sz w:val="20"/>
                <w:szCs w:val="20"/>
                <w:color w:val="auto"/>
              </w:rPr>
            </w:pPr>
            <w:r>
              <w:rPr>
                <w:rFonts w:ascii="Arial" w:cs="Arial" w:eastAsia="Arial" w:hAnsi="Arial"/>
                <w:sz w:val="18"/>
                <w:szCs w:val="18"/>
                <w:color w:val="auto"/>
              </w:rPr>
              <w:t>Granted during the period</w:t>
            </w:r>
          </w:p>
        </w:tc>
        <w:tc>
          <w:tcPr>
            <w:tcW w:w="162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84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23"/>
        </w:trPr>
        <w:tc>
          <w:tcPr>
            <w:tcW w:w="30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Outstanding as of March 31, 2016</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16,999</w:t>
            </w:r>
          </w:p>
        </w:tc>
        <w:tc>
          <w:tcPr>
            <w:tcW w:w="42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4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total expense recognized in respect of share-based compensation for the three months ended March 31, 2016 was $763 (for the three months ended March 31, 2015: $498). The total accrued cash distribution as of March 31, 2016 is $109 (December 31, 2015: $81) and is included under “Other non-current liabilities”.</w:t>
      </w:r>
    </w:p>
    <w:p>
      <w:pPr>
        <w:sectPr>
          <w:pgSz w:w="11900" w:h="16838" w:orient="portrait"/>
          <w:cols w:equalWidth="0" w:num="1">
            <w:col w:w="11420"/>
          </w:cols>
          <w:pgMar w:left="240" w:top="378" w:right="239"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167005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16. Earnings/(losses) per Share (“EPS”)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Basic earnings/(losses) per share was calculated by dividing the net profit for the period attributable to the owners of the common shares by the weighted average number of common shares issued and outstanding during the period.</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Diluted earnings/(losses) per share is calculated by dividing the profit for the period attributable to the owners of the Group by the weighted average</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number of all potential ordinary shares assumed to have been converted into common shares, unless such potential ordinary shares have an antidilutive effect.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reflects the earnings and share data used in the basic and diluted earnings per share computations: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8360" w:type="dxa"/>
            <w:vAlign w:val="bottom"/>
          </w:tcPr>
          <w:p>
            <w:pPr>
              <w:spacing w:after="0"/>
              <w:rPr>
                <w:sz w:val="20"/>
                <w:szCs w:val="20"/>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March 31, 2015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3"/>
              </w:rPr>
              <w:t>March 31, 2016</w:t>
            </w: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i w:val="1"/>
                <w:iCs w:val="1"/>
                <w:color w:val="auto"/>
              </w:rPr>
              <w:t>Basic earnings/(losses) per share</w:t>
            </w:r>
          </w:p>
        </w:tc>
        <w:tc>
          <w:tcPr>
            <w:tcW w:w="1260" w:type="dxa"/>
            <w:vAlign w:val="bottom"/>
            <w:tcBorders>
              <w:top w:val="single" w:sz="8" w:color="auto"/>
            </w:tcBorders>
            <w:shd w:val="clear" w:color="auto" w:fill="E5FFFF"/>
          </w:tcPr>
          <w:p>
            <w:pPr>
              <w:spacing w:after="0"/>
              <w:rPr>
                <w:sz w:val="18"/>
                <w:szCs w:val="18"/>
                <w:color w:val="auto"/>
              </w:rPr>
            </w:pP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4,342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(15,898)</w:t>
            </w: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Less: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Dividend on preferred stock</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(2,515)</w:t>
            </w: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Profit/(loss) for the period available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4,342</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80,495,749</w:t>
            </w:r>
          </w:p>
        </w:tc>
        <w:tc>
          <w:tcPr>
            <w:tcW w:w="44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100" w:type="dxa"/>
            <w:vAlign w:val="bottom"/>
            <w:tcBorders>
              <w:bottom w:val="single" w:sz="8" w:color="E5FFFF"/>
            </w:tcBorders>
          </w:tcPr>
          <w:p>
            <w:pPr>
              <w:spacing w:after="0"/>
              <w:rPr>
                <w:sz w:val="18"/>
                <w:szCs w:val="18"/>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Basic earnings/(losses)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0.05</w:t>
            </w:r>
          </w:p>
        </w:tc>
        <w:tc>
          <w:tcPr>
            <w:tcW w:w="4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i w:val="1"/>
                <w:iCs w:val="1"/>
                <w:color w:val="auto"/>
              </w:rPr>
              <w:t>Diluted earnings/(losses) per share</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6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Profit/(loss) for the period available to owners of the Group used in the calculation of diluted earnings per</w:t>
            </w:r>
          </w:p>
        </w:tc>
        <w:tc>
          <w:tcPr>
            <w:tcW w:w="126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44"/>
        </w:trPr>
        <w:tc>
          <w:tcPr>
            <w:tcW w:w="83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share</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4,342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(18,413)</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80,495,749</w:t>
            </w:r>
          </w:p>
        </w:tc>
        <w:tc>
          <w:tcPr>
            <w:tcW w:w="4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100" w:type="dxa"/>
            <w:vAlign w:val="bottom"/>
          </w:tcPr>
          <w:p>
            <w:pPr>
              <w:spacing w:after="0"/>
              <w:rPr>
                <w:sz w:val="18"/>
                <w:szCs w:val="18"/>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Dilutive potential ordinary shares</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142,643</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w:t>
            </w: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Weighted average number of shares used in the calculation of diluted earnings per share</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80,638,392</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80,496,499</w:t>
            </w:r>
          </w:p>
        </w:tc>
        <w:tc>
          <w:tcPr>
            <w:tcW w:w="100" w:type="dxa"/>
            <w:vAlign w:val="bottom"/>
            <w:tcBorders>
              <w:bottom w:val="single" w:sz="8" w:color="E5FFFF"/>
            </w:tcBorders>
          </w:tcPr>
          <w:p>
            <w:pPr>
              <w:spacing w:after="0"/>
              <w:rPr>
                <w:sz w:val="18"/>
                <w:szCs w:val="18"/>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Diluted earnings/(losses) per share</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0.05</w:t>
            </w:r>
          </w:p>
        </w:tc>
        <w:tc>
          <w:tcPr>
            <w:tcW w:w="44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02" w:lineRule="exact"/>
        <w:rPr>
          <w:sz w:val="20"/>
          <w:szCs w:val="20"/>
          <w:color w:val="auto"/>
        </w:rPr>
      </w:pPr>
    </w:p>
    <w:p>
      <w:pPr>
        <w:ind w:right="240" w:firstLine="366"/>
        <w:spacing w:after="0" w:line="277" w:lineRule="auto"/>
        <w:rPr>
          <w:sz w:val="20"/>
          <w:szCs w:val="20"/>
          <w:color w:val="auto"/>
        </w:rPr>
      </w:pPr>
      <w:r>
        <w:rPr>
          <w:rFonts w:ascii="Arial" w:cs="Arial" w:eastAsia="Arial" w:hAnsi="Arial"/>
          <w:sz w:val="18"/>
          <w:szCs w:val="18"/>
          <w:color w:val="auto"/>
        </w:rPr>
        <w:t>The Group excluded the dilutive effect of 872,836 SARs and 216,628 RSUs in calculating diluted EPS for the three months ended March 31, 2016, as they were anti-dilutive (March 31, 2015: 285,024 SARs).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April 5, 2016, $395,450 and $179,750 under the senior and junior tranche, respectively, of the Credit Agreements were drawn (Note 6). Following the decrease in the aggregate available amount by $1,300, the senior tranche facility provides for four advances of $72,288 each and a fifth advance of $106,298. The first four advances shall be repaid in 20 quarterly equal installments commencing three months after the relevant drawdown dates while the fifth advance shall be repaid in 17 quarterly equal installments commencing 12 months after the relevant drawdown date, with a balloon payment together with the final installments. The junior tranche facility provides for four advances of $29,964 each and a fifth advance of $59,894. Each advance under the junior tranche shall be repaid in full 24 months after the relevant drawdown dates. Amounts drawn will bear interest at LIBOR plus a margin (variable margin for the junior tranche).</w:t>
      </w:r>
    </w:p>
    <w:p>
      <w:pPr>
        <w:spacing w:after="0" w:line="18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On April 5, 2016, $575,200 drawn under the Credit Agreements was used to partially refinance $644,000 of the outstanding debt of GAS-eighteen Ltd., GAS-nineteen Ltd., GAS-twenty Ltd., GAS-twenty one Ltd. and GAS-twenty seven Ltd. The balance of $68,800 was paid from available cash.</w:t>
      </w:r>
    </w:p>
    <w:p>
      <w:pPr>
        <w:spacing w:after="0" w:line="12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May 5, 2016, the board of directors declared a quarterly cash dividend of $0.14 per common share payable on May 26, 2015 to shareholders of record as of May 16,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6"/>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lvl w:ilvl="1">
      <w:lvlJc w:val="left"/>
      <w:lvlText w:val="(%2)"/>
      <w:numFmt w:val="lowerRoman"/>
      <w:start w:val="1"/>
    </w:lvl>
  </w:abstractNum>
  <w:abstractNum w:abstractNumId="15">
    <w:nsid w:val="3F2DBA31"/>
    <w:multiLevelType w:val="hybridMultilevel"/>
    <w:lvl w:ilvl="0">
      <w:lvlJc w:val="left"/>
      <w:lvlText w:val="(%1)"/>
      <w:numFmt w:val="lowerRoman"/>
      <w:start w:val="1"/>
    </w:lvl>
  </w:abstractNum>
  <w:abstractNum w:abstractNumId="16">
    <w:nsid w:val="7C83E458"/>
    <w:multiLevelType w:val="hybridMultilevel"/>
    <w:lvl w:ilvl="0">
      <w:lvlJc w:val="left"/>
      <w:lvlText w:val="(%1)"/>
      <w:numFmt w:val="lowerRoman"/>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lowerLetter"/>
      <w:start w:val="4"/>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2019-12-08T21:46:38Z</dcterms:created>
  <dcterms:modified xsi:type="dcterms:W3CDTF">2019-12-08T21:46:38Z</dcterms:modified>
</cp:coreProperties>
</file>