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380" w:type="dxa"/>
            <w:vAlign w:val="bottom"/>
          </w:tcPr>
          <w:p>
            <w:pPr>
              <w:jc w:val="center"/>
              <w:ind w:left="770"/>
              <w:spacing w:after="0"/>
              <w:rPr>
                <w:sz w:val="20"/>
                <w:szCs w:val="20"/>
                <w:color w:val="auto"/>
              </w:rPr>
            </w:pPr>
            <w:r>
              <w:rPr>
                <w:rFonts w:ascii="Arial" w:cs="Arial" w:eastAsia="Arial" w:hAnsi="Arial"/>
                <w:sz w:val="18"/>
                <w:szCs w:val="18"/>
                <w:b w:val="1"/>
                <w:bCs w:val="1"/>
                <w:color w:val="auto"/>
                <w:w w:val="96"/>
              </w:rPr>
              <w:t>Form 6-K</w:t>
            </w:r>
          </w:p>
        </w:tc>
        <w:tc>
          <w:tcPr>
            <w:tcW w:w="900" w:type="dxa"/>
            <w:vAlign w:val="bottom"/>
          </w:tcPr>
          <w:p>
            <w:pPr>
              <w:spacing w:after="0"/>
              <w:rPr>
                <w:sz w:val="20"/>
                <w:szCs w:val="20"/>
                <w:color w:val="auto"/>
              </w:rPr>
            </w:pPr>
          </w:p>
        </w:tc>
      </w:tr>
      <w:tr>
        <w:trPr>
          <w:trHeight w:val="414"/>
        </w:trPr>
        <w:tc>
          <w:tcPr>
            <w:tcW w:w="10380" w:type="dxa"/>
            <w:vAlign w:val="bottom"/>
          </w:tcPr>
          <w:p>
            <w:pPr>
              <w:jc w:val="center"/>
              <w:ind w:left="79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900" w:type="dxa"/>
            <w:vAlign w:val="bottom"/>
          </w:tcPr>
          <w:p>
            <w:pPr>
              <w:spacing w:after="0"/>
              <w:rPr>
                <w:sz w:val="24"/>
                <w:szCs w:val="24"/>
                <w:color w:val="auto"/>
              </w:rPr>
            </w:pPr>
          </w:p>
        </w:tc>
      </w:tr>
      <w:tr>
        <w:trPr>
          <w:trHeight w:val="234"/>
        </w:trPr>
        <w:tc>
          <w:tcPr>
            <w:tcW w:w="10380" w:type="dxa"/>
            <w:vAlign w:val="bottom"/>
          </w:tcPr>
          <w:p>
            <w:pPr>
              <w:jc w:val="center"/>
              <w:ind w:left="770"/>
              <w:spacing w:after="0"/>
              <w:rPr>
                <w:sz w:val="20"/>
                <w:szCs w:val="20"/>
                <w:color w:val="auto"/>
              </w:rPr>
            </w:pPr>
            <w:r>
              <w:rPr>
                <w:rFonts w:ascii="Arial" w:cs="Arial" w:eastAsia="Arial" w:hAnsi="Arial"/>
                <w:sz w:val="18"/>
                <w:szCs w:val="18"/>
                <w:b w:val="1"/>
                <w:bCs w:val="1"/>
                <w:color w:val="auto"/>
                <w:w w:val="98"/>
              </w:rPr>
              <w:t>EXCHANGE ACT OF 1934</w:t>
            </w:r>
          </w:p>
        </w:tc>
        <w:tc>
          <w:tcPr>
            <w:tcW w:w="900" w:type="dxa"/>
            <w:vAlign w:val="bottom"/>
          </w:tcPr>
          <w:p>
            <w:pPr>
              <w:spacing w:after="0"/>
              <w:rPr>
                <w:sz w:val="20"/>
                <w:szCs w:val="20"/>
                <w:color w:val="auto"/>
              </w:rPr>
            </w:pPr>
          </w:p>
        </w:tc>
      </w:tr>
      <w:tr>
        <w:trPr>
          <w:trHeight w:val="432"/>
        </w:trPr>
        <w:tc>
          <w:tcPr>
            <w:tcW w:w="10380" w:type="dxa"/>
            <w:vAlign w:val="bottom"/>
          </w:tcPr>
          <w:p>
            <w:pPr>
              <w:spacing w:after="0"/>
              <w:rPr>
                <w:sz w:val="20"/>
                <w:szCs w:val="20"/>
                <w:color w:val="auto"/>
              </w:rPr>
            </w:pPr>
            <w:r>
              <w:rPr>
                <w:rFonts w:ascii="Arial" w:cs="Arial" w:eastAsia="Arial" w:hAnsi="Arial"/>
                <w:sz w:val="18"/>
                <w:szCs w:val="18"/>
                <w:color w:val="auto"/>
              </w:rPr>
              <w:t>For the month of May 2020</w:t>
            </w:r>
          </w:p>
        </w:tc>
        <w:tc>
          <w:tcPr>
            <w:tcW w:w="900" w:type="dxa"/>
            <w:vAlign w:val="bottom"/>
          </w:tcPr>
          <w:p>
            <w:pPr>
              <w:spacing w:after="0"/>
              <w:rPr>
                <w:sz w:val="24"/>
                <w:szCs w:val="24"/>
                <w:color w:val="auto"/>
              </w:rPr>
            </w:pPr>
          </w:p>
        </w:tc>
      </w:tr>
      <w:tr>
        <w:trPr>
          <w:trHeight w:val="432"/>
        </w:trPr>
        <w:tc>
          <w:tcPr>
            <w:tcW w:w="1038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900" w:type="dxa"/>
            <w:vAlign w:val="bottom"/>
          </w:tcPr>
          <w:p>
            <w:pPr>
              <w:spacing w:after="0"/>
              <w:rPr>
                <w:sz w:val="24"/>
                <w:szCs w:val="24"/>
                <w:color w:val="auto"/>
              </w:rPr>
            </w:pPr>
          </w:p>
        </w:tc>
      </w:tr>
      <w:tr>
        <w:trPr>
          <w:trHeight w:val="418"/>
        </w:trPr>
        <w:tc>
          <w:tcPr>
            <w:tcW w:w="10380" w:type="dxa"/>
            <w:vAlign w:val="bottom"/>
          </w:tcPr>
          <w:p>
            <w:pPr>
              <w:jc w:val="center"/>
              <w:ind w:left="770"/>
              <w:spacing w:after="0"/>
              <w:rPr>
                <w:sz w:val="20"/>
                <w:szCs w:val="20"/>
                <w:color w:val="auto"/>
              </w:rPr>
            </w:pPr>
            <w:r>
              <w:rPr>
                <w:rFonts w:ascii="Arial" w:cs="Arial" w:eastAsia="Arial" w:hAnsi="Arial"/>
                <w:sz w:val="18"/>
                <w:szCs w:val="18"/>
                <w:b w:val="1"/>
                <w:bCs w:val="1"/>
                <w:color w:val="auto"/>
                <w:w w:val="91"/>
              </w:rPr>
              <w:t>GasLog Ltd</w:t>
            </w:r>
          </w:p>
        </w:tc>
        <w:tc>
          <w:tcPr>
            <w:tcW w:w="900" w:type="dxa"/>
            <w:vAlign w:val="bottom"/>
          </w:tcPr>
          <w:p>
            <w:pPr>
              <w:spacing w:after="0"/>
              <w:rPr>
                <w:sz w:val="24"/>
                <w:szCs w:val="24"/>
                <w:color w:val="auto"/>
              </w:rPr>
            </w:pPr>
          </w:p>
        </w:tc>
      </w:tr>
      <w:tr>
        <w:trPr>
          <w:trHeight w:val="230"/>
        </w:trPr>
        <w:tc>
          <w:tcPr>
            <w:tcW w:w="10380" w:type="dxa"/>
            <w:vAlign w:val="bottom"/>
          </w:tcPr>
          <w:p>
            <w:pPr>
              <w:jc w:val="center"/>
              <w:ind w:left="770"/>
              <w:spacing w:after="0"/>
              <w:rPr>
                <w:sz w:val="20"/>
                <w:szCs w:val="20"/>
                <w:color w:val="auto"/>
              </w:rPr>
            </w:pPr>
            <w:r>
              <w:rPr>
                <w:rFonts w:ascii="Arial" w:cs="Arial" w:eastAsia="Arial" w:hAnsi="Arial"/>
                <w:sz w:val="18"/>
                <w:szCs w:val="18"/>
                <w:color w:val="auto"/>
                <w:w w:val="91"/>
              </w:rPr>
              <w:t>(Translation of registrant’s name into English)</w:t>
            </w:r>
          </w:p>
        </w:tc>
        <w:tc>
          <w:tcPr>
            <w:tcW w:w="900" w:type="dxa"/>
            <w:vAlign w:val="bottom"/>
          </w:tcPr>
          <w:p>
            <w:pPr>
              <w:spacing w:after="0"/>
              <w:rPr>
                <w:sz w:val="20"/>
                <w:szCs w:val="20"/>
                <w:color w:val="auto"/>
              </w:rPr>
            </w:pPr>
          </w:p>
        </w:tc>
      </w:tr>
      <w:tr>
        <w:trPr>
          <w:trHeight w:val="418"/>
        </w:trPr>
        <w:tc>
          <w:tcPr>
            <w:tcW w:w="10380" w:type="dxa"/>
            <w:vAlign w:val="bottom"/>
          </w:tcPr>
          <w:p>
            <w:pPr>
              <w:jc w:val="center"/>
              <w:ind w:left="770"/>
              <w:spacing w:after="0"/>
              <w:rPr>
                <w:sz w:val="20"/>
                <w:szCs w:val="20"/>
                <w:color w:val="auto"/>
              </w:rPr>
            </w:pPr>
            <w:r>
              <w:rPr>
                <w:rFonts w:ascii="Arial" w:cs="Arial" w:eastAsia="Arial" w:hAnsi="Arial"/>
                <w:sz w:val="18"/>
                <w:szCs w:val="18"/>
                <w:color w:val="auto"/>
                <w:w w:val="92"/>
              </w:rPr>
              <w:t>c/o GasLog Services LNG Ltd.</w:t>
            </w:r>
          </w:p>
        </w:tc>
        <w:tc>
          <w:tcPr>
            <w:tcW w:w="900" w:type="dxa"/>
            <w:vAlign w:val="bottom"/>
          </w:tcPr>
          <w:p>
            <w:pPr>
              <w:spacing w:after="0"/>
              <w:rPr>
                <w:sz w:val="24"/>
                <w:szCs w:val="24"/>
                <w:color w:val="auto"/>
              </w:rPr>
            </w:pPr>
          </w:p>
        </w:tc>
      </w:tr>
      <w:tr>
        <w:trPr>
          <w:trHeight w:val="216"/>
        </w:trPr>
        <w:tc>
          <w:tcPr>
            <w:tcW w:w="10380" w:type="dxa"/>
            <w:vAlign w:val="bottom"/>
          </w:tcPr>
          <w:p>
            <w:pPr>
              <w:jc w:val="center"/>
              <w:ind w:left="790"/>
              <w:spacing w:after="0"/>
              <w:rPr>
                <w:sz w:val="20"/>
                <w:szCs w:val="20"/>
                <w:color w:val="auto"/>
              </w:rPr>
            </w:pPr>
            <w:r>
              <w:rPr>
                <w:rFonts w:ascii="Arial" w:cs="Arial" w:eastAsia="Arial" w:hAnsi="Arial"/>
                <w:sz w:val="18"/>
                <w:szCs w:val="18"/>
                <w:color w:val="auto"/>
                <w:w w:val="96"/>
              </w:rPr>
              <w:t>69 Akti Miaouli 18537</w:t>
            </w:r>
          </w:p>
        </w:tc>
        <w:tc>
          <w:tcPr>
            <w:tcW w:w="900" w:type="dxa"/>
            <w:vAlign w:val="bottom"/>
          </w:tcPr>
          <w:p>
            <w:pPr>
              <w:spacing w:after="0"/>
              <w:rPr>
                <w:sz w:val="18"/>
                <w:szCs w:val="18"/>
                <w:color w:val="auto"/>
              </w:rPr>
            </w:pPr>
          </w:p>
        </w:tc>
      </w:tr>
      <w:tr>
        <w:trPr>
          <w:trHeight w:val="216"/>
        </w:trPr>
        <w:tc>
          <w:tcPr>
            <w:tcW w:w="10380" w:type="dxa"/>
            <w:vAlign w:val="bottom"/>
          </w:tcPr>
          <w:p>
            <w:pPr>
              <w:jc w:val="center"/>
              <w:ind w:left="770"/>
              <w:spacing w:after="0"/>
              <w:rPr>
                <w:sz w:val="20"/>
                <w:szCs w:val="20"/>
                <w:color w:val="auto"/>
              </w:rPr>
            </w:pPr>
            <w:r>
              <w:rPr>
                <w:rFonts w:ascii="Arial" w:cs="Arial" w:eastAsia="Arial" w:hAnsi="Arial"/>
                <w:sz w:val="18"/>
                <w:szCs w:val="18"/>
                <w:color w:val="auto"/>
                <w:w w:val="86"/>
              </w:rPr>
              <w:t>Piraeus Greece</w:t>
            </w:r>
          </w:p>
        </w:tc>
        <w:tc>
          <w:tcPr>
            <w:tcW w:w="900" w:type="dxa"/>
            <w:vAlign w:val="bottom"/>
          </w:tcPr>
          <w:p>
            <w:pPr>
              <w:spacing w:after="0"/>
              <w:rPr>
                <w:sz w:val="18"/>
                <w:szCs w:val="18"/>
                <w:color w:val="auto"/>
              </w:rPr>
            </w:pPr>
          </w:p>
        </w:tc>
      </w:tr>
      <w:tr>
        <w:trPr>
          <w:trHeight w:val="230"/>
        </w:trPr>
        <w:tc>
          <w:tcPr>
            <w:tcW w:w="10380" w:type="dxa"/>
            <w:vAlign w:val="bottom"/>
          </w:tcPr>
          <w:p>
            <w:pPr>
              <w:jc w:val="center"/>
              <w:ind w:left="790"/>
              <w:spacing w:after="0"/>
              <w:rPr>
                <w:sz w:val="20"/>
                <w:szCs w:val="20"/>
                <w:color w:val="auto"/>
              </w:rPr>
            </w:pPr>
            <w:r>
              <w:rPr>
                <w:rFonts w:ascii="Arial" w:cs="Arial" w:eastAsia="Arial" w:hAnsi="Arial"/>
                <w:sz w:val="18"/>
                <w:szCs w:val="18"/>
                <w:color w:val="auto"/>
                <w:w w:val="92"/>
              </w:rPr>
              <w:t>(Address of principal executive office)</w:t>
            </w:r>
          </w:p>
        </w:tc>
        <w:tc>
          <w:tcPr>
            <w:tcW w:w="900" w:type="dxa"/>
            <w:vAlign w:val="bottom"/>
          </w:tcPr>
          <w:p>
            <w:pPr>
              <w:spacing w:after="0"/>
              <w:rPr>
                <w:sz w:val="20"/>
                <w:szCs w:val="20"/>
                <w:color w:val="auto"/>
              </w:rPr>
            </w:pPr>
          </w:p>
        </w:tc>
      </w:tr>
      <w:tr>
        <w:trPr>
          <w:trHeight w:val="432"/>
        </w:trPr>
        <w:tc>
          <w:tcPr>
            <w:tcW w:w="103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900" w:type="dxa"/>
            <w:vAlign w:val="bottom"/>
          </w:tcPr>
          <w:p>
            <w:pPr>
              <w:spacing w:after="0"/>
              <w:rPr>
                <w:sz w:val="24"/>
                <w:szCs w:val="24"/>
                <w:color w:val="auto"/>
              </w:rPr>
            </w:pPr>
          </w:p>
        </w:tc>
      </w:tr>
      <w:tr>
        <w:trPr>
          <w:trHeight w:val="452"/>
        </w:trPr>
        <w:tc>
          <w:tcPr>
            <w:tcW w:w="103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900" w:type="dxa"/>
            <w:vAlign w:val="bottom"/>
          </w:tcPr>
          <w:p>
            <w:pPr>
              <w:spacing w:after="0"/>
              <w:rPr>
                <w:sz w:val="24"/>
                <w:szCs w:val="24"/>
                <w:color w:val="auto"/>
              </w:rPr>
            </w:pPr>
          </w:p>
        </w:tc>
      </w:tr>
      <w:tr>
        <w:trPr>
          <w:trHeight w:val="412"/>
        </w:trPr>
        <w:tc>
          <w:tcPr>
            <w:tcW w:w="103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900" w:type="dxa"/>
            <w:vAlign w:val="bottom"/>
          </w:tcPr>
          <w:p>
            <w:pPr>
              <w:ind w:left="260"/>
              <w:spacing w:after="0"/>
              <w:rPr>
                <w:sz w:val="20"/>
                <w:szCs w:val="20"/>
                <w:color w:val="auto"/>
              </w:rPr>
            </w:pPr>
            <w:r>
              <w:rPr>
                <w:rFonts w:ascii="Arial" w:cs="Arial" w:eastAsia="Arial" w:hAnsi="Arial"/>
                <w:sz w:val="18"/>
                <w:szCs w:val="18"/>
                <w:color w:val="auto"/>
              </w:rPr>
              <w:t>o</w:t>
            </w:r>
          </w:p>
        </w:tc>
      </w:tr>
      <w:tr>
        <w:trPr>
          <w:trHeight w:val="432"/>
        </w:trPr>
        <w:tc>
          <w:tcPr>
            <w:tcW w:w="103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900" w:type="dxa"/>
            <w:vAlign w:val="bottom"/>
          </w:tcPr>
          <w:p>
            <w:pPr>
              <w:ind w:left="260"/>
              <w:spacing w:after="0"/>
              <w:rPr>
                <w:sz w:val="20"/>
                <w:szCs w:val="20"/>
                <w:color w:val="auto"/>
              </w:rPr>
            </w:pPr>
            <w:r>
              <w:rPr>
                <w:rFonts w:ascii="Arial" w:cs="Arial" w:eastAsia="Arial" w:hAnsi="Arial"/>
                <w:sz w:val="18"/>
                <w:szCs w:val="18"/>
                <w:color w:val="auto"/>
              </w:rPr>
              <w:t>o</w:t>
            </w:r>
          </w:p>
        </w:tc>
      </w:tr>
      <w:tr>
        <w:trPr>
          <w:trHeight w:val="348"/>
        </w:trPr>
        <w:tc>
          <w:tcPr>
            <w:tcW w:w="103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445" w:right="29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press release issued by GasLog Ltd. announcing the delivery of the GasLog Wales and Commencement of 12-Year Charter with JERA is attached hereto as Exhibit 99.1.</w:t>
      </w:r>
    </w:p>
    <w:p>
      <w:pPr>
        <w:spacing w:after="0" w:line="3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40"/>
          </w:cols>
          <w:pgMar w:left="320" w:top="341" w:right="7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2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ind w:left="5560"/>
              <w:spacing w:after="0"/>
              <w:rPr>
                <w:sz w:val="20"/>
                <w:szCs w:val="20"/>
                <w:color w:val="auto"/>
              </w:rPr>
            </w:pPr>
            <w:r>
              <w:rPr>
                <w:rFonts w:ascii="Arial" w:cs="Arial" w:eastAsia="Arial" w:hAnsi="Arial"/>
                <w:sz w:val="18"/>
                <w:szCs w:val="18"/>
                <w:color w:val="auto"/>
              </w:rPr>
              <w:t>GASLOG LTD</w:t>
            </w:r>
          </w:p>
        </w:tc>
        <w:tc>
          <w:tcPr>
            <w:tcW w:w="4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480" w:type="dxa"/>
            <w:vAlign w:val="bottom"/>
          </w:tcPr>
          <w:p>
            <w:pPr>
              <w:ind w:left="592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Wogan</w:t>
            </w:r>
          </w:p>
        </w:tc>
        <w:tc>
          <w:tcPr>
            <w:tcW w:w="40" w:type="dxa"/>
            <w:vAlign w:val="bottom"/>
          </w:tcPr>
          <w:p>
            <w:pPr>
              <w:spacing w:after="0"/>
              <w:rPr>
                <w:sz w:val="24"/>
                <w:szCs w:val="24"/>
                <w:color w:val="auto"/>
              </w:rPr>
            </w:pPr>
          </w:p>
        </w:tc>
      </w:tr>
      <w:tr>
        <w:trPr>
          <w:trHeight w:val="195"/>
        </w:trPr>
        <w:tc>
          <w:tcPr>
            <w:tcW w:w="64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Ltd. Announces Delivery of the </w:t>
      </w:r>
      <w:r>
        <w:rPr>
          <w:rFonts w:ascii="Arial" w:cs="Arial" w:eastAsia="Arial" w:hAnsi="Arial"/>
          <w:sz w:val="18"/>
          <w:szCs w:val="18"/>
          <w:b w:val="1"/>
          <w:bCs w:val="1"/>
          <w:i w:val="1"/>
          <w:iCs w:val="1"/>
          <w:color w:val="auto"/>
        </w:rPr>
        <w:t>GasLog Wales</w:t>
      </w:r>
      <w:r>
        <w:rPr>
          <w:rFonts w:ascii="Arial" w:cs="Arial" w:eastAsia="Arial" w:hAnsi="Arial"/>
          <w:sz w:val="18"/>
          <w:szCs w:val="18"/>
          <w:b w:val="1"/>
          <w:bCs w:val="1"/>
          <w:color w:val="auto"/>
        </w:rPr>
        <w:t xml:space="preserve"> and </w:t>
      </w:r>
      <w:r>
        <w:rPr>
          <w:rFonts w:ascii="Arial" w:cs="Arial" w:eastAsia="Arial" w:hAnsi="Arial"/>
          <w:sz w:val="17"/>
          <w:szCs w:val="17"/>
          <w:b w:val="1"/>
          <w:bCs w:val="1"/>
          <w:color w:val="auto"/>
        </w:rPr>
        <w:t>Commencement of 12-Year Charter with JERA</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Piraeus, Greece, May 12, 2020 – </w:t>
      </w:r>
      <w:r>
        <w:rPr>
          <w:rFonts w:ascii="Arial" w:cs="Arial" w:eastAsia="Arial" w:hAnsi="Arial"/>
          <w:sz w:val="18"/>
          <w:szCs w:val="18"/>
          <w:color w:val="auto"/>
        </w:rPr>
        <w:t>GasLog Ltd. (“GasLog” or “the Company”) (NYSE: GLOG) yesterday took delivery of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GasLog Wales,</w:t>
      </w:r>
      <w:r>
        <w:rPr>
          <w:rFonts w:ascii="Arial" w:cs="Arial" w:eastAsia="Arial" w:hAnsi="Arial"/>
          <w:sz w:val="18"/>
          <w:szCs w:val="18"/>
          <w:b w:val="1"/>
          <w:bCs w:val="1"/>
          <w:color w:val="auto"/>
        </w:rPr>
        <w:t xml:space="preserve"> </w:t>
      </w:r>
      <w:r>
        <w:rPr>
          <w:rFonts w:ascii="Arial" w:cs="Arial" w:eastAsia="Arial" w:hAnsi="Arial"/>
          <w:sz w:val="18"/>
          <w:szCs w:val="18"/>
          <w:color w:val="auto"/>
        </w:rPr>
        <w:t>a 180,000</w:t>
      </w:r>
      <w:r>
        <w:rPr>
          <w:rFonts w:ascii="Arial" w:cs="Arial" w:eastAsia="Arial" w:hAnsi="Arial"/>
          <w:sz w:val="18"/>
          <w:szCs w:val="18"/>
          <w:b w:val="1"/>
          <w:bCs w:val="1"/>
          <w:color w:val="auto"/>
        </w:rPr>
        <w:t xml:space="preserve"> </w:t>
      </w:r>
      <w:r>
        <w:rPr>
          <w:rFonts w:ascii="Arial" w:cs="Arial" w:eastAsia="Arial" w:hAnsi="Arial"/>
          <w:sz w:val="18"/>
          <w:szCs w:val="18"/>
          <w:color w:val="auto"/>
        </w:rPr>
        <w:t>cubic meter cargo capacity LNG carrier with dual fuel medium speed propulsion (“X-DF”) and Mark III Flex Plus containment system. The vessel immediately commenced a 12-year charter with the principal LNG shipping entity of Japan’s Jera Co., Inc. (“JERA”).</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Paul Wogan, Chief Executive Officer of GasLog, stated “I am very pleased to announce the delivery of the </w:t>
      </w:r>
      <w:r>
        <w:rPr>
          <w:rFonts w:ascii="Arial" w:cs="Arial" w:eastAsia="Arial" w:hAnsi="Arial"/>
          <w:sz w:val="17"/>
          <w:szCs w:val="17"/>
          <w:i w:val="1"/>
          <w:iCs w:val="1"/>
          <w:color w:val="auto"/>
        </w:rPr>
        <w:t>GasLog Wales</w:t>
      </w:r>
      <w:r>
        <w:rPr>
          <w:rFonts w:ascii="Arial" w:cs="Arial" w:eastAsia="Arial" w:hAnsi="Arial"/>
          <w:sz w:val="17"/>
          <w:szCs w:val="17"/>
          <w:color w:val="auto"/>
        </w:rPr>
        <w:t xml:space="preserve"> and commencement of her 12-year charter to JERA, one of the world’s largest LNG buyers. The vessel is the second of seven vessels we will be taking delivery of through the third quarter of 2021, representing approximately $145 million of incremental EBITDA per annum once fully delivered.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 want to thank our crew, site team and shore staff as well as our partners at Samsung for their hard work and dedication in delivering the </w:t>
      </w:r>
      <w:r>
        <w:rPr>
          <w:rFonts w:ascii="Arial" w:cs="Arial" w:eastAsia="Arial" w:hAnsi="Arial"/>
          <w:sz w:val="18"/>
          <w:szCs w:val="18"/>
          <w:i w:val="1"/>
          <w:iCs w:val="1"/>
          <w:color w:val="auto"/>
        </w:rPr>
        <w:t>GasLog Wales</w:t>
      </w:r>
      <w:r>
        <w:rPr>
          <w:rFonts w:ascii="Arial" w:cs="Arial" w:eastAsia="Arial" w:hAnsi="Arial"/>
          <w:sz w:val="18"/>
          <w:szCs w:val="18"/>
          <w:color w:val="auto"/>
        </w:rPr>
        <w:t xml:space="preserve"> safely and on budget, despite the many challenges presented by the COVID-19 pandemic.”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(14 on the water and five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520" w:right="80" w:hanging="188"/>
        <w:spacing w:after="0" w:line="342" w:lineRule="auto"/>
        <w:tabs>
          <w:tab w:leader="none" w:pos="479"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23" w:lineRule="exact"/>
        <w:rPr>
          <w:rFonts w:ascii="Arial" w:cs="Arial" w:eastAsia="Arial" w:hAnsi="Arial"/>
          <w:sz w:val="16"/>
          <w:szCs w:val="16"/>
          <w:color w:val="auto"/>
        </w:rPr>
      </w:pPr>
    </w:p>
    <w:p>
      <w:pPr>
        <w:ind w:left="480" w:hanging="14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charter hire rates, vessel utilization and vessel values;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225" w:lineRule="exact"/>
        <w:rPr>
          <w:rFonts w:ascii="Arial" w:cs="Arial" w:eastAsia="Arial" w:hAnsi="Arial"/>
          <w:sz w:val="18"/>
          <w:szCs w:val="18"/>
          <w:color w:val="auto"/>
        </w:rPr>
      </w:pPr>
    </w:p>
    <w:p>
      <w:pPr>
        <w:ind w:left="520" w:right="660" w:hanging="196"/>
        <w:spacing w:after="0" w:line="263" w:lineRule="auto"/>
        <w:tabs>
          <w:tab w:leader="none" w:pos="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83" w:lineRule="exact"/>
        <w:rPr>
          <w:rFonts w:ascii="Arial" w:cs="Arial" w:eastAsia="Arial" w:hAnsi="Arial"/>
          <w:sz w:val="18"/>
          <w:szCs w:val="18"/>
          <w:color w:val="auto"/>
        </w:rPr>
      </w:pPr>
    </w:p>
    <w:p>
      <w:pPr>
        <w:ind w:left="480" w:hanging="156"/>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480" w:hanging="156"/>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480" w:hanging="15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480" w:hanging="15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225" w:lineRule="exact"/>
        <w:rPr>
          <w:rFonts w:ascii="Arial" w:cs="Arial" w:eastAsia="Arial" w:hAnsi="Arial"/>
          <w:sz w:val="18"/>
          <w:szCs w:val="18"/>
          <w:color w:val="auto"/>
        </w:rPr>
      </w:pPr>
    </w:p>
    <w:p>
      <w:pPr>
        <w:ind w:left="480" w:hanging="15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to the LNG, LNG shipping and financial markets caused by global shutdown as a result of the COVID-19 pandemic;</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225" w:lineRule="exact"/>
        <w:rPr>
          <w:rFonts w:ascii="Arial" w:cs="Arial" w:eastAsia="Arial" w:hAnsi="Arial"/>
          <w:sz w:val="18"/>
          <w:szCs w:val="18"/>
          <w:color w:val="auto"/>
        </w:rPr>
      </w:pPr>
    </w:p>
    <w:p>
      <w:pPr>
        <w:ind w:left="520" w:right="180" w:hanging="188"/>
        <w:spacing w:after="0" w:line="342" w:lineRule="auto"/>
        <w:tabs>
          <w:tab w:leader="none" w:pos="47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23" w:lineRule="exact"/>
        <w:rPr>
          <w:rFonts w:ascii="Arial" w:cs="Arial" w:eastAsia="Arial" w:hAnsi="Arial"/>
          <w:sz w:val="16"/>
          <w:szCs w:val="16"/>
          <w:color w:val="auto"/>
        </w:rPr>
      </w:pPr>
    </w:p>
    <w:p>
      <w:pPr>
        <w:ind w:left="520" w:right="56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70"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225" w:lineRule="exact"/>
        <w:rPr>
          <w:rFonts w:ascii="Arial" w:cs="Arial" w:eastAsia="Arial" w:hAnsi="Arial"/>
          <w:sz w:val="18"/>
          <w:szCs w:val="18"/>
          <w:color w:val="auto"/>
        </w:rPr>
      </w:pPr>
    </w:p>
    <w:p>
      <w:pPr>
        <w:ind w:left="480" w:hanging="15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225" w:lineRule="exact"/>
        <w:rPr>
          <w:rFonts w:ascii="Arial" w:cs="Arial" w:eastAsia="Arial" w:hAnsi="Arial"/>
          <w:sz w:val="18"/>
          <w:szCs w:val="18"/>
          <w:color w:val="auto"/>
        </w:rPr>
      </w:pPr>
    </w:p>
    <w:p>
      <w:pPr>
        <w:ind w:left="520" w:hanging="196"/>
        <w:spacing w:after="0" w:line="263"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83"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environmental liabilities on us and the shipping industry, including climate change;</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520" w:right="10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170" w:lineRule="exact"/>
        <w:rPr>
          <w:rFonts w:ascii="Arial" w:cs="Arial" w:eastAsia="Arial" w:hAnsi="Arial"/>
          <w:sz w:val="18"/>
          <w:szCs w:val="18"/>
          <w:color w:val="auto"/>
        </w:rPr>
      </w:pPr>
    </w:p>
    <w:p>
      <w:pPr>
        <w:ind w:left="520" w:right="64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6, 2020 and available at http://www.sec.gov.</w:t>
      </w:r>
    </w:p>
    <w:p>
      <w:pPr>
        <w:spacing w:after="0" w:line="17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040"/>
      </w:cols>
      <w:pgMar w:left="320" w:top="34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2020-05-12T05:59:17Z</dcterms:created>
  <dcterms:modified xsi:type="dcterms:W3CDTF">2020-05-12T05:59:17Z</dcterms:modified>
</cp:coreProperties>
</file>