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REPORT OF FOREIGN PRIVATE ISSUER PURSUANT TO RULE 13a-16 OR 15d-16 UNDER THE SECURITIES EXCHANGE ACT OF 1934</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0080" w:type="dxa"/>
            <w:vAlign w:val="bottom"/>
          </w:tcPr>
          <w:p>
            <w:pPr>
              <w:spacing w:after="0"/>
              <w:rPr>
                <w:sz w:val="20"/>
                <w:szCs w:val="20"/>
                <w:color w:val="auto"/>
              </w:rPr>
            </w:pPr>
            <w:r>
              <w:rPr>
                <w:rFonts w:ascii="Arial" w:cs="Arial" w:eastAsia="Arial" w:hAnsi="Arial"/>
                <w:sz w:val="18"/>
                <w:szCs w:val="18"/>
                <w:color w:val="auto"/>
              </w:rPr>
              <w:t>For the month of December 2016</w:t>
            </w:r>
          </w:p>
        </w:tc>
        <w:tc>
          <w:tcPr>
            <w:tcW w:w="1340" w:type="dxa"/>
            <w:vAlign w:val="bottom"/>
          </w:tcPr>
          <w:p>
            <w:pPr>
              <w:spacing w:after="0"/>
              <w:rPr>
                <w:sz w:val="20"/>
                <w:szCs w:val="20"/>
                <w:color w:val="auto"/>
              </w:rPr>
            </w:pPr>
          </w:p>
        </w:tc>
      </w:tr>
      <w:tr>
        <w:trPr>
          <w:trHeight w:val="432"/>
        </w:trPr>
        <w:tc>
          <w:tcPr>
            <w:tcW w:w="10080" w:type="dxa"/>
            <w:vAlign w:val="bottom"/>
          </w:tcPr>
          <w:p>
            <w:pPr>
              <w:spacing w:after="0"/>
              <w:rPr>
                <w:sz w:val="20"/>
                <w:szCs w:val="20"/>
                <w:color w:val="auto"/>
              </w:rPr>
            </w:pPr>
            <w:r>
              <w:rPr>
                <w:rFonts w:ascii="Arial" w:cs="Arial" w:eastAsia="Arial" w:hAnsi="Arial"/>
                <w:sz w:val="18"/>
                <w:szCs w:val="18"/>
                <w:color w:val="auto"/>
              </w:rPr>
              <w:t>Commission File Number 001-35466</w:t>
            </w:r>
          </w:p>
        </w:tc>
        <w:tc>
          <w:tcPr>
            <w:tcW w:w="1340" w:type="dxa"/>
            <w:vAlign w:val="bottom"/>
          </w:tcPr>
          <w:p>
            <w:pPr>
              <w:spacing w:after="0"/>
              <w:rPr>
                <w:sz w:val="24"/>
                <w:szCs w:val="24"/>
                <w:color w:val="auto"/>
              </w:rPr>
            </w:pPr>
          </w:p>
        </w:tc>
      </w:tr>
      <w:tr>
        <w:trPr>
          <w:trHeight w:val="418"/>
        </w:trPr>
        <w:tc>
          <w:tcPr>
            <w:tcW w:w="10080" w:type="dxa"/>
            <w:vAlign w:val="bottom"/>
          </w:tcPr>
          <w:p>
            <w:pPr>
              <w:jc w:val="center"/>
              <w:ind w:left="1270"/>
              <w:spacing w:after="0"/>
              <w:rPr>
                <w:sz w:val="20"/>
                <w:szCs w:val="20"/>
                <w:color w:val="auto"/>
              </w:rPr>
            </w:pPr>
            <w:r>
              <w:rPr>
                <w:rFonts w:ascii="Arial" w:cs="Arial" w:eastAsia="Arial" w:hAnsi="Arial"/>
                <w:sz w:val="18"/>
                <w:szCs w:val="18"/>
                <w:b w:val="1"/>
                <w:bCs w:val="1"/>
                <w:color w:val="auto"/>
                <w:w w:val="91"/>
              </w:rPr>
              <w:t>GasLog Ltd</w:t>
            </w:r>
          </w:p>
        </w:tc>
        <w:tc>
          <w:tcPr>
            <w:tcW w:w="1340" w:type="dxa"/>
            <w:vAlign w:val="bottom"/>
          </w:tcPr>
          <w:p>
            <w:pPr>
              <w:spacing w:after="0"/>
              <w:rPr>
                <w:sz w:val="24"/>
                <w:szCs w:val="24"/>
                <w:color w:val="auto"/>
              </w:rPr>
            </w:pPr>
          </w:p>
        </w:tc>
      </w:tr>
      <w:tr>
        <w:trPr>
          <w:trHeight w:val="230"/>
        </w:trPr>
        <w:tc>
          <w:tcPr>
            <w:tcW w:w="10080" w:type="dxa"/>
            <w:vAlign w:val="bottom"/>
          </w:tcPr>
          <w:p>
            <w:pPr>
              <w:jc w:val="center"/>
              <w:ind w:left="1270"/>
              <w:spacing w:after="0"/>
              <w:rPr>
                <w:sz w:val="20"/>
                <w:szCs w:val="20"/>
                <w:color w:val="auto"/>
              </w:rPr>
            </w:pPr>
            <w:r>
              <w:rPr>
                <w:rFonts w:ascii="Arial" w:cs="Arial" w:eastAsia="Arial" w:hAnsi="Arial"/>
                <w:sz w:val="18"/>
                <w:szCs w:val="18"/>
                <w:color w:val="auto"/>
                <w:w w:val="91"/>
              </w:rPr>
              <w:t>(Translation of registrant’s name into English)</w:t>
            </w:r>
          </w:p>
        </w:tc>
        <w:tc>
          <w:tcPr>
            <w:tcW w:w="1340" w:type="dxa"/>
            <w:vAlign w:val="bottom"/>
          </w:tcPr>
          <w:p>
            <w:pPr>
              <w:spacing w:after="0"/>
              <w:rPr>
                <w:sz w:val="20"/>
                <w:szCs w:val="20"/>
                <w:color w:val="auto"/>
              </w:rPr>
            </w:pPr>
          </w:p>
        </w:tc>
      </w:tr>
      <w:tr>
        <w:trPr>
          <w:trHeight w:val="418"/>
        </w:trPr>
        <w:tc>
          <w:tcPr>
            <w:tcW w:w="10080" w:type="dxa"/>
            <w:vAlign w:val="bottom"/>
          </w:tcPr>
          <w:p>
            <w:pPr>
              <w:jc w:val="center"/>
              <w:ind w:left="1250"/>
              <w:spacing w:after="0"/>
              <w:rPr>
                <w:sz w:val="20"/>
                <w:szCs w:val="20"/>
                <w:color w:val="auto"/>
              </w:rPr>
            </w:pPr>
            <w:r>
              <w:rPr>
                <w:rFonts w:ascii="Arial" w:cs="Arial" w:eastAsia="Arial" w:hAnsi="Arial"/>
                <w:sz w:val="18"/>
                <w:szCs w:val="18"/>
                <w:color w:val="auto"/>
                <w:w w:val="89"/>
              </w:rPr>
              <w:t>Gildo Pastor Center</w:t>
            </w:r>
          </w:p>
        </w:tc>
        <w:tc>
          <w:tcPr>
            <w:tcW w:w="1340" w:type="dxa"/>
            <w:vAlign w:val="bottom"/>
          </w:tcPr>
          <w:p>
            <w:pPr>
              <w:spacing w:after="0"/>
              <w:rPr>
                <w:sz w:val="24"/>
                <w:szCs w:val="24"/>
                <w:color w:val="auto"/>
              </w:rPr>
            </w:pPr>
          </w:p>
        </w:tc>
      </w:tr>
      <w:tr>
        <w:trPr>
          <w:trHeight w:val="216"/>
        </w:trPr>
        <w:tc>
          <w:tcPr>
            <w:tcW w:w="10080" w:type="dxa"/>
            <w:vAlign w:val="bottom"/>
          </w:tcPr>
          <w:p>
            <w:pPr>
              <w:jc w:val="center"/>
              <w:ind w:left="1250"/>
              <w:spacing w:after="0"/>
              <w:rPr>
                <w:sz w:val="20"/>
                <w:szCs w:val="20"/>
                <w:color w:val="auto"/>
              </w:rPr>
            </w:pPr>
            <w:r>
              <w:rPr>
                <w:rFonts w:ascii="Arial" w:cs="Arial" w:eastAsia="Arial" w:hAnsi="Arial"/>
                <w:sz w:val="18"/>
                <w:szCs w:val="18"/>
                <w:color w:val="auto"/>
                <w:w w:val="89"/>
              </w:rPr>
              <w:t>7 Rue du Gabian</w:t>
            </w:r>
          </w:p>
        </w:tc>
        <w:tc>
          <w:tcPr>
            <w:tcW w:w="1340" w:type="dxa"/>
            <w:vAlign w:val="bottom"/>
          </w:tcPr>
          <w:p>
            <w:pPr>
              <w:spacing w:after="0"/>
              <w:rPr>
                <w:sz w:val="18"/>
                <w:szCs w:val="18"/>
                <w:color w:val="auto"/>
              </w:rPr>
            </w:pPr>
          </w:p>
        </w:tc>
      </w:tr>
      <w:tr>
        <w:trPr>
          <w:trHeight w:val="216"/>
        </w:trPr>
        <w:tc>
          <w:tcPr>
            <w:tcW w:w="10080" w:type="dxa"/>
            <w:vAlign w:val="bottom"/>
          </w:tcPr>
          <w:p>
            <w:pPr>
              <w:jc w:val="center"/>
              <w:ind w:left="1250"/>
              <w:spacing w:after="0"/>
              <w:rPr>
                <w:sz w:val="20"/>
                <w:szCs w:val="20"/>
                <w:color w:val="auto"/>
              </w:rPr>
            </w:pPr>
            <w:r>
              <w:rPr>
                <w:rFonts w:ascii="Arial" w:cs="Arial" w:eastAsia="Arial" w:hAnsi="Arial"/>
                <w:sz w:val="18"/>
                <w:szCs w:val="18"/>
                <w:color w:val="auto"/>
                <w:w w:val="92"/>
              </w:rPr>
              <w:t>MC 98000, Monaco</w:t>
            </w:r>
          </w:p>
        </w:tc>
        <w:tc>
          <w:tcPr>
            <w:tcW w:w="1340" w:type="dxa"/>
            <w:vAlign w:val="bottom"/>
          </w:tcPr>
          <w:p>
            <w:pPr>
              <w:spacing w:after="0"/>
              <w:rPr>
                <w:sz w:val="18"/>
                <w:szCs w:val="18"/>
                <w:color w:val="auto"/>
              </w:rPr>
            </w:pPr>
          </w:p>
        </w:tc>
      </w:tr>
      <w:tr>
        <w:trPr>
          <w:trHeight w:val="230"/>
        </w:trPr>
        <w:tc>
          <w:tcPr>
            <w:tcW w:w="10080" w:type="dxa"/>
            <w:vAlign w:val="bottom"/>
          </w:tcPr>
          <w:p>
            <w:pPr>
              <w:jc w:val="center"/>
              <w:ind w:left="1250"/>
              <w:spacing w:after="0"/>
              <w:rPr>
                <w:sz w:val="20"/>
                <w:szCs w:val="20"/>
                <w:color w:val="auto"/>
              </w:rPr>
            </w:pPr>
            <w:r>
              <w:rPr>
                <w:rFonts w:ascii="Arial" w:cs="Arial" w:eastAsia="Arial" w:hAnsi="Arial"/>
                <w:sz w:val="18"/>
                <w:szCs w:val="18"/>
                <w:color w:val="auto"/>
                <w:w w:val="92"/>
              </w:rPr>
              <w:t>(Address of principal executive office)</w:t>
            </w:r>
          </w:p>
        </w:tc>
        <w:tc>
          <w:tcPr>
            <w:tcW w:w="1340" w:type="dxa"/>
            <w:vAlign w:val="bottom"/>
          </w:tcPr>
          <w:p>
            <w:pPr>
              <w:spacing w:after="0"/>
              <w:rPr>
                <w:sz w:val="20"/>
                <w:szCs w:val="20"/>
                <w:color w:val="auto"/>
              </w:rPr>
            </w:pPr>
          </w:p>
        </w:tc>
      </w:tr>
      <w:tr>
        <w:trPr>
          <w:trHeight w:val="432"/>
        </w:trPr>
        <w:tc>
          <w:tcPr>
            <w:tcW w:w="1008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1340" w:type="dxa"/>
            <w:vAlign w:val="bottom"/>
          </w:tcPr>
          <w:p>
            <w:pPr>
              <w:spacing w:after="0"/>
              <w:rPr>
                <w:sz w:val="24"/>
                <w:szCs w:val="24"/>
                <w:color w:val="auto"/>
              </w:rPr>
            </w:pPr>
          </w:p>
        </w:tc>
      </w:tr>
      <w:tr>
        <w:trPr>
          <w:trHeight w:val="452"/>
        </w:trPr>
        <w:tc>
          <w:tcPr>
            <w:tcW w:w="1008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tc>
        <w:tc>
          <w:tcPr>
            <w:tcW w:w="1340" w:type="dxa"/>
            <w:vAlign w:val="bottom"/>
          </w:tcPr>
          <w:p>
            <w:pPr>
              <w:spacing w:after="0"/>
              <w:rPr>
                <w:sz w:val="24"/>
                <w:szCs w:val="24"/>
                <w:color w:val="auto"/>
              </w:rPr>
            </w:pPr>
          </w:p>
        </w:tc>
      </w:tr>
      <w:tr>
        <w:trPr>
          <w:trHeight w:val="412"/>
        </w:trPr>
        <w:tc>
          <w:tcPr>
            <w:tcW w:w="1008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1340" w:type="dxa"/>
            <w:vAlign w:val="bottom"/>
          </w:tcPr>
          <w:p>
            <w:pPr>
              <w:ind w:left="1120"/>
              <w:spacing w:after="0"/>
              <w:rPr>
                <w:sz w:val="20"/>
                <w:szCs w:val="20"/>
                <w:color w:val="auto"/>
              </w:rPr>
            </w:pPr>
            <w:r>
              <w:rPr>
                <w:rFonts w:ascii="Arial" w:cs="Arial" w:eastAsia="Arial" w:hAnsi="Arial"/>
                <w:sz w:val="18"/>
                <w:szCs w:val="18"/>
                <w:color w:val="auto"/>
              </w:rPr>
              <w:t>o</w:t>
            </w:r>
          </w:p>
        </w:tc>
      </w:tr>
      <w:tr>
        <w:trPr>
          <w:trHeight w:val="432"/>
        </w:trPr>
        <w:tc>
          <w:tcPr>
            <w:tcW w:w="1008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1340" w:type="dxa"/>
            <w:vAlign w:val="bottom"/>
          </w:tcPr>
          <w:p>
            <w:pPr>
              <w:ind w:left="1120"/>
              <w:spacing w:after="0"/>
              <w:rPr>
                <w:sz w:val="20"/>
                <w:szCs w:val="20"/>
                <w:color w:val="auto"/>
              </w:rPr>
            </w:pPr>
            <w:r>
              <w:rPr>
                <w:rFonts w:ascii="Arial" w:cs="Arial" w:eastAsia="Arial" w:hAnsi="Arial"/>
                <w:sz w:val="18"/>
                <w:szCs w:val="18"/>
                <w:color w:val="auto"/>
              </w:rPr>
              <w:t>o</w:t>
            </w:r>
          </w:p>
        </w:tc>
      </w:tr>
      <w:tr>
        <w:trPr>
          <w:trHeight w:val="277"/>
        </w:trPr>
        <w:tc>
          <w:tcPr>
            <w:tcW w:w="10080" w:type="dxa"/>
            <w:vAlign w:val="bottom"/>
            <w:tcBorders>
              <w:bottom w:val="single" w:sz="8" w:color="C0C0C0"/>
            </w:tcBorders>
          </w:tcPr>
          <w:p>
            <w:pPr>
              <w:spacing w:after="0"/>
              <w:rPr>
                <w:sz w:val="24"/>
                <w:szCs w:val="24"/>
                <w:color w:val="auto"/>
              </w:rPr>
            </w:pPr>
          </w:p>
        </w:tc>
        <w:tc>
          <w:tcPr>
            <w:tcW w:w="1340" w:type="dxa"/>
            <w:vAlign w:val="bottom"/>
            <w:tcBorders>
              <w:bottom w:val="single" w:sz="8" w:color="C0C0C0"/>
            </w:tcBorders>
          </w:tcPr>
          <w:p>
            <w:pPr>
              <w:spacing w:after="0"/>
              <w:rPr>
                <w:sz w:val="24"/>
                <w:szCs w:val="24"/>
                <w:color w:val="auto"/>
              </w:rPr>
            </w:pPr>
          </w:p>
        </w:tc>
      </w:tr>
    </w:tbl>
    <w:p>
      <w:pPr>
        <w:sectPr>
          <w:pgSz w:w="11900" w:h="16838" w:orient="portrait"/>
          <w:cols w:equalWidth="0" w:num="1">
            <w:col w:w="11420"/>
          </w:cols>
          <w:pgMar w:left="240" w:top="229" w:right="239" w:bottom="1440" w:gutter="0" w:footer="0" w:header="0"/>
        </w:sectPr>
      </w:pPr>
    </w:p>
    <w:bookmarkStart w:id="1" w:name="page2"/>
    <w:bookmarkEnd w:id="1"/>
    <w:p>
      <w:pPr>
        <w:ind w:right="560" w:firstLine="376"/>
        <w:spacing w:after="0" w:line="277" w:lineRule="auto"/>
        <w:rPr>
          <w:sz w:val="20"/>
          <w:szCs w:val="20"/>
          <w:color w:val="auto"/>
        </w:rPr>
      </w:pPr>
      <w:r>
        <w:rPr>
          <w:rFonts w:ascii="Arial" w:cs="Arial" w:eastAsia="Arial" w:hAnsi="Arial"/>
          <w:sz w:val="18"/>
          <w:szCs w:val="18"/>
          <w:color w:val="auto"/>
        </w:rPr>
        <w:t>The press release issued by GasLog Ltd on December 5, 2016 announcing the announcing the order of FSRU long lead items for LNG Carrier Conversion is attached hereto as Exhibit 99.1.</w:t>
      </w:r>
    </w:p>
    <w:p>
      <w:pPr>
        <w:spacing w:after="0" w:line="17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INCORPORATION BY REFERENCE</w:t>
      </w:r>
    </w:p>
    <w:p>
      <w:pPr>
        <w:spacing w:after="0" w:line="225" w:lineRule="exact"/>
        <w:rPr>
          <w:sz w:val="20"/>
          <w:szCs w:val="20"/>
          <w:color w:val="auto"/>
        </w:rPr>
      </w:pPr>
    </w:p>
    <w:p>
      <w:pPr>
        <w:ind w:firstLine="772"/>
        <w:spacing w:after="0" w:line="276" w:lineRule="auto"/>
        <w:rPr>
          <w:sz w:val="20"/>
          <w:szCs w:val="20"/>
          <w:color w:val="auto"/>
        </w:rPr>
      </w:pPr>
      <w:r>
        <w:rPr>
          <w:rFonts w:ascii="Arial" w:cs="Arial" w:eastAsia="Arial" w:hAnsi="Arial"/>
          <w:sz w:val="17"/>
          <w:szCs w:val="17"/>
          <w:color w:val="auto"/>
        </w:rPr>
        <w:t>Exhibit 99.1 to this Report on Form 6-K shall be incorporated by reference into our registration statements on Form F-3 (File Nos. 333-188817, 333-194894 and 333-194894), initially filed with the Securities and Exchange Commission (the “SEC”) on May 24, 2013, March 28, 2014 and March 14, 2016 respectively, as amended, and the registration statement on Form S-8 (File No. 333-187020), filed with the SEC on March 4, 2013,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7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December 5,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200"/>
          </w:cols>
          <w:pgMar w:left="240" w:top="409" w:right="459" w:bottom="1440" w:gutter="0" w:footer="0" w:header="0"/>
        </w:sectPr>
      </w:pPr>
    </w:p>
    <w:bookmarkStart w:id="2" w:name="page3"/>
    <w:bookmarkEnd w:id="2"/>
    <w:p>
      <w:pPr>
        <w:jc w:val="center"/>
        <w:ind w:right="-75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37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5, 2016</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GASLOG LTD</w:t>
      </w:r>
    </w:p>
    <w:p>
      <w:pPr>
        <w:spacing w:after="0" w:line="225" w:lineRule="exact"/>
        <w:rPr>
          <w:sz w:val="20"/>
          <w:szCs w:val="20"/>
          <w:color w:val="auto"/>
        </w:rPr>
      </w:pPr>
    </w:p>
    <w:p>
      <w:pPr>
        <w:ind w:left="6540"/>
        <w:spacing w:after="0"/>
        <w:tabs>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Paul Wogan</w:t>
      </w:r>
    </w:p>
    <w:p>
      <w:pPr>
        <w:spacing w:after="0" w:line="23"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Paul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-130810</wp:posOffset>
            </wp:positionV>
            <wp:extent cx="24612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660"/>
          </w:cols>
          <w:pgMar w:left="240" w:top="409" w:right="9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Announces Order of FSRU Long Lead Items for LNG Carrier Conversion</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Monaco – December 5, 2016 </w:t>
      </w:r>
      <w:r>
        <w:rPr>
          <w:rFonts w:ascii="Arial" w:cs="Arial" w:eastAsia="Arial" w:hAnsi="Arial"/>
          <w:sz w:val="17"/>
          <w:szCs w:val="17"/>
          <w:color w:val="auto"/>
        </w:rPr>
        <w:t>– GasLog Ltd. (“GasLog”, NYSE: GLOG), an international owner, operator and manager of liquefied natural gas (“LNG”)</w:t>
      </w:r>
      <w:r>
        <w:rPr>
          <w:rFonts w:ascii="Arial" w:cs="Arial" w:eastAsia="Arial" w:hAnsi="Arial"/>
          <w:sz w:val="17"/>
          <w:szCs w:val="17"/>
          <w:b w:val="1"/>
          <w:bCs w:val="1"/>
          <w:color w:val="auto"/>
        </w:rPr>
        <w:t xml:space="preserve"> </w:t>
      </w:r>
      <w:r>
        <w:rPr>
          <w:rFonts w:ascii="Arial" w:cs="Arial" w:eastAsia="Arial" w:hAnsi="Arial"/>
          <w:sz w:val="17"/>
          <w:szCs w:val="17"/>
          <w:color w:val="auto"/>
        </w:rPr>
        <w:t>carriers, today announces that Keppel Shipyard Limited (“Keppel”) has begun ordering long lead items (“LLI’s”) required for the conversion of a GasLog or GasLog Partners LP (“GasLog Partners”, NYSE: GLOP) LNG carrier to a floating storage and re-gasification unit (“FSRU”).</w:t>
      </w:r>
    </w:p>
    <w:p>
      <w:pPr>
        <w:spacing w:after="0" w:line="1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LLI’s include pumps, vaporizers, heat exchangers and low duty compressors, which are vital equipment for the conversion process. The LLI’s take approximately 12 months to deliver at a total cost of around $16 million.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Ordering the LLI’s reduces the time necessary to convert an LNG carrier from between 18-20 months to 6-8 months once the LLI’s are delivered.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Keppel is the world’s leading shipyard for FSRU conversions, having carried out 3 successful conversion projects in the past.</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Securing the LLI’s at this time, puts GasLog in a position to offer a fast track solution for FSRU projects in the future. GasLog is working on a number of potential projects where the LLI’s could be used in a vessel conversion and has a number of well suited candidates for conversion in its fleet of LNG carriers.</w:t>
      </w:r>
    </w:p>
    <w:p>
      <w:pPr>
        <w:spacing w:after="0" w:line="1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Paul Wogan, Chief Executive Officer of GasLog Ltd., stated: “GasLog’s success in developing both its FSRU capability and its industry relationships has allowed the early ordering of the LLI’s. This is a reflection of the progress we are making with a number of different projects around the world.”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Ltd.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GasLog is an international owner, operator and manager of LNG carriers. GasLog’s fully-owned fleet includes 19 LNG carriers (including 13 ships in operation and 5 LNG carriers on order) and GasLog has four LNG carriers operating under its technical management for third parties. GasLog Partners LP, a master limited partnership formed by GasLog, owns a further nine LNG carriers. GasLog’s principal executive offices are at Gildo Pastor Center, 7 Rue du Gabian, MC 98000, Monaco. GasLog’s website is http://www.gaslogltd.com.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Jamie Buckland – Head of Investor Relations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Phone: +44 203 388 3116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ir@gaslogltd.com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 Looking Statements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the Company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25" w:lineRule="exact"/>
        <w:rPr>
          <w:sz w:val="20"/>
          <w:szCs w:val="20"/>
          <w:color w:val="auto"/>
        </w:rPr>
      </w:pPr>
    </w:p>
    <w:p>
      <w:pPr>
        <w:ind w:left="6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general LNG shipping market conditions and trends, including spot and long-term charter rates, ship values, factors affecting supply and demand of LNG and LNG shipping and technological advancements;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continued low prices for crude oil and petroleum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enter into time charters with new and existing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future operating performance, financial condition, liquidity and cash available for dividends and distributions;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obtain financing to fund capital expenditures, acquisitions and other corporate activities, funding by banks of their financial commitments, and our ability to meet our restrictive covenants and other obligations under our credit facilities;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future, pending or recent acquisitions of or orders for ships or other assets, business strategy, areas of possible expansion and expected capital spending or operating expenses;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time that it may take to construct and deliver newbuildings and the useful lives of our ships;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number of off-hire days, drydocking requirements and insurance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fluctuations in currencies and interest rates;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long-term relationships with major energy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maximize the use of our ships, including the re-employment or disposal of ships not under time charter commitments;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environmental and regulatory conditions, including changes in laws and regulations or actions taken by regulatory authorities;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expected cost of, and our ability to comply with, governmental regulations and maritime self-regulatory organization standards, requirements imposed by classification societies and standards imposed by our charterers applicable to our business;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inherent in ship operation, including the discharge of pollutants;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availability of skilled labor, ship crews and management;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political events, piracy or acts by terrorists;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breach; and</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risks and uncertainties described in the Company’s Annual Report on Form 20-F filed with the SEC on March 14, 2016 and available at http://www.sec.gov.</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undertake no obligation to update or revise any forward-looking statements contained in this press release,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declaration and payment of dividends are at all times subject to the discretion of our board of directors and will depend on, amongst other things, risks and uncertainties described above, restrictions in our credit facilities, the provisions of Bermuda law and such other factors as our board of directors may deem relevant.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40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2019-12-08T22:20:25Z</dcterms:created>
  <dcterms:modified xsi:type="dcterms:W3CDTF">2019-12-08T22:20:25Z</dcterms:modified>
</cp:coreProperties>
</file>