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For the month of April 2019</w:t>
            </w:r>
          </w:p>
        </w:tc>
        <w:tc>
          <w:tcPr>
            <w:tcW w:w="22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240" w:type="dxa"/>
            <w:vAlign w:val="bottom"/>
          </w:tcPr>
          <w:p>
            <w:pPr>
              <w:spacing w:after="0"/>
              <w:rPr>
                <w:sz w:val="24"/>
                <w:szCs w:val="24"/>
                <w:color w:val="auto"/>
              </w:rPr>
            </w:pPr>
          </w:p>
        </w:tc>
      </w:tr>
      <w:tr>
        <w:trPr>
          <w:trHeight w:val="418"/>
        </w:trPr>
        <w:tc>
          <w:tcPr>
            <w:tcW w:w="922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GasLog Ltd</w:t>
            </w:r>
          </w:p>
        </w:tc>
        <w:tc>
          <w:tcPr>
            <w:tcW w:w="2240" w:type="dxa"/>
            <w:vAlign w:val="bottom"/>
          </w:tcPr>
          <w:p>
            <w:pPr>
              <w:spacing w:after="0"/>
              <w:rPr>
                <w:sz w:val="24"/>
                <w:szCs w:val="24"/>
                <w:color w:val="auto"/>
              </w:rPr>
            </w:pPr>
          </w:p>
        </w:tc>
      </w:tr>
      <w:tr>
        <w:trPr>
          <w:trHeight w:val="230"/>
        </w:trPr>
        <w:tc>
          <w:tcPr>
            <w:tcW w:w="9220" w:type="dxa"/>
            <w:vAlign w:val="bottom"/>
          </w:tcPr>
          <w:p>
            <w:pPr>
              <w:jc w:val="center"/>
              <w:ind w:left="2130"/>
              <w:spacing w:after="0"/>
              <w:rPr>
                <w:sz w:val="20"/>
                <w:szCs w:val="20"/>
                <w:color w:val="auto"/>
              </w:rPr>
            </w:pPr>
            <w:r>
              <w:rPr>
                <w:rFonts w:ascii="Arial" w:cs="Arial" w:eastAsia="Arial" w:hAnsi="Arial"/>
                <w:sz w:val="18"/>
                <w:szCs w:val="18"/>
                <w:color w:val="auto"/>
                <w:w w:val="91"/>
              </w:rPr>
              <w:t>(Translation of registrant’s name into English)</w:t>
            </w:r>
          </w:p>
        </w:tc>
        <w:tc>
          <w:tcPr>
            <w:tcW w:w="2240" w:type="dxa"/>
            <w:vAlign w:val="bottom"/>
          </w:tcPr>
          <w:p>
            <w:pPr>
              <w:spacing w:after="0"/>
              <w:rPr>
                <w:sz w:val="20"/>
                <w:szCs w:val="20"/>
                <w:color w:val="auto"/>
              </w:rPr>
            </w:pPr>
          </w:p>
        </w:tc>
      </w:tr>
      <w:tr>
        <w:trPr>
          <w:trHeight w:val="418"/>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89"/>
              </w:rPr>
              <w:t>Gildo Pastor Center</w:t>
            </w:r>
          </w:p>
        </w:tc>
        <w:tc>
          <w:tcPr>
            <w:tcW w:w="2240" w:type="dxa"/>
            <w:vAlign w:val="bottom"/>
          </w:tcPr>
          <w:p>
            <w:pPr>
              <w:spacing w:after="0"/>
              <w:rPr>
                <w:sz w:val="24"/>
                <w:szCs w:val="24"/>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89"/>
              </w:rPr>
              <w:t>7 Rue du Gabian</w:t>
            </w:r>
          </w:p>
        </w:tc>
        <w:tc>
          <w:tcPr>
            <w:tcW w:w="2240" w:type="dxa"/>
            <w:vAlign w:val="bottom"/>
          </w:tcPr>
          <w:p>
            <w:pPr>
              <w:spacing w:after="0"/>
              <w:rPr>
                <w:sz w:val="18"/>
                <w:szCs w:val="18"/>
                <w:color w:val="auto"/>
              </w:rPr>
            </w:pPr>
          </w:p>
        </w:tc>
      </w:tr>
      <w:tr>
        <w:trPr>
          <w:trHeight w:val="216"/>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92"/>
              </w:rPr>
              <w:t>MC 98000, Monaco</w:t>
            </w:r>
          </w:p>
        </w:tc>
        <w:tc>
          <w:tcPr>
            <w:tcW w:w="2240" w:type="dxa"/>
            <w:vAlign w:val="bottom"/>
          </w:tcPr>
          <w:p>
            <w:pPr>
              <w:spacing w:after="0"/>
              <w:rPr>
                <w:sz w:val="18"/>
                <w:szCs w:val="18"/>
                <w:color w:val="auto"/>
              </w:rPr>
            </w:pPr>
          </w:p>
        </w:tc>
      </w:tr>
      <w:tr>
        <w:trPr>
          <w:trHeight w:val="230"/>
        </w:trPr>
        <w:tc>
          <w:tcPr>
            <w:tcW w:w="9220" w:type="dxa"/>
            <w:vAlign w:val="bottom"/>
          </w:tcPr>
          <w:p>
            <w:pPr>
              <w:jc w:val="center"/>
              <w:ind w:left="2110"/>
              <w:spacing w:after="0"/>
              <w:rPr>
                <w:sz w:val="20"/>
                <w:szCs w:val="20"/>
                <w:color w:val="auto"/>
              </w:rPr>
            </w:pPr>
            <w:r>
              <w:rPr>
                <w:rFonts w:ascii="Arial" w:cs="Arial" w:eastAsia="Arial" w:hAnsi="Arial"/>
                <w:sz w:val="18"/>
                <w:szCs w:val="18"/>
                <w:color w:val="auto"/>
                <w:w w:val="92"/>
              </w:rPr>
              <w:t>(Address of principal executive office)</w:t>
            </w:r>
          </w:p>
        </w:tc>
        <w:tc>
          <w:tcPr>
            <w:tcW w:w="22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40" w:type="dxa"/>
            <w:vAlign w:val="bottom"/>
          </w:tcPr>
          <w:p>
            <w:pPr>
              <w:spacing w:after="0"/>
              <w:rPr>
                <w:sz w:val="24"/>
                <w:szCs w:val="24"/>
                <w:color w:val="auto"/>
              </w:rPr>
            </w:pPr>
          </w:p>
        </w:tc>
      </w:tr>
      <w:tr>
        <w:trPr>
          <w:trHeight w:val="452"/>
        </w:trPr>
        <w:tc>
          <w:tcPr>
            <w:tcW w:w="92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40" w:type="dxa"/>
            <w:vAlign w:val="bottom"/>
          </w:tcPr>
          <w:p>
            <w:pPr>
              <w:spacing w:after="0"/>
              <w:rPr>
                <w:sz w:val="24"/>
                <w:szCs w:val="24"/>
                <w:color w:val="auto"/>
              </w:rPr>
            </w:pPr>
          </w:p>
        </w:tc>
      </w:tr>
      <w:tr>
        <w:trPr>
          <w:trHeight w:val="41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40" w:type="dxa"/>
            <w:vAlign w:val="bottom"/>
          </w:tcPr>
          <w:p>
            <w:pPr>
              <w:jc w:val="right"/>
              <w:ind w:right="1790"/>
              <w:spacing w:after="0"/>
              <w:rPr>
                <w:sz w:val="20"/>
                <w:szCs w:val="20"/>
                <w:color w:val="auto"/>
              </w:rPr>
            </w:pPr>
            <w:r>
              <w:rPr>
                <w:rFonts w:ascii="Arial" w:cs="Arial" w:eastAsia="Arial" w:hAnsi="Arial"/>
                <w:sz w:val="18"/>
                <w:szCs w:val="18"/>
                <w:color w:val="auto"/>
              </w:rPr>
              <w:t>£</w:t>
            </w: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40" w:type="dxa"/>
            <w:vAlign w:val="bottom"/>
          </w:tcPr>
          <w:p>
            <w:pPr>
              <w:jc w:val="right"/>
              <w:ind w:right="1790"/>
              <w:spacing w:after="0"/>
              <w:rPr>
                <w:sz w:val="20"/>
                <w:szCs w:val="20"/>
                <w:color w:val="auto"/>
              </w:rPr>
            </w:pPr>
            <w:r>
              <w:rPr>
                <w:rFonts w:ascii="Arial" w:cs="Arial" w:eastAsia="Arial" w:hAnsi="Arial"/>
                <w:sz w:val="18"/>
                <w:szCs w:val="18"/>
                <w:color w:val="auto"/>
              </w:rPr>
              <w:t>£</w:t>
            </w:r>
          </w:p>
        </w:tc>
      </w:tr>
      <w:tr>
        <w:trPr>
          <w:trHeight w:val="348"/>
        </w:trPr>
        <w:tc>
          <w:tcPr>
            <w:tcW w:w="92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April 2, 2019 announcing GasLog Partners LP’s closing of the GasLog Glasgow Acquisition from GasLog Ltd. is attached hereto as Exhibit 99.1.</w:t>
      </w:r>
    </w:p>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41" w:right="5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jc w:val="center"/>
              <w:ind w:left="5550"/>
              <w:spacing w:after="0"/>
              <w:rPr>
                <w:sz w:val="20"/>
                <w:szCs w:val="20"/>
                <w:color w:val="auto"/>
              </w:rPr>
            </w:pPr>
            <w:r>
              <w:rPr>
                <w:rFonts w:ascii="Arial" w:cs="Arial" w:eastAsia="Arial" w:hAnsi="Arial"/>
                <w:sz w:val="18"/>
                <w:szCs w:val="18"/>
                <w:color w:val="auto"/>
                <w:w w:val="95"/>
              </w:rPr>
              <w:t>GASLOG LTD</w:t>
            </w:r>
          </w:p>
        </w:tc>
        <w:tc>
          <w:tcPr>
            <w:tcW w:w="6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900" w:type="dxa"/>
            <w:vAlign w:val="bottom"/>
          </w:tcPr>
          <w:p>
            <w:pPr>
              <w:jc w:val="center"/>
              <w:ind w:left="5590"/>
              <w:spacing w:after="0"/>
              <w:rPr>
                <w:sz w:val="20"/>
                <w:szCs w:val="20"/>
                <w:color w:val="auto"/>
              </w:rPr>
            </w:pPr>
            <w:r>
              <w:rPr>
                <w:rFonts w:ascii="Arial" w:cs="Arial" w:eastAsia="Arial" w:hAnsi="Arial"/>
                <w:sz w:val="18"/>
                <w:szCs w:val="18"/>
                <w:color w:val="auto"/>
                <w:w w:val="94"/>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9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18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9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9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Closing of the </w:t>
      </w:r>
      <w:r>
        <w:rPr>
          <w:rFonts w:ascii="Arial" w:cs="Arial" w:eastAsia="Arial" w:hAnsi="Arial"/>
          <w:sz w:val="18"/>
          <w:szCs w:val="18"/>
          <w:b w:val="1"/>
          <w:bCs w:val="1"/>
          <w:i w:val="1"/>
          <w:iCs w:val="1"/>
          <w:color w:val="auto"/>
        </w:rPr>
        <w:t>GasLog Glasgow</w:t>
      </w:r>
      <w:r>
        <w:rPr>
          <w:rFonts w:ascii="Arial" w:cs="Arial" w:eastAsia="Arial" w:hAnsi="Arial"/>
          <w:sz w:val="18"/>
          <w:szCs w:val="18"/>
          <w:b w:val="1"/>
          <w:bCs w:val="1"/>
          <w:color w:val="auto"/>
        </w:rPr>
        <w:t xml:space="preserve"> Acquisition from GasLog Ltd.</w:t>
      </w:r>
    </w:p>
    <w:p>
      <w:pPr>
        <w:spacing w:after="0" w:line="22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MONACO — April 2, 2019 — </w:t>
      </w:r>
      <w:r>
        <w:rPr>
          <w:rFonts w:ascii="Arial" w:cs="Arial" w:eastAsia="Arial" w:hAnsi="Arial"/>
          <w:sz w:val="16"/>
          <w:szCs w:val="16"/>
          <w:color w:val="auto"/>
        </w:rPr>
        <w:t>GasLog Partners LP (NYSE:GLOP) (“GasLog Partners” or the “Partnership”) and GasLog Ltd. (NYSE:GLOG) (“GasLog”)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announced today the closing of the Partnership’s acquisition from GasLog of 100% of the shares in the entity that owns and charters the </w:t>
      </w:r>
      <w:r>
        <w:rPr>
          <w:rFonts w:ascii="Arial" w:cs="Arial" w:eastAsia="Arial" w:hAnsi="Arial"/>
          <w:sz w:val="16"/>
          <w:szCs w:val="16"/>
          <w:i w:val="1"/>
          <w:iCs w:val="1"/>
          <w:color w:val="auto"/>
        </w:rPr>
        <w:t>GasLog Glasgow</w:t>
      </w:r>
      <w:r>
        <w:rPr>
          <w:rFonts w:ascii="Arial" w:cs="Arial" w:eastAsia="Arial" w:hAnsi="Arial"/>
          <w:sz w:val="16"/>
          <w:szCs w:val="16"/>
          <w:color w:val="auto"/>
        </w:rPr>
        <w:t>.</w:t>
      </w:r>
    </w:p>
    <w:p>
      <w:pPr>
        <w:spacing w:after="0" w:line="1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is a 174,000 cubic meter tri-fuel diesel electric liquefied natural gas (“LNG”) carrier built in 2016 and operated by GasLog since delivery. The vessel is currently on a multi-year time charter with a wholly owned subsidiary of Royal Dutch Shell plc (“Shell”) through June 2026. Shell has the option to extend the charter for a period of five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auto"/>
        </w:rPr>
        <w:t>http://www.gaslogmlp.com</w:t>
      </w:r>
      <w:r>
        <w:rPr>
          <w:rFonts w:ascii="Arial" w:cs="Arial" w:eastAsia="Arial" w:hAnsi="Arial"/>
          <w:sz w:val="16"/>
          <w:szCs w:val="16"/>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GasLog is an international owner, operator and manager of LNG carriers providing support to international energy companies as part of their LNG logistics chain. GasLog’s consolidated owned fleet consists of 34 LNG carriers (26 ships on the water and 8 on order). GasLog also has an additional LNG carrier which was sold to a subsidiary of Mitsui Co. Ltd. and leased back under a long-term bareboat charter. GasLog’s consolidated fleet includes 15 LNG carriers in operation owned by GasLog’s subsidiary, GasLog Partners. GasLog’s principal executive offices are at Gildo Pastor Center, 7 Rue du Gabian, MC 98000, Monaco. Visit GasLog’s website at </w:t>
      </w:r>
      <w:r>
        <w:rPr>
          <w:rFonts w:ascii="Arial" w:cs="Arial" w:eastAsia="Arial" w:hAnsi="Arial"/>
          <w:sz w:val="18"/>
          <w:szCs w:val="18"/>
          <w:u w:val="single" w:color="auto"/>
          <w:color w:val="auto"/>
        </w:rPr>
        <w:t>http://www.gaslogltd.com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2019-12-03T17:17:36Z</dcterms:created>
  <dcterms:modified xsi:type="dcterms:W3CDTF">2019-12-03T17:17:36Z</dcterms:modified>
</cp:coreProperties>
</file>