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9"/>
          <w:szCs w:val="19"/>
          <w:b w:val="1"/>
          <w:bCs w:val="1"/>
          <w:color w:val="auto"/>
        </w:rPr>
        <w:t>UNITED STATES</w:t>
      </w:r>
    </w:p>
    <w:p>
      <w:pPr>
        <w:spacing w:after="0" w:line="29"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SECURITIES AND EXCHANGE COMMISSION</w:t>
      </w:r>
    </w:p>
    <w:p>
      <w:pPr>
        <w:spacing w:after="0" w:line="10"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Washington, D.C. 20549</w:t>
      </w:r>
    </w:p>
    <w:p>
      <w:pPr>
        <w:spacing w:after="0" w:line="219"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Form 6-K</w:t>
      </w:r>
    </w:p>
    <w:p>
      <w:pPr>
        <w:spacing w:after="0" w:line="238" w:lineRule="exact"/>
        <w:rPr>
          <w:sz w:val="24"/>
          <w:szCs w:val="24"/>
          <w:color w:val="auto"/>
        </w:rPr>
      </w:pPr>
    </w:p>
    <w:p>
      <w:pPr>
        <w:ind w:left="80"/>
        <w:spacing w:after="0"/>
        <w:rPr>
          <w:sz w:val="20"/>
          <w:szCs w:val="20"/>
          <w:color w:val="auto"/>
        </w:rPr>
      </w:pPr>
      <w:r>
        <w:rPr>
          <w:rFonts w:ascii="Arial" w:cs="Arial" w:eastAsia="Arial" w:hAnsi="Arial"/>
          <w:sz w:val="18"/>
          <w:szCs w:val="18"/>
          <w:b w:val="1"/>
          <w:bCs w:val="1"/>
          <w:color w:val="auto"/>
        </w:rPr>
        <w:t>REPORT OF FOREIGN PRIVATE ISSUER PURSUANT TO RULE 13a-16 OR 15d-16 UNDER THE SECURITIES EXCHANGE ACT OF 1934</w:t>
      </w:r>
    </w:p>
    <w:p>
      <w:pPr>
        <w:spacing w:after="0" w:line="25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10660" w:type="dxa"/>
            <w:vAlign w:val="bottom"/>
          </w:tcPr>
          <w:p>
            <w:pPr>
              <w:spacing w:after="0"/>
              <w:rPr>
                <w:sz w:val="20"/>
                <w:szCs w:val="20"/>
                <w:color w:val="auto"/>
              </w:rPr>
            </w:pPr>
            <w:r>
              <w:rPr>
                <w:rFonts w:ascii="Arial" w:cs="Arial" w:eastAsia="Arial" w:hAnsi="Arial"/>
                <w:sz w:val="19"/>
                <w:szCs w:val="19"/>
                <w:color w:val="auto"/>
              </w:rPr>
              <w:t>For the month of February 2019</w:t>
            </w:r>
          </w:p>
        </w:tc>
        <w:tc>
          <w:tcPr>
            <w:tcW w:w="1380" w:type="dxa"/>
            <w:vAlign w:val="bottom"/>
          </w:tcPr>
          <w:p>
            <w:pPr>
              <w:spacing w:after="0"/>
              <w:rPr>
                <w:sz w:val="20"/>
                <w:szCs w:val="20"/>
                <w:color w:val="auto"/>
              </w:rPr>
            </w:pPr>
          </w:p>
        </w:tc>
      </w:tr>
      <w:tr>
        <w:trPr>
          <w:trHeight w:val="456"/>
        </w:trPr>
        <w:tc>
          <w:tcPr>
            <w:tcW w:w="10660" w:type="dxa"/>
            <w:vAlign w:val="bottom"/>
          </w:tcPr>
          <w:p>
            <w:pPr>
              <w:spacing w:after="0"/>
              <w:rPr>
                <w:sz w:val="20"/>
                <w:szCs w:val="20"/>
                <w:color w:val="auto"/>
              </w:rPr>
            </w:pPr>
            <w:r>
              <w:rPr>
                <w:rFonts w:ascii="Arial" w:cs="Arial" w:eastAsia="Arial" w:hAnsi="Arial"/>
                <w:sz w:val="19"/>
                <w:szCs w:val="19"/>
                <w:color w:val="auto"/>
              </w:rPr>
              <w:t>Commission File Number 001-35466</w:t>
            </w:r>
          </w:p>
        </w:tc>
        <w:tc>
          <w:tcPr>
            <w:tcW w:w="1380" w:type="dxa"/>
            <w:vAlign w:val="bottom"/>
          </w:tcPr>
          <w:p>
            <w:pPr>
              <w:spacing w:after="0"/>
              <w:rPr>
                <w:sz w:val="24"/>
                <w:szCs w:val="24"/>
                <w:color w:val="auto"/>
              </w:rPr>
            </w:pPr>
          </w:p>
        </w:tc>
      </w:tr>
      <w:tr>
        <w:trPr>
          <w:trHeight w:val="443"/>
        </w:trPr>
        <w:tc>
          <w:tcPr>
            <w:tcW w:w="10660" w:type="dxa"/>
            <w:vAlign w:val="bottom"/>
          </w:tcPr>
          <w:p>
            <w:pPr>
              <w:jc w:val="center"/>
              <w:ind w:left="1245"/>
              <w:spacing w:after="0"/>
              <w:rPr>
                <w:sz w:val="20"/>
                <w:szCs w:val="20"/>
                <w:color w:val="auto"/>
              </w:rPr>
            </w:pPr>
            <w:r>
              <w:rPr>
                <w:rFonts w:ascii="Arial" w:cs="Arial" w:eastAsia="Arial" w:hAnsi="Arial"/>
                <w:sz w:val="19"/>
                <w:szCs w:val="19"/>
                <w:b w:val="1"/>
                <w:bCs w:val="1"/>
                <w:color w:val="auto"/>
                <w:w w:val="93"/>
              </w:rPr>
              <w:t>GasLog Ltd.</w:t>
            </w:r>
          </w:p>
        </w:tc>
        <w:tc>
          <w:tcPr>
            <w:tcW w:w="1380" w:type="dxa"/>
            <w:vAlign w:val="bottom"/>
          </w:tcPr>
          <w:p>
            <w:pPr>
              <w:spacing w:after="0"/>
              <w:rPr>
                <w:sz w:val="24"/>
                <w:szCs w:val="24"/>
                <w:color w:val="auto"/>
              </w:rPr>
            </w:pPr>
          </w:p>
        </w:tc>
      </w:tr>
      <w:tr>
        <w:trPr>
          <w:trHeight w:val="241"/>
        </w:trPr>
        <w:tc>
          <w:tcPr>
            <w:tcW w:w="10660" w:type="dxa"/>
            <w:vAlign w:val="bottom"/>
          </w:tcPr>
          <w:p>
            <w:pPr>
              <w:jc w:val="center"/>
              <w:ind w:left="1245"/>
              <w:spacing w:after="0"/>
              <w:rPr>
                <w:sz w:val="20"/>
                <w:szCs w:val="20"/>
                <w:color w:val="auto"/>
              </w:rPr>
            </w:pPr>
            <w:r>
              <w:rPr>
                <w:rFonts w:ascii="Arial" w:cs="Arial" w:eastAsia="Arial" w:hAnsi="Arial"/>
                <w:sz w:val="19"/>
                <w:szCs w:val="19"/>
                <w:color w:val="auto"/>
                <w:w w:val="92"/>
              </w:rPr>
              <w:t>(Translation of registrant’s name into English)</w:t>
            </w:r>
          </w:p>
        </w:tc>
        <w:tc>
          <w:tcPr>
            <w:tcW w:w="1380" w:type="dxa"/>
            <w:vAlign w:val="bottom"/>
          </w:tcPr>
          <w:p>
            <w:pPr>
              <w:spacing w:after="0"/>
              <w:rPr>
                <w:sz w:val="20"/>
                <w:szCs w:val="20"/>
                <w:color w:val="auto"/>
              </w:rPr>
            </w:pPr>
          </w:p>
        </w:tc>
      </w:tr>
      <w:tr>
        <w:trPr>
          <w:trHeight w:val="443"/>
        </w:trPr>
        <w:tc>
          <w:tcPr>
            <w:tcW w:w="10660" w:type="dxa"/>
            <w:vAlign w:val="bottom"/>
          </w:tcPr>
          <w:p>
            <w:pPr>
              <w:jc w:val="center"/>
              <w:ind w:left="1245"/>
              <w:spacing w:after="0"/>
              <w:rPr>
                <w:sz w:val="20"/>
                <w:szCs w:val="20"/>
                <w:color w:val="auto"/>
              </w:rPr>
            </w:pPr>
            <w:r>
              <w:rPr>
                <w:rFonts w:ascii="Arial" w:cs="Arial" w:eastAsia="Arial" w:hAnsi="Arial"/>
                <w:sz w:val="19"/>
                <w:szCs w:val="19"/>
                <w:color w:val="auto"/>
                <w:w w:val="92"/>
              </w:rPr>
              <w:t>c/o GasLog Monaco S.A.M.</w:t>
            </w:r>
          </w:p>
        </w:tc>
        <w:tc>
          <w:tcPr>
            <w:tcW w:w="1380" w:type="dxa"/>
            <w:vAlign w:val="bottom"/>
          </w:tcPr>
          <w:p>
            <w:pPr>
              <w:spacing w:after="0"/>
              <w:rPr>
                <w:sz w:val="24"/>
                <w:szCs w:val="24"/>
                <w:color w:val="auto"/>
              </w:rPr>
            </w:pPr>
          </w:p>
        </w:tc>
      </w:tr>
      <w:tr>
        <w:trPr>
          <w:trHeight w:val="228"/>
        </w:trPr>
        <w:tc>
          <w:tcPr>
            <w:tcW w:w="10660" w:type="dxa"/>
            <w:vAlign w:val="bottom"/>
          </w:tcPr>
          <w:p>
            <w:pPr>
              <w:jc w:val="center"/>
              <w:ind w:left="1245"/>
              <w:spacing w:after="0"/>
              <w:rPr>
                <w:sz w:val="20"/>
                <w:szCs w:val="20"/>
                <w:color w:val="auto"/>
              </w:rPr>
            </w:pPr>
            <w:r>
              <w:rPr>
                <w:rFonts w:ascii="Arial" w:cs="Arial" w:eastAsia="Arial" w:hAnsi="Arial"/>
                <w:sz w:val="19"/>
                <w:szCs w:val="19"/>
                <w:color w:val="auto"/>
                <w:w w:val="91"/>
              </w:rPr>
              <w:t>Gildo Pastor Center</w:t>
            </w:r>
          </w:p>
        </w:tc>
        <w:tc>
          <w:tcPr>
            <w:tcW w:w="1380" w:type="dxa"/>
            <w:vAlign w:val="bottom"/>
          </w:tcPr>
          <w:p>
            <w:pPr>
              <w:spacing w:after="0"/>
              <w:rPr>
                <w:sz w:val="19"/>
                <w:szCs w:val="19"/>
                <w:color w:val="auto"/>
              </w:rPr>
            </w:pPr>
          </w:p>
        </w:tc>
      </w:tr>
      <w:tr>
        <w:trPr>
          <w:trHeight w:val="228"/>
        </w:trPr>
        <w:tc>
          <w:tcPr>
            <w:tcW w:w="10660" w:type="dxa"/>
            <w:vAlign w:val="bottom"/>
          </w:tcPr>
          <w:p>
            <w:pPr>
              <w:jc w:val="center"/>
              <w:ind w:left="1245"/>
              <w:spacing w:after="0"/>
              <w:rPr>
                <w:sz w:val="20"/>
                <w:szCs w:val="20"/>
                <w:color w:val="auto"/>
              </w:rPr>
            </w:pPr>
            <w:r>
              <w:rPr>
                <w:rFonts w:ascii="Arial" w:cs="Arial" w:eastAsia="Arial" w:hAnsi="Arial"/>
                <w:sz w:val="19"/>
                <w:szCs w:val="19"/>
                <w:color w:val="auto"/>
                <w:w w:val="89"/>
              </w:rPr>
              <w:t>7 Rue du Gabian</w:t>
            </w:r>
          </w:p>
        </w:tc>
        <w:tc>
          <w:tcPr>
            <w:tcW w:w="1380" w:type="dxa"/>
            <w:vAlign w:val="bottom"/>
          </w:tcPr>
          <w:p>
            <w:pPr>
              <w:spacing w:after="0"/>
              <w:rPr>
                <w:sz w:val="19"/>
                <w:szCs w:val="19"/>
                <w:color w:val="auto"/>
              </w:rPr>
            </w:pPr>
          </w:p>
        </w:tc>
      </w:tr>
      <w:tr>
        <w:trPr>
          <w:trHeight w:val="228"/>
        </w:trPr>
        <w:tc>
          <w:tcPr>
            <w:tcW w:w="10660" w:type="dxa"/>
            <w:vAlign w:val="bottom"/>
          </w:tcPr>
          <w:p>
            <w:pPr>
              <w:jc w:val="center"/>
              <w:ind w:left="1245"/>
              <w:spacing w:after="0"/>
              <w:rPr>
                <w:sz w:val="20"/>
                <w:szCs w:val="20"/>
                <w:color w:val="auto"/>
              </w:rPr>
            </w:pPr>
            <w:r>
              <w:rPr>
                <w:rFonts w:ascii="Arial" w:cs="Arial" w:eastAsia="Arial" w:hAnsi="Arial"/>
                <w:sz w:val="19"/>
                <w:szCs w:val="19"/>
                <w:color w:val="auto"/>
                <w:w w:val="91"/>
              </w:rPr>
              <w:t>MC 98000, Monaco</w:t>
            </w:r>
          </w:p>
        </w:tc>
        <w:tc>
          <w:tcPr>
            <w:tcW w:w="1380" w:type="dxa"/>
            <w:vAlign w:val="bottom"/>
          </w:tcPr>
          <w:p>
            <w:pPr>
              <w:spacing w:after="0"/>
              <w:rPr>
                <w:sz w:val="19"/>
                <w:szCs w:val="19"/>
                <w:color w:val="auto"/>
              </w:rPr>
            </w:pPr>
          </w:p>
        </w:tc>
      </w:tr>
      <w:tr>
        <w:trPr>
          <w:trHeight w:val="241"/>
        </w:trPr>
        <w:tc>
          <w:tcPr>
            <w:tcW w:w="10660" w:type="dxa"/>
            <w:vAlign w:val="bottom"/>
          </w:tcPr>
          <w:p>
            <w:pPr>
              <w:jc w:val="center"/>
              <w:ind w:left="1225"/>
              <w:spacing w:after="0"/>
              <w:rPr>
                <w:sz w:val="20"/>
                <w:szCs w:val="20"/>
                <w:color w:val="auto"/>
              </w:rPr>
            </w:pPr>
            <w:r>
              <w:rPr>
                <w:rFonts w:ascii="Arial" w:cs="Arial" w:eastAsia="Arial" w:hAnsi="Arial"/>
                <w:sz w:val="19"/>
                <w:szCs w:val="19"/>
                <w:color w:val="auto"/>
                <w:w w:val="93"/>
              </w:rPr>
              <w:t>(Address of principal executive office)</w:t>
            </w:r>
          </w:p>
        </w:tc>
        <w:tc>
          <w:tcPr>
            <w:tcW w:w="1380" w:type="dxa"/>
            <w:vAlign w:val="bottom"/>
          </w:tcPr>
          <w:p>
            <w:pPr>
              <w:spacing w:after="0"/>
              <w:rPr>
                <w:sz w:val="20"/>
                <w:szCs w:val="20"/>
                <w:color w:val="auto"/>
              </w:rPr>
            </w:pPr>
          </w:p>
        </w:tc>
      </w:tr>
      <w:tr>
        <w:trPr>
          <w:trHeight w:val="456"/>
        </w:trPr>
        <w:tc>
          <w:tcPr>
            <w:tcW w:w="10660" w:type="dxa"/>
            <w:vAlign w:val="bottom"/>
          </w:tcPr>
          <w:p>
            <w:pPr>
              <w:spacing w:after="0"/>
              <w:rPr>
                <w:sz w:val="20"/>
                <w:szCs w:val="20"/>
                <w:color w:val="auto"/>
              </w:rPr>
            </w:pPr>
            <w:r>
              <w:rPr>
                <w:rFonts w:ascii="Arial" w:cs="Arial" w:eastAsia="Arial" w:hAnsi="Arial"/>
                <w:sz w:val="19"/>
                <w:szCs w:val="19"/>
                <w:color w:val="auto"/>
              </w:rPr>
              <w:t>Indicate by check mark whether the registrant files or will file annual reports under cover of Form 20-F or Form 40-F.</w:t>
            </w:r>
          </w:p>
        </w:tc>
        <w:tc>
          <w:tcPr>
            <w:tcW w:w="1380" w:type="dxa"/>
            <w:vAlign w:val="bottom"/>
          </w:tcPr>
          <w:p>
            <w:pPr>
              <w:spacing w:after="0"/>
              <w:rPr>
                <w:sz w:val="24"/>
                <w:szCs w:val="24"/>
                <w:color w:val="auto"/>
              </w:rPr>
            </w:pPr>
          </w:p>
        </w:tc>
      </w:tr>
      <w:tr>
        <w:trPr>
          <w:trHeight w:val="456"/>
        </w:trPr>
        <w:tc>
          <w:tcPr>
            <w:tcW w:w="10660" w:type="dxa"/>
            <w:vAlign w:val="bottom"/>
          </w:tcPr>
          <w:p>
            <w:pPr>
              <w:spacing w:after="0"/>
              <w:rPr>
                <w:sz w:val="20"/>
                <w:szCs w:val="20"/>
                <w:color w:val="auto"/>
              </w:rPr>
            </w:pPr>
            <w:r>
              <w:rPr>
                <w:rFonts w:ascii="Arial" w:cs="Arial" w:eastAsia="Arial" w:hAnsi="Arial"/>
                <w:sz w:val="19"/>
                <w:szCs w:val="19"/>
                <w:color w:val="auto"/>
              </w:rPr>
              <w:t>Form 20-F þ   Form 40-F o</w:t>
            </w:r>
          </w:p>
        </w:tc>
        <w:tc>
          <w:tcPr>
            <w:tcW w:w="1380" w:type="dxa"/>
            <w:vAlign w:val="bottom"/>
          </w:tcPr>
          <w:p>
            <w:pPr>
              <w:spacing w:after="0"/>
              <w:rPr>
                <w:sz w:val="24"/>
                <w:szCs w:val="24"/>
                <w:color w:val="auto"/>
              </w:rPr>
            </w:pPr>
          </w:p>
        </w:tc>
      </w:tr>
      <w:tr>
        <w:trPr>
          <w:trHeight w:val="456"/>
        </w:trPr>
        <w:tc>
          <w:tcPr>
            <w:tcW w:w="10660" w:type="dxa"/>
            <w:vAlign w:val="bottom"/>
          </w:tcPr>
          <w:p>
            <w:pPr>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101(b)(1):</w:t>
            </w:r>
          </w:p>
        </w:tc>
        <w:tc>
          <w:tcPr>
            <w:tcW w:w="1380" w:type="dxa"/>
            <w:vAlign w:val="bottom"/>
          </w:tcPr>
          <w:p>
            <w:pPr>
              <w:ind w:left="1240"/>
              <w:spacing w:after="0"/>
              <w:rPr>
                <w:sz w:val="20"/>
                <w:szCs w:val="20"/>
                <w:color w:val="auto"/>
              </w:rPr>
            </w:pPr>
            <w:r>
              <w:rPr>
                <w:rFonts w:ascii="Arial" w:cs="Arial" w:eastAsia="Arial" w:hAnsi="Arial"/>
                <w:sz w:val="19"/>
                <w:szCs w:val="19"/>
                <w:color w:val="auto"/>
              </w:rPr>
              <w:t>o</w:t>
            </w:r>
          </w:p>
        </w:tc>
      </w:tr>
      <w:tr>
        <w:trPr>
          <w:trHeight w:val="456"/>
        </w:trPr>
        <w:tc>
          <w:tcPr>
            <w:tcW w:w="10660" w:type="dxa"/>
            <w:vAlign w:val="bottom"/>
          </w:tcPr>
          <w:p>
            <w:pPr>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101(b)(7):</w:t>
            </w:r>
          </w:p>
        </w:tc>
        <w:tc>
          <w:tcPr>
            <w:tcW w:w="1380" w:type="dxa"/>
            <w:vAlign w:val="bottom"/>
          </w:tcPr>
          <w:p>
            <w:pPr>
              <w:ind w:left="1240"/>
              <w:spacing w:after="0"/>
              <w:rPr>
                <w:sz w:val="20"/>
                <w:szCs w:val="20"/>
                <w:color w:val="auto"/>
              </w:rPr>
            </w:pPr>
            <w:r>
              <w:rPr>
                <w:rFonts w:ascii="Arial" w:cs="Arial" w:eastAsia="Arial" w:hAnsi="Arial"/>
                <w:sz w:val="19"/>
                <w:szCs w:val="19"/>
                <w:color w:val="auto"/>
              </w:rPr>
              <w:t>o</w:t>
            </w:r>
          </w:p>
        </w:tc>
      </w:tr>
      <w:tr>
        <w:trPr>
          <w:trHeight w:val="369"/>
        </w:trPr>
        <w:tc>
          <w:tcPr>
            <w:tcW w:w="1066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7628255</wp:posOffset>
            </wp:positionH>
            <wp:positionV relativeFrom="paragraph">
              <wp:posOffset>-30480</wp:posOffset>
            </wp:positionV>
            <wp:extent cx="12700" cy="311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12700" cy="311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2240" w:h="15840" w:orient="portrait"/>
          <w:cols w:equalWidth="0" w:num="1">
            <w:col w:w="12040"/>
          </w:cols>
          <w:pgMar w:left="120" w:top="322" w:right="80" w:bottom="1440" w:gutter="0" w:footer="0" w:header="0"/>
        </w:sectPr>
      </w:pPr>
    </w:p>
    <w:bookmarkStart w:id="1" w:name="page2"/>
    <w:bookmarkEnd w:id="1"/>
    <w:p>
      <w:pPr>
        <w:ind w:firstLine="376"/>
        <w:spacing w:after="0" w:line="288" w:lineRule="auto"/>
        <w:rPr>
          <w:sz w:val="20"/>
          <w:szCs w:val="20"/>
          <w:color w:val="auto"/>
        </w:rPr>
      </w:pPr>
      <w:r>
        <w:rPr>
          <w:rFonts w:ascii="Arial" w:cs="Arial" w:eastAsia="Arial" w:hAnsi="Arial"/>
          <w:sz w:val="17"/>
          <w:szCs w:val="17"/>
          <w:color w:val="auto"/>
        </w:rPr>
        <w:t>The press release issued by GasLog Ltd. on February 14, 2019 relating to its results for the quarter and the year ended December 31, 2018 is attached hereto as Exhibit 99.1 and is incorporated herein by reference.</w:t>
      </w:r>
    </w:p>
    <w:p>
      <w:pPr>
        <w:spacing w:after="0" w:line="200" w:lineRule="exact"/>
        <w:rPr>
          <w:sz w:val="20"/>
          <w:szCs w:val="20"/>
          <w:color w:val="auto"/>
        </w:rPr>
      </w:pPr>
    </w:p>
    <w:p>
      <w:pPr>
        <w:spacing w:after="0" w:line="315"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EXHIBIT LIST</w:t>
      </w:r>
    </w:p>
    <w:p>
      <w:pPr>
        <w:spacing w:after="0" w:line="247"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color w:val="auto"/>
        </w:rPr>
        <w:t>Exhibit</w:t>
      </w:r>
      <w:r>
        <w:rPr>
          <w:sz w:val="20"/>
          <w:szCs w:val="20"/>
          <w:color w:val="auto"/>
        </w:rPr>
        <w:tab/>
      </w:r>
      <w:r>
        <w:rPr>
          <w:rFonts w:ascii="Arial" w:cs="Arial" w:eastAsia="Arial" w:hAnsi="Arial"/>
          <w:sz w:val="17"/>
          <w:szCs w:val="17"/>
          <w:color w:val="auto"/>
        </w:rPr>
        <w:t>Description</w:t>
      </w:r>
    </w:p>
    <w:p>
      <w:pPr>
        <w:spacing w:after="0" w:line="275"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4"/>
          <w:szCs w:val="14"/>
          <w:color w:val="auto"/>
        </w:rPr>
        <w:t>Press Release dated February 14,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646670" cy="311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260"/>
          </w:cols>
          <w:pgMar w:left="120" w:top="218" w:right="860"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7"/>
          <w:szCs w:val="17"/>
          <w:color w:val="auto"/>
        </w:rPr>
        <w:t>SIGNATURES</w:t>
      </w:r>
    </w:p>
    <w:p>
      <w:pPr>
        <w:spacing w:after="0" w:line="247" w:lineRule="exact"/>
        <w:rPr>
          <w:sz w:val="20"/>
          <w:szCs w:val="20"/>
          <w:color w:val="auto"/>
        </w:rPr>
      </w:pPr>
    </w:p>
    <w:p>
      <w:pPr>
        <w:ind w:right="280" w:firstLine="376"/>
        <w:spacing w:after="0" w:line="28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14, 2019</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60" w:type="dxa"/>
            <w:vAlign w:val="bottom"/>
            <w:gridSpan w:val="2"/>
          </w:tcPr>
          <w:p>
            <w:pPr>
              <w:ind w:left="6020"/>
              <w:spacing w:after="0"/>
              <w:rPr>
                <w:sz w:val="20"/>
                <w:szCs w:val="20"/>
                <w:color w:val="auto"/>
              </w:rPr>
            </w:pPr>
            <w:r>
              <w:rPr>
                <w:rFonts w:ascii="Arial" w:cs="Arial" w:eastAsia="Arial" w:hAnsi="Arial"/>
                <w:sz w:val="17"/>
                <w:szCs w:val="17"/>
                <w:color w:val="auto"/>
              </w:rPr>
              <w:t>GASLOG LTD.,</w:t>
            </w:r>
          </w:p>
        </w:tc>
        <w:tc>
          <w:tcPr>
            <w:tcW w:w="45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71"/>
        </w:trPr>
        <w:tc>
          <w:tcPr>
            <w:tcW w:w="6860" w:type="dxa"/>
            <w:vAlign w:val="bottom"/>
          </w:tcPr>
          <w:p>
            <w:pPr>
              <w:ind w:left="6400"/>
              <w:spacing w:after="0"/>
              <w:rPr>
                <w:sz w:val="20"/>
                <w:szCs w:val="20"/>
                <w:color w:val="auto"/>
              </w:rPr>
            </w:pPr>
            <w:r>
              <w:rPr>
                <w:rFonts w:ascii="Arial" w:cs="Arial" w:eastAsia="Arial" w:hAnsi="Arial"/>
                <w:sz w:val="17"/>
                <w:szCs w:val="17"/>
                <w:color w:val="auto"/>
              </w:rPr>
              <w:t>by</w:t>
            </w:r>
          </w:p>
        </w:tc>
        <w:tc>
          <w:tcPr>
            <w:tcW w:w="5140" w:type="dxa"/>
            <w:vAlign w:val="bottom"/>
            <w:gridSpan w:val="2"/>
          </w:tcPr>
          <w:p>
            <w:pPr>
              <w:spacing w:after="0"/>
              <w:rPr>
                <w:sz w:val="20"/>
                <w:szCs w:val="20"/>
                <w:color w:val="auto"/>
              </w:rPr>
            </w:pPr>
            <w:r>
              <w:rPr>
                <w:rFonts w:ascii="Arial" w:cs="Arial" w:eastAsia="Arial" w:hAnsi="Arial"/>
                <w:sz w:val="17"/>
                <w:szCs w:val="17"/>
                <w:color w:val="auto"/>
              </w:rPr>
              <w:t>/s/ Paul Wogan</w:t>
            </w:r>
          </w:p>
        </w:tc>
        <w:tc>
          <w:tcPr>
            <w:tcW w:w="40" w:type="dxa"/>
            <w:vAlign w:val="bottom"/>
          </w:tcPr>
          <w:p>
            <w:pPr>
              <w:spacing w:after="0"/>
              <w:rPr>
                <w:sz w:val="24"/>
                <w:szCs w:val="24"/>
                <w:color w:val="auto"/>
              </w:rPr>
            </w:pPr>
          </w:p>
        </w:tc>
      </w:tr>
      <w:tr>
        <w:trPr>
          <w:trHeight w:val="21"/>
        </w:trPr>
        <w:tc>
          <w:tcPr>
            <w:tcW w:w="68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5"/>
        </w:trPr>
        <w:tc>
          <w:tcPr>
            <w:tcW w:w="686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7"/>
                <w:szCs w:val="17"/>
                <w:color w:val="auto"/>
              </w:rPr>
              <w:t>Name:</w:t>
            </w:r>
          </w:p>
        </w:tc>
        <w:tc>
          <w:tcPr>
            <w:tcW w:w="4540" w:type="dxa"/>
            <w:vAlign w:val="bottom"/>
          </w:tcPr>
          <w:p>
            <w:pPr>
              <w:ind w:left="120"/>
              <w:spacing w:after="0"/>
              <w:rPr>
                <w:sz w:val="20"/>
                <w:szCs w:val="20"/>
                <w:color w:val="auto"/>
              </w:rPr>
            </w:pPr>
            <w:r>
              <w:rPr>
                <w:rFonts w:ascii="Arial" w:cs="Arial" w:eastAsia="Arial" w:hAnsi="Arial"/>
                <w:sz w:val="17"/>
                <w:szCs w:val="17"/>
                <w:color w:val="auto"/>
              </w:rPr>
              <w:t>Paul Wogan</w:t>
            </w:r>
          </w:p>
        </w:tc>
        <w:tc>
          <w:tcPr>
            <w:tcW w:w="40" w:type="dxa"/>
            <w:vAlign w:val="bottom"/>
          </w:tcPr>
          <w:p>
            <w:pPr>
              <w:spacing w:after="0"/>
              <w:rPr>
                <w:sz w:val="18"/>
                <w:szCs w:val="18"/>
                <w:color w:val="auto"/>
              </w:rPr>
            </w:pPr>
          </w:p>
        </w:tc>
      </w:tr>
      <w:tr>
        <w:trPr>
          <w:trHeight w:val="257"/>
        </w:trPr>
        <w:tc>
          <w:tcPr>
            <w:tcW w:w="6860" w:type="dxa"/>
            <w:vAlign w:val="bottom"/>
          </w:tcPr>
          <w:p>
            <w:pPr>
              <w:spacing w:after="0"/>
              <w:rPr>
                <w:sz w:val="22"/>
                <w:szCs w:val="22"/>
                <w:color w:val="auto"/>
              </w:rPr>
            </w:pPr>
          </w:p>
        </w:tc>
        <w:tc>
          <w:tcPr>
            <w:tcW w:w="600" w:type="dxa"/>
            <w:vAlign w:val="bottom"/>
          </w:tcPr>
          <w:p>
            <w:pPr>
              <w:spacing w:after="0"/>
              <w:rPr>
                <w:sz w:val="20"/>
                <w:szCs w:val="20"/>
                <w:color w:val="auto"/>
              </w:rPr>
            </w:pPr>
            <w:r>
              <w:rPr>
                <w:rFonts w:ascii="Arial" w:cs="Arial" w:eastAsia="Arial" w:hAnsi="Arial"/>
                <w:sz w:val="17"/>
                <w:szCs w:val="17"/>
                <w:color w:val="auto"/>
              </w:rPr>
              <w:t>Title:</w:t>
            </w:r>
          </w:p>
        </w:tc>
        <w:tc>
          <w:tcPr>
            <w:tcW w:w="4540" w:type="dxa"/>
            <w:vAlign w:val="bottom"/>
          </w:tcPr>
          <w:p>
            <w:pPr>
              <w:ind w:left="120"/>
              <w:spacing w:after="0"/>
              <w:rPr>
                <w:sz w:val="20"/>
                <w:szCs w:val="20"/>
                <w:color w:val="auto"/>
              </w:rPr>
            </w:pPr>
            <w:r>
              <w:rPr>
                <w:rFonts w:ascii="Arial" w:cs="Arial" w:eastAsia="Arial" w:hAnsi="Arial"/>
                <w:sz w:val="17"/>
                <w:szCs w:val="17"/>
                <w:color w:val="auto"/>
              </w:rPr>
              <w:t>Chief Executive Officer</w:t>
            </w:r>
          </w:p>
        </w:tc>
        <w:tc>
          <w:tcPr>
            <w:tcW w:w="40" w:type="dxa"/>
            <w:vAlign w:val="bottom"/>
          </w:tcPr>
          <w:p>
            <w:pPr>
              <w:spacing w:after="0"/>
              <w:rPr>
                <w:sz w:val="22"/>
                <w:szCs w:val="22"/>
                <w:color w:val="auto"/>
              </w:rPr>
            </w:pPr>
          </w:p>
        </w:tc>
      </w:tr>
      <w:tr>
        <w:trPr>
          <w:trHeight w:val="361"/>
        </w:trPr>
        <w:tc>
          <w:tcPr>
            <w:tcW w:w="686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45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7628255</wp:posOffset>
            </wp:positionH>
            <wp:positionV relativeFrom="paragraph">
              <wp:posOffset>-30480</wp:posOffset>
            </wp:positionV>
            <wp:extent cx="12700" cy="311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12700" cy="31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2240" w:h="15840" w:orient="portrait"/>
          <w:cols w:equalWidth="0" w:num="1">
            <w:col w:w="12040"/>
          </w:cols>
          <w:pgMar w:left="120" w:top="218" w:right="80" w:bottom="1440" w:gutter="0" w:footer="0" w:header="0"/>
        </w:sectPr>
      </w:pPr>
    </w:p>
    <w:bookmarkStart w:id="3" w:name="page4"/>
    <w:bookmarkEnd w:id="3"/>
    <w:p>
      <w:pPr>
        <w:jc w:val="right"/>
        <w:spacing w:after="0"/>
        <w:rPr>
          <w:sz w:val="20"/>
          <w:szCs w:val="20"/>
          <w:color w:val="auto"/>
        </w:rPr>
      </w:pPr>
      <w:r>
        <w:rPr>
          <w:rFonts w:ascii="Arial" w:cs="Arial" w:eastAsia="Arial" w:hAnsi="Arial"/>
          <w:sz w:val="17"/>
          <w:szCs w:val="17"/>
          <w:b w:val="1"/>
          <w:bCs w:val="1"/>
          <w:color w:val="auto"/>
        </w:rPr>
        <w:t>Exhibit 99.1</w:t>
      </w:r>
    </w:p>
    <w:p>
      <w:pPr>
        <w:spacing w:after="0" w:line="237" w:lineRule="exact"/>
        <w:rPr>
          <w:sz w:val="20"/>
          <w:szCs w:val="20"/>
          <w:color w:val="auto"/>
        </w:rPr>
      </w:pPr>
    </w:p>
    <w:p>
      <w:pPr>
        <w:jc w:val="center"/>
        <w:ind w:right="-5"/>
        <w:spacing w:after="0"/>
        <w:rPr>
          <w:sz w:val="20"/>
          <w:szCs w:val="20"/>
          <w:color w:val="auto"/>
        </w:rPr>
      </w:pPr>
      <w:r>
        <w:rPr>
          <w:rFonts w:ascii="Arial" w:cs="Arial" w:eastAsia="Arial" w:hAnsi="Arial"/>
          <w:sz w:val="17"/>
          <w:szCs w:val="17"/>
          <w:u w:val="single" w:color="auto"/>
          <w:color w:val="auto"/>
        </w:rPr>
        <w:t>Press Release</w:t>
      </w:r>
    </w:p>
    <w:p>
      <w:pPr>
        <w:spacing w:after="0" w:line="241"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color w:val="auto"/>
        </w:rPr>
        <w:t>GasLog Ltd. Reports Financial Results for the Quarter and the Year Ended December 31, 2018</w:t>
      </w:r>
    </w:p>
    <w:p>
      <w:pPr>
        <w:spacing w:after="0" w:line="247" w:lineRule="exact"/>
        <w:rPr>
          <w:sz w:val="20"/>
          <w:szCs w:val="20"/>
          <w:color w:val="auto"/>
        </w:rPr>
      </w:pPr>
    </w:p>
    <w:p>
      <w:pPr>
        <w:ind w:left="6"/>
        <w:spacing w:after="0" w:line="295" w:lineRule="auto"/>
        <w:rPr>
          <w:sz w:val="20"/>
          <w:szCs w:val="20"/>
          <w:color w:val="auto"/>
        </w:rPr>
      </w:pPr>
      <w:r>
        <w:rPr>
          <w:rFonts w:ascii="Arial" w:cs="Arial" w:eastAsia="Arial" w:hAnsi="Arial"/>
          <w:sz w:val="17"/>
          <w:szCs w:val="17"/>
          <w:b w:val="1"/>
          <w:bCs w:val="1"/>
          <w:color w:val="auto"/>
        </w:rPr>
        <w:t>Monaco, February 14, 2019, GasLog Ltd. and its subsidiaries (“GasLog”, “Group” or “Company”) (NYSE: GLOG)</w:t>
      </w:r>
      <w:r>
        <w:rPr>
          <w:rFonts w:ascii="Arial" w:cs="Arial" w:eastAsia="Arial" w:hAnsi="Arial"/>
          <w:sz w:val="17"/>
          <w:szCs w:val="17"/>
          <w:color w:val="auto"/>
        </w:rPr>
        <w:t>, an international owner, operator and manager of</w:t>
      </w:r>
      <w:r>
        <w:rPr>
          <w:rFonts w:ascii="Arial" w:cs="Arial" w:eastAsia="Arial" w:hAnsi="Arial"/>
          <w:sz w:val="17"/>
          <w:szCs w:val="17"/>
          <w:b w:val="1"/>
          <w:bCs w:val="1"/>
          <w:color w:val="auto"/>
        </w:rPr>
        <w:t xml:space="preserve"> </w:t>
      </w:r>
      <w:r>
        <w:rPr>
          <w:rFonts w:ascii="Arial" w:cs="Arial" w:eastAsia="Arial" w:hAnsi="Arial"/>
          <w:sz w:val="17"/>
          <w:szCs w:val="17"/>
          <w:color w:val="auto"/>
        </w:rPr>
        <w:t>liquefied natural gas (“LNG”) carriers, today reported its financial results for the quarter and the year ended December 31, 2018.</w:t>
      </w:r>
    </w:p>
    <w:p>
      <w:pPr>
        <w:spacing w:after="0" w:line="175" w:lineRule="exact"/>
        <w:rPr>
          <w:sz w:val="20"/>
          <w:szCs w:val="20"/>
          <w:color w:val="auto"/>
        </w:rPr>
      </w:pPr>
    </w:p>
    <w:p>
      <w:pPr>
        <w:ind w:left="6"/>
        <w:spacing w:after="0"/>
        <w:rPr>
          <w:sz w:val="20"/>
          <w:szCs w:val="20"/>
          <w:color w:val="auto"/>
        </w:rPr>
      </w:pPr>
      <w:r>
        <w:rPr>
          <w:rFonts w:ascii="Arial" w:cs="Arial" w:eastAsia="Arial" w:hAnsi="Arial"/>
          <w:sz w:val="17"/>
          <w:szCs w:val="17"/>
          <w:b w:val="1"/>
          <w:bCs w:val="1"/>
          <w:u w:val="single" w:color="auto"/>
          <w:color w:val="auto"/>
        </w:rPr>
        <w:t>Highlights of the Quarter and the Year</w:t>
      </w:r>
    </w:p>
    <w:p>
      <w:pPr>
        <w:spacing w:after="0" w:line="250" w:lineRule="exact"/>
        <w:rPr>
          <w:sz w:val="20"/>
          <w:szCs w:val="20"/>
          <w:color w:val="auto"/>
        </w:rPr>
      </w:pPr>
    </w:p>
    <w:p>
      <w:pPr>
        <w:ind w:left="806" w:right="220" w:hanging="697"/>
        <w:spacing w:after="0" w:line="195" w:lineRule="auto"/>
        <w:tabs>
          <w:tab w:leader="none" w:pos="806" w:val="left"/>
        </w:tabs>
        <w:numPr>
          <w:ilvl w:val="1"/>
          <w:numId w:val="1"/>
        </w:numPr>
        <w:rPr>
          <w:rFonts w:ascii="Arial" w:cs="Arial" w:eastAsia="Arial" w:hAnsi="Arial"/>
          <w:sz w:val="27"/>
          <w:szCs w:val="27"/>
          <w:color w:val="auto"/>
          <w:vertAlign w:val="superscript"/>
        </w:rPr>
      </w:pPr>
      <w:r>
        <w:rPr>
          <w:rFonts w:ascii="Arial" w:cs="Arial" w:eastAsia="Arial" w:hAnsi="Arial"/>
          <w:sz w:val="17"/>
          <w:szCs w:val="17"/>
          <w:color w:val="auto"/>
        </w:rPr>
        <w:t>Record quarterly Revenues, Profit, Earnings per share</w:t>
      </w:r>
      <w:r>
        <w:rPr>
          <w:rFonts w:ascii="Arial" w:cs="Arial" w:eastAsia="Arial" w:hAnsi="Arial"/>
          <w:sz w:val="22"/>
          <w:szCs w:val="22"/>
          <w:color w:val="auto"/>
          <w:vertAlign w:val="superscript"/>
        </w:rPr>
        <w:t>(1)</w:t>
      </w:r>
      <w:r>
        <w:rPr>
          <w:rFonts w:ascii="Arial" w:cs="Arial" w:eastAsia="Arial" w:hAnsi="Arial"/>
          <w:sz w:val="17"/>
          <w:szCs w:val="17"/>
          <w:color w:val="auto"/>
        </w:rPr>
        <w:t>, record EBITDA</w:t>
      </w:r>
      <w:r>
        <w:rPr>
          <w:rFonts w:ascii="Arial" w:cs="Arial" w:eastAsia="Arial" w:hAnsi="Arial"/>
          <w:sz w:val="22"/>
          <w:szCs w:val="22"/>
          <w:color w:val="auto"/>
          <w:vertAlign w:val="superscript"/>
        </w:rPr>
        <w:t>(2)</w:t>
      </w:r>
      <w:r>
        <w:rPr>
          <w:rFonts w:ascii="Arial" w:cs="Arial" w:eastAsia="Arial" w:hAnsi="Arial"/>
          <w:sz w:val="17"/>
          <w:szCs w:val="17"/>
          <w:color w:val="auto"/>
        </w:rPr>
        <w:t>, record Adjusted EBITDA</w:t>
      </w:r>
      <w:r>
        <w:rPr>
          <w:rFonts w:ascii="Arial" w:cs="Arial" w:eastAsia="Arial" w:hAnsi="Arial"/>
          <w:sz w:val="22"/>
          <w:szCs w:val="22"/>
          <w:color w:val="auto"/>
          <w:vertAlign w:val="superscript"/>
        </w:rPr>
        <w:t>(2)</w:t>
      </w:r>
      <w:r>
        <w:rPr>
          <w:rFonts w:ascii="Arial" w:cs="Arial" w:eastAsia="Arial" w:hAnsi="Arial"/>
          <w:sz w:val="17"/>
          <w:szCs w:val="17"/>
          <w:color w:val="auto"/>
        </w:rPr>
        <w:t>, record Adjusted Profit</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and record Adjusted Earnings per share</w:t>
      </w:r>
      <w:r>
        <w:rPr>
          <w:rFonts w:ascii="Arial" w:cs="Arial" w:eastAsia="Arial" w:hAnsi="Arial"/>
          <w:sz w:val="22"/>
          <w:szCs w:val="22"/>
          <w:color w:val="auto"/>
          <w:vertAlign w:val="superscript"/>
        </w:rPr>
        <w:t>(1)(2)</w:t>
      </w:r>
      <w:r>
        <w:rPr>
          <w:rFonts w:ascii="Arial" w:cs="Arial" w:eastAsia="Arial" w:hAnsi="Arial"/>
          <w:sz w:val="17"/>
          <w:szCs w:val="17"/>
          <w:color w:val="auto"/>
        </w:rPr>
        <w:t xml:space="preserve"> of $188.6 million, $30.4 million, $0.14, $145.0 million, $145.0 million, $62.5 million and $0.54, respectively.</w:t>
      </w:r>
    </w:p>
    <w:p>
      <w:pPr>
        <w:ind w:left="806" w:right="120" w:hanging="697"/>
        <w:spacing w:after="0" w:line="188" w:lineRule="auto"/>
        <w:tabs>
          <w:tab w:leader="none" w:pos="806" w:val="left"/>
        </w:tabs>
        <w:numPr>
          <w:ilvl w:val="1"/>
          <w:numId w:val="1"/>
        </w:numPr>
        <w:rPr>
          <w:rFonts w:ascii="Arial" w:cs="Arial" w:eastAsia="Arial" w:hAnsi="Arial"/>
          <w:sz w:val="27"/>
          <w:szCs w:val="27"/>
          <w:color w:val="auto"/>
          <w:vertAlign w:val="superscript"/>
        </w:rPr>
      </w:pPr>
      <w:r>
        <w:rPr>
          <w:rFonts w:ascii="Arial" w:cs="Arial" w:eastAsia="Arial" w:hAnsi="Arial"/>
          <w:sz w:val="17"/>
          <w:szCs w:val="17"/>
          <w:color w:val="auto"/>
        </w:rPr>
        <w:t>Record annual Revenues, record Profit, Earnings per share</w:t>
      </w:r>
      <w:r>
        <w:rPr>
          <w:rFonts w:ascii="Arial" w:cs="Arial" w:eastAsia="Arial" w:hAnsi="Arial"/>
          <w:sz w:val="22"/>
          <w:szCs w:val="22"/>
          <w:color w:val="auto"/>
          <w:vertAlign w:val="superscript"/>
        </w:rPr>
        <w:t>(1)</w:t>
      </w:r>
      <w:r>
        <w:rPr>
          <w:rFonts w:ascii="Arial" w:cs="Arial" w:eastAsia="Arial" w:hAnsi="Arial"/>
          <w:sz w:val="17"/>
          <w:szCs w:val="17"/>
          <w:color w:val="auto"/>
        </w:rPr>
        <w:t>, record EBITDA</w:t>
      </w:r>
      <w:r>
        <w:rPr>
          <w:rFonts w:ascii="Arial" w:cs="Arial" w:eastAsia="Arial" w:hAnsi="Arial"/>
          <w:sz w:val="22"/>
          <w:szCs w:val="22"/>
          <w:color w:val="auto"/>
          <w:vertAlign w:val="superscript"/>
        </w:rPr>
        <w:t>(2)</w:t>
      </w:r>
      <w:r>
        <w:rPr>
          <w:rFonts w:ascii="Arial" w:cs="Arial" w:eastAsia="Arial" w:hAnsi="Arial"/>
          <w:sz w:val="17"/>
          <w:szCs w:val="17"/>
          <w:color w:val="auto"/>
        </w:rPr>
        <w:t>, record Adjusted EBITDA</w:t>
      </w:r>
      <w:r>
        <w:rPr>
          <w:rFonts w:ascii="Arial" w:cs="Arial" w:eastAsia="Arial" w:hAnsi="Arial"/>
          <w:sz w:val="22"/>
          <w:szCs w:val="22"/>
          <w:color w:val="auto"/>
          <w:vertAlign w:val="superscript"/>
        </w:rPr>
        <w:t>(2)</w:t>
      </w:r>
      <w:r>
        <w:rPr>
          <w:rFonts w:ascii="Arial" w:cs="Arial" w:eastAsia="Arial" w:hAnsi="Arial"/>
          <w:sz w:val="17"/>
          <w:szCs w:val="17"/>
          <w:color w:val="auto"/>
        </w:rPr>
        <w:t>, record Adjusted Profit</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and Adjusted Earnings per share</w:t>
      </w:r>
      <w:r>
        <w:rPr>
          <w:rFonts w:ascii="Arial" w:cs="Arial" w:eastAsia="Arial" w:hAnsi="Arial"/>
          <w:sz w:val="22"/>
          <w:szCs w:val="22"/>
          <w:color w:val="auto"/>
          <w:vertAlign w:val="superscript"/>
        </w:rPr>
        <w:t>(1)(2)</w:t>
      </w:r>
      <w:r>
        <w:rPr>
          <w:rFonts w:ascii="Arial" w:cs="Arial" w:eastAsia="Arial" w:hAnsi="Arial"/>
          <w:sz w:val="17"/>
          <w:szCs w:val="17"/>
          <w:color w:val="auto"/>
        </w:rPr>
        <w:t xml:space="preserve"> of $618.3 million, $126.4 million, $0.47, $447.5 million, $447.7 million, $134.8 million and $0.57, respectively.</w:t>
      </w:r>
    </w:p>
    <w:p>
      <w:pPr>
        <w:ind w:left="806" w:right="220" w:hanging="697"/>
        <w:spacing w:after="0" w:line="197" w:lineRule="auto"/>
        <w:tabs>
          <w:tab w:leader="none" w:pos="806" w:val="left"/>
        </w:tabs>
        <w:numPr>
          <w:ilvl w:val="1"/>
          <w:numId w:val="1"/>
        </w:numPr>
        <w:rPr>
          <w:rFonts w:ascii="Arial" w:cs="Arial" w:eastAsia="Arial" w:hAnsi="Arial"/>
          <w:sz w:val="27"/>
          <w:szCs w:val="27"/>
          <w:color w:val="auto"/>
          <w:vertAlign w:val="superscript"/>
        </w:rPr>
      </w:pPr>
      <w:r>
        <w:rPr>
          <w:rFonts w:ascii="Arial" w:cs="Arial" w:eastAsia="Arial" w:hAnsi="Arial"/>
          <w:sz w:val="17"/>
          <w:szCs w:val="17"/>
          <w:color w:val="auto"/>
        </w:rPr>
        <w:t>Highest ever quarterly net pool performance from our vessels trading in the spot market under the LNG carrier pooling agreement (the “Cool Pool”) following a significant increase in LNG shipping spot rates and utilization.</w:t>
      </w:r>
    </w:p>
    <w:p>
      <w:pPr>
        <w:spacing w:after="0" w:line="1" w:lineRule="exact"/>
        <w:rPr>
          <w:rFonts w:ascii="Arial" w:cs="Arial" w:eastAsia="Arial" w:hAnsi="Arial"/>
          <w:sz w:val="27"/>
          <w:szCs w:val="27"/>
          <w:color w:val="auto"/>
          <w:vertAlign w:val="superscript"/>
        </w:rPr>
      </w:pPr>
    </w:p>
    <w:p>
      <w:pPr>
        <w:ind w:left="806" w:hanging="697"/>
        <w:spacing w:after="0" w:line="190" w:lineRule="auto"/>
        <w:tabs>
          <w:tab w:leader="none" w:pos="806" w:val="left"/>
        </w:tabs>
        <w:numPr>
          <w:ilvl w:val="1"/>
          <w:numId w:val="1"/>
        </w:numPr>
        <w:rPr>
          <w:rFonts w:ascii="Arial" w:cs="Arial" w:eastAsia="Arial" w:hAnsi="Arial"/>
          <w:sz w:val="25"/>
          <w:szCs w:val="25"/>
          <w:color w:val="auto"/>
          <w:vertAlign w:val="superscript"/>
        </w:rPr>
      </w:pPr>
      <w:r>
        <w:rPr>
          <w:rFonts w:ascii="Arial" w:cs="Arial" w:eastAsia="Arial" w:hAnsi="Arial"/>
          <w:sz w:val="16"/>
          <w:szCs w:val="16"/>
          <w:color w:val="auto"/>
        </w:rPr>
        <w:t>Signed two seven-year charter parties with a wholly-owned subsidiary of Cheniere Energy, Inc. (“Cheniere”), for two newbuild LNG carriers. The vessels,</w:t>
      </w:r>
    </w:p>
    <w:p>
      <w:pPr>
        <w:spacing w:after="0" w:line="12" w:lineRule="exact"/>
        <w:rPr>
          <w:rFonts w:ascii="Arial" w:cs="Arial" w:eastAsia="Arial" w:hAnsi="Arial"/>
          <w:sz w:val="25"/>
          <w:szCs w:val="25"/>
          <w:color w:val="auto"/>
          <w:vertAlign w:val="superscript"/>
        </w:rPr>
      </w:pPr>
    </w:p>
    <w:p>
      <w:pPr>
        <w:ind w:left="806" w:right="20"/>
        <w:spacing w:after="0" w:line="259" w:lineRule="auto"/>
        <w:rPr>
          <w:rFonts w:ascii="Arial" w:cs="Arial" w:eastAsia="Arial" w:hAnsi="Arial"/>
          <w:sz w:val="25"/>
          <w:szCs w:val="25"/>
          <w:color w:val="auto"/>
          <w:vertAlign w:val="superscript"/>
        </w:rPr>
      </w:pPr>
      <w:r>
        <w:rPr>
          <w:rFonts w:ascii="Arial" w:cs="Arial" w:eastAsia="Arial" w:hAnsi="Arial"/>
          <w:sz w:val="17"/>
          <w:szCs w:val="17"/>
          <w:color w:val="auto"/>
        </w:rPr>
        <w:t>180,000 cubic meter (“cbm”) LNG carriers with dual fuel two stroke engine propulsion (“LP-2S”) and GTT Mark III Flex Plus containment systems, were ordered from Samsung Heavy Industries Co., Ltd. (“Samsung”) and are scheduled for delivery in the second and third quarters of 2021.</w:t>
      </w:r>
    </w:p>
    <w:p>
      <w:pPr>
        <w:spacing w:after="0" w:line="6" w:lineRule="exact"/>
        <w:rPr>
          <w:rFonts w:ascii="Arial" w:cs="Arial" w:eastAsia="Arial" w:hAnsi="Arial"/>
          <w:sz w:val="25"/>
          <w:szCs w:val="25"/>
          <w:color w:val="auto"/>
          <w:vertAlign w:val="superscript"/>
        </w:rPr>
      </w:pPr>
    </w:p>
    <w:p>
      <w:pPr>
        <w:ind w:left="806" w:right="260" w:hanging="697"/>
        <w:spacing w:after="0" w:line="204" w:lineRule="auto"/>
        <w:tabs>
          <w:tab w:leader="none" w:pos="806" w:val="left"/>
        </w:tabs>
        <w:numPr>
          <w:ilvl w:val="1"/>
          <w:numId w:val="1"/>
        </w:numPr>
        <w:rPr>
          <w:rFonts w:ascii="Arial" w:cs="Arial" w:eastAsia="Arial" w:hAnsi="Arial"/>
          <w:sz w:val="27"/>
          <w:szCs w:val="27"/>
          <w:color w:val="auto"/>
          <w:vertAlign w:val="superscript"/>
        </w:rPr>
      </w:pPr>
      <w:r>
        <w:rPr>
          <w:rFonts w:ascii="Arial" w:cs="Arial" w:eastAsia="Arial" w:hAnsi="Arial"/>
          <w:sz w:val="17"/>
          <w:szCs w:val="17"/>
          <w:color w:val="auto"/>
        </w:rPr>
        <w:t xml:space="preserve">Completed the sale of the </w:t>
      </w:r>
      <w:r>
        <w:rPr>
          <w:rFonts w:ascii="Arial" w:cs="Arial" w:eastAsia="Arial" w:hAnsi="Arial"/>
          <w:sz w:val="17"/>
          <w:szCs w:val="17"/>
          <w:i w:val="1"/>
          <w:iCs w:val="1"/>
          <w:color w:val="auto"/>
        </w:rPr>
        <w:t>Methane Becki Anne</w:t>
      </w:r>
      <w:r>
        <w:rPr>
          <w:rFonts w:ascii="Arial" w:cs="Arial" w:eastAsia="Arial" w:hAnsi="Arial"/>
          <w:sz w:val="17"/>
          <w:szCs w:val="17"/>
          <w:color w:val="auto"/>
        </w:rPr>
        <w:t xml:space="preserve"> to GasLog Partners LP (“GasLog Partners” or the “Partnership”) for $207.4 million on November 14, 2018 with attached multi-year charter to a subsidiary of Royal Dutch Shell plc (“Shell”).</w:t>
      </w:r>
    </w:p>
    <w:p>
      <w:pPr>
        <w:spacing w:after="0" w:line="12" w:lineRule="exact"/>
        <w:rPr>
          <w:rFonts w:ascii="Arial" w:cs="Arial" w:eastAsia="Arial" w:hAnsi="Arial"/>
          <w:sz w:val="27"/>
          <w:szCs w:val="27"/>
          <w:color w:val="auto"/>
          <w:vertAlign w:val="superscript"/>
        </w:rPr>
      </w:pPr>
    </w:p>
    <w:p>
      <w:pPr>
        <w:ind w:left="806" w:right="240" w:hanging="697"/>
        <w:spacing w:after="0" w:line="204" w:lineRule="auto"/>
        <w:tabs>
          <w:tab w:leader="none" w:pos="806" w:val="left"/>
        </w:tabs>
        <w:numPr>
          <w:ilvl w:val="1"/>
          <w:numId w:val="1"/>
        </w:numPr>
        <w:rPr>
          <w:rFonts w:ascii="Arial" w:cs="Arial" w:eastAsia="Arial" w:hAnsi="Arial"/>
          <w:sz w:val="27"/>
          <w:szCs w:val="27"/>
          <w:color w:val="auto"/>
          <w:vertAlign w:val="superscript"/>
        </w:rPr>
      </w:pPr>
      <w:r>
        <w:rPr>
          <w:rFonts w:ascii="Arial" w:cs="Arial" w:eastAsia="Arial" w:hAnsi="Arial"/>
          <w:sz w:val="17"/>
          <w:szCs w:val="17"/>
          <w:color w:val="auto"/>
        </w:rPr>
        <w:t>GasLog Partners completed a public offering of 8.500% Series C Cumulative Redeemable Perpetual Fixed to Floating Rate Preference Units (the “Partnership’s Series C Preference Units”), raising gross proceeds of $100.0 million and net proceeds of $96.3 million.</w:t>
      </w:r>
    </w:p>
    <w:p>
      <w:pPr>
        <w:spacing w:after="0" w:line="12" w:lineRule="exact"/>
        <w:rPr>
          <w:rFonts w:ascii="Arial" w:cs="Arial" w:eastAsia="Arial" w:hAnsi="Arial"/>
          <w:sz w:val="27"/>
          <w:szCs w:val="27"/>
          <w:color w:val="auto"/>
          <w:vertAlign w:val="superscript"/>
        </w:rPr>
      </w:pPr>
    </w:p>
    <w:p>
      <w:pPr>
        <w:ind w:left="806" w:right="20" w:hanging="697"/>
        <w:spacing w:after="0" w:line="230" w:lineRule="auto"/>
        <w:tabs>
          <w:tab w:leader="none" w:pos="806" w:val="left"/>
        </w:tabs>
        <w:numPr>
          <w:ilvl w:val="1"/>
          <w:numId w:val="1"/>
        </w:numPr>
        <w:rPr>
          <w:rFonts w:ascii="Arial" w:cs="Arial" w:eastAsia="Arial" w:hAnsi="Arial"/>
          <w:sz w:val="24"/>
          <w:szCs w:val="24"/>
          <w:color w:val="auto"/>
          <w:vertAlign w:val="superscript"/>
        </w:rPr>
      </w:pPr>
      <w:r>
        <w:rPr>
          <w:rFonts w:ascii="Arial" w:cs="Arial" w:eastAsia="Arial" w:hAnsi="Arial"/>
          <w:sz w:val="15"/>
          <w:szCs w:val="15"/>
          <w:color w:val="auto"/>
        </w:rPr>
        <w:t>Modified the Partnership Agreement with GasLog Partners to reduce GasLog’s incentive distribution rights (“IDRs”) on quarterly distributions above $0.5625 per unit from 48% to 23% and waive IDRs on assets or businesses acquired by the Partnership from third parties in exchange for a cash consideration of $25.0 million.</w:t>
      </w:r>
    </w:p>
    <w:p>
      <w:pPr>
        <w:ind w:left="806" w:hanging="697"/>
        <w:spacing w:after="0" w:line="183" w:lineRule="auto"/>
        <w:tabs>
          <w:tab w:leader="none" w:pos="806" w:val="left"/>
        </w:tabs>
        <w:numPr>
          <w:ilvl w:val="1"/>
          <w:numId w:val="1"/>
        </w:numPr>
        <w:rPr>
          <w:rFonts w:ascii="Arial" w:cs="Arial" w:eastAsia="Arial" w:hAnsi="Arial"/>
          <w:sz w:val="26"/>
          <w:szCs w:val="26"/>
          <w:color w:val="auto"/>
          <w:vertAlign w:val="superscript"/>
        </w:rPr>
      </w:pPr>
      <w:r>
        <w:rPr>
          <w:rFonts w:ascii="Arial" w:cs="Arial" w:eastAsia="Arial" w:hAnsi="Arial"/>
          <w:sz w:val="17"/>
          <w:szCs w:val="17"/>
          <w:color w:val="auto"/>
        </w:rPr>
        <w:t>Special dividend of $0.40 per common share paid on December 17, 2018.</w:t>
      </w:r>
    </w:p>
    <w:p>
      <w:pPr>
        <w:spacing w:after="0" w:line="25" w:lineRule="exact"/>
        <w:rPr>
          <w:rFonts w:ascii="Arial" w:cs="Arial" w:eastAsia="Arial" w:hAnsi="Arial"/>
          <w:sz w:val="26"/>
          <w:szCs w:val="26"/>
          <w:color w:val="auto"/>
          <w:vertAlign w:val="superscript"/>
        </w:rPr>
      </w:pPr>
    </w:p>
    <w:p>
      <w:pPr>
        <w:ind w:left="806" w:hanging="697"/>
        <w:spacing w:after="0" w:line="192" w:lineRule="auto"/>
        <w:tabs>
          <w:tab w:leader="none" w:pos="806" w:val="left"/>
        </w:tabs>
        <w:numPr>
          <w:ilvl w:val="1"/>
          <w:numId w:val="1"/>
        </w:numPr>
        <w:rPr>
          <w:rFonts w:ascii="Arial" w:cs="Arial" w:eastAsia="Arial" w:hAnsi="Arial"/>
          <w:sz w:val="22"/>
          <w:szCs w:val="22"/>
          <w:color w:val="auto"/>
          <w:vertAlign w:val="superscript"/>
        </w:rPr>
      </w:pPr>
      <w:r>
        <w:rPr>
          <w:rFonts w:ascii="Arial" w:cs="Arial" w:eastAsia="Arial" w:hAnsi="Arial"/>
          <w:sz w:val="15"/>
          <w:szCs w:val="15"/>
          <w:color w:val="auto"/>
        </w:rPr>
        <w:t>Quarterly dividend of $0.15 per common share payable on March 14, 2019, an increase of 7.1% over the fourth quarter of 2017.</w:t>
      </w:r>
    </w:p>
    <w:p>
      <w:pPr>
        <w:spacing w:after="0" w:line="25" w:lineRule="exact"/>
        <w:rPr>
          <w:rFonts w:ascii="Arial" w:cs="Arial" w:eastAsia="Arial" w:hAnsi="Arial"/>
          <w:sz w:val="22"/>
          <w:szCs w:val="22"/>
          <w:color w:val="auto"/>
          <w:vertAlign w:val="superscript"/>
        </w:rPr>
      </w:pPr>
    </w:p>
    <w:p>
      <w:pPr>
        <w:ind w:left="806" w:hanging="697"/>
        <w:spacing w:after="0" w:line="192" w:lineRule="auto"/>
        <w:tabs>
          <w:tab w:leader="none" w:pos="806" w:val="left"/>
        </w:tabs>
        <w:numPr>
          <w:ilvl w:val="1"/>
          <w:numId w:val="1"/>
        </w:numPr>
        <w:rPr>
          <w:rFonts w:ascii="Arial" w:cs="Arial" w:eastAsia="Arial" w:hAnsi="Arial"/>
          <w:sz w:val="22"/>
          <w:szCs w:val="22"/>
          <w:color w:val="auto"/>
          <w:vertAlign w:val="superscript"/>
        </w:rPr>
      </w:pPr>
      <w:r>
        <w:rPr>
          <w:rFonts w:ascii="Arial" w:cs="Arial" w:eastAsia="Arial" w:hAnsi="Arial"/>
          <w:sz w:val="15"/>
          <w:szCs w:val="15"/>
          <w:color w:val="auto"/>
        </w:rPr>
        <w:t>Announced share repurchase programme of up to $50.0 million.</w:t>
      </w:r>
    </w:p>
    <w:p>
      <w:pPr>
        <w:spacing w:after="0" w:line="216" w:lineRule="exact"/>
        <w:rPr>
          <w:rFonts w:ascii="Arial" w:cs="Arial" w:eastAsia="Arial" w:hAnsi="Arial"/>
          <w:sz w:val="22"/>
          <w:szCs w:val="22"/>
          <w:color w:val="auto"/>
          <w:vertAlign w:val="superscript"/>
        </w:rPr>
      </w:pPr>
    </w:p>
    <w:p>
      <w:pPr>
        <w:ind w:left="126" w:hanging="126"/>
        <w:spacing w:after="0" w:line="234" w:lineRule="auto"/>
        <w:tabs>
          <w:tab w:leader="none" w:pos="140" w:val="left"/>
        </w:tabs>
        <w:numPr>
          <w:ilvl w:val="0"/>
          <w:numId w:val="1"/>
        </w:numPr>
        <w:rPr>
          <w:rFonts w:ascii="Arial" w:cs="Arial" w:eastAsia="Arial" w:hAnsi="Arial"/>
          <w:sz w:val="17"/>
          <w:szCs w:val="17"/>
          <w:color w:val="auto"/>
          <w:vertAlign w:val="superscript"/>
        </w:rPr>
      </w:pPr>
      <w:r>
        <w:rPr>
          <w:rFonts w:ascii="Arial" w:cs="Arial" w:eastAsia="Arial" w:hAnsi="Arial"/>
          <w:sz w:val="14"/>
          <w:szCs w:val="14"/>
          <w:color w:val="auto"/>
        </w:rPr>
        <w:t>Earnings/(loss) per share (“EPS”) and Adjusted EPS are net of the profit attributable to the non-controlling interests of $16.6 million and the dividend on preferred stock of $2.5 million for the quarter ended December 31, 2018 ($20.8 million and $2.5 million, respectively, for the quarter ended December 31, 2017) and net of the profit attributable to the non-controlling interests of $78.7 million and the dividend on preferred stock of $10.1 million for the year ended December 31, 2018 ($68.7 million and $10.1 million, respectively, for the year ended December 31, 2017).</w:t>
      </w:r>
    </w:p>
    <w:p>
      <w:pPr>
        <w:spacing w:after="0" w:line="108" w:lineRule="exact"/>
        <w:rPr>
          <w:rFonts w:ascii="Arial" w:cs="Arial" w:eastAsia="Arial" w:hAnsi="Arial"/>
          <w:sz w:val="17"/>
          <w:szCs w:val="17"/>
          <w:color w:val="auto"/>
          <w:vertAlign w:val="superscript"/>
        </w:rPr>
      </w:pPr>
    </w:p>
    <w:p>
      <w:pPr>
        <w:jc w:val="both"/>
        <w:ind w:left="126" w:right="140" w:hanging="126"/>
        <w:spacing w:after="0" w:line="234" w:lineRule="auto"/>
        <w:tabs>
          <w:tab w:leader="none" w:pos="140" w:val="left"/>
        </w:tabs>
        <w:numPr>
          <w:ilvl w:val="0"/>
          <w:numId w:val="1"/>
        </w:numPr>
        <w:rPr>
          <w:rFonts w:ascii="Arial" w:cs="Arial" w:eastAsia="Arial" w:hAnsi="Arial"/>
          <w:sz w:val="17"/>
          <w:szCs w:val="17"/>
          <w:color w:val="auto"/>
          <w:vertAlign w:val="superscript"/>
        </w:rPr>
      </w:pPr>
      <w:r>
        <w:rPr>
          <w:rFonts w:ascii="Arial" w:cs="Arial" w:eastAsia="Arial" w:hAnsi="Arial"/>
          <w:sz w:val="14"/>
          <w:szCs w:val="14"/>
          <w:color w:val="auto"/>
        </w:rPr>
        <w:t>EBITDA, Adjusted EBITDA, Adjusted Profit and Adjusted EPS are non-GAAP financial measures and should not be used in isolation or as a substitute for GasLog’s financial results presented in accordance with International Financial Reporting Standards (“IFRS”). For the definitions and reconciliations of these measures to the most directly comparable financial measures calculated and presented in accordance with IFRS, please refer to Exhibit II at the end of this press release.</w:t>
      </w:r>
    </w:p>
    <w:p>
      <w:pPr>
        <w:spacing w:after="0" w:line="198" w:lineRule="exact"/>
        <w:rPr>
          <w:sz w:val="20"/>
          <w:szCs w:val="20"/>
          <w:color w:val="auto"/>
        </w:rPr>
      </w:pPr>
    </w:p>
    <w:p>
      <w:pPr>
        <w:ind w:left="6"/>
        <w:spacing w:after="0"/>
        <w:rPr>
          <w:sz w:val="20"/>
          <w:szCs w:val="20"/>
          <w:color w:val="auto"/>
        </w:rPr>
      </w:pPr>
      <w:r>
        <w:rPr>
          <w:rFonts w:ascii="Arial" w:cs="Arial" w:eastAsia="Arial" w:hAnsi="Arial"/>
          <w:sz w:val="17"/>
          <w:szCs w:val="17"/>
          <w:b w:val="1"/>
          <w:bCs w:val="1"/>
          <w:u w:val="single" w:color="auto"/>
          <w:color w:val="auto"/>
        </w:rPr>
        <w:t>CEO Statement</w:t>
      </w:r>
    </w:p>
    <w:p>
      <w:pPr>
        <w:spacing w:after="0" w:line="253" w:lineRule="exact"/>
        <w:rPr>
          <w:sz w:val="20"/>
          <w:szCs w:val="20"/>
          <w:color w:val="auto"/>
        </w:rPr>
      </w:pPr>
    </w:p>
    <w:p>
      <w:pPr>
        <w:ind w:left="6"/>
        <w:spacing w:after="0" w:line="271" w:lineRule="auto"/>
        <w:rPr>
          <w:sz w:val="20"/>
          <w:szCs w:val="20"/>
          <w:color w:val="auto"/>
        </w:rPr>
      </w:pPr>
      <w:r>
        <w:rPr>
          <w:rFonts w:ascii="Arial" w:cs="Arial" w:eastAsia="Arial" w:hAnsi="Arial"/>
          <w:sz w:val="17"/>
          <w:szCs w:val="17"/>
          <w:color w:val="auto"/>
        </w:rPr>
        <w:t>Paul Wogan, Chief Executive Officer, stated: “GasLog delivered another set of record results in the fourth quarter of 2018 driven in large part by very strong earnings from our spot vessels against a backdrop of extreme tightness in the LNG shipping market. These spot earnings, combined with our fleet growth during the year, our strong operational performance and strict cost control, delivered record annual results for Revenues, EBITDA and Profit and allowed us both to increase our common dividend by 7.1% and to declare our first special dividend in November.</w:t>
      </w:r>
    </w:p>
    <w:p>
      <w:pPr>
        <w:spacing w:after="0" w:line="201" w:lineRule="exact"/>
        <w:rPr>
          <w:sz w:val="20"/>
          <w:szCs w:val="20"/>
          <w:color w:val="auto"/>
        </w:rPr>
      </w:pPr>
    </w:p>
    <w:p>
      <w:pPr>
        <w:ind w:left="6" w:right="240"/>
        <w:spacing w:after="0" w:line="275" w:lineRule="auto"/>
        <w:rPr>
          <w:sz w:val="20"/>
          <w:szCs w:val="20"/>
          <w:color w:val="auto"/>
        </w:rPr>
      </w:pPr>
      <w:r>
        <w:rPr>
          <w:rFonts w:ascii="Arial" w:cs="Arial" w:eastAsia="Arial" w:hAnsi="Arial"/>
          <w:sz w:val="17"/>
          <w:szCs w:val="17"/>
          <w:color w:val="auto"/>
        </w:rPr>
        <w:t>During 2018, we continued to execute our growth strategy. We announced seven newbuild orders, six of which are committed to long-term charters, four with Cheniere and two with a wholly owned subsidiary of Centrica plc (“Centrica”). We are very pleased to continue to develop and strengthen our relationship with these two important customers.</w:t>
      </w:r>
    </w:p>
    <w:p>
      <w:pPr>
        <w:spacing w:after="0" w:line="198" w:lineRule="exact"/>
        <w:rPr>
          <w:sz w:val="20"/>
          <w:szCs w:val="20"/>
          <w:color w:val="auto"/>
        </w:rPr>
      </w:pPr>
    </w:p>
    <w:p>
      <w:pPr>
        <w:ind w:left="6"/>
        <w:spacing w:after="0" w:line="275" w:lineRule="auto"/>
        <w:rPr>
          <w:sz w:val="20"/>
          <w:szCs w:val="20"/>
          <w:color w:val="auto"/>
        </w:rPr>
      </w:pPr>
      <w:r>
        <w:rPr>
          <w:rFonts w:ascii="Arial" w:cs="Arial" w:eastAsia="Arial" w:hAnsi="Arial"/>
          <w:sz w:val="17"/>
          <w:szCs w:val="17"/>
          <w:color w:val="auto"/>
        </w:rPr>
        <w:t>GasLog Partners issued over $320.0 million of new equity in 2018, of which over $200.0 million was recycled to GasLog as consideration for the two dropdowns and the modification of the IDRs which will permanently reduce the Partnership’s expected cost of capital. The equity recycled to GasLog and our declining leverage mean that we are well placed to fund our newbuild vessels under construction.</w:t>
      </w:r>
    </w:p>
    <w:p>
      <w:pPr>
        <w:spacing w:after="0" w:line="198" w:lineRule="exact"/>
        <w:rPr>
          <w:sz w:val="20"/>
          <w:szCs w:val="20"/>
          <w:color w:val="auto"/>
        </w:rPr>
      </w:pPr>
    </w:p>
    <w:p>
      <w:pPr>
        <w:ind w:left="6" w:right="340"/>
        <w:spacing w:after="0" w:line="288" w:lineRule="auto"/>
        <w:rPr>
          <w:sz w:val="20"/>
          <w:szCs w:val="20"/>
          <w:color w:val="auto"/>
        </w:rPr>
      </w:pPr>
      <w:r>
        <w:rPr>
          <w:rFonts w:ascii="Arial" w:cs="Arial" w:eastAsia="Arial" w:hAnsi="Arial"/>
          <w:sz w:val="17"/>
          <w:szCs w:val="17"/>
          <w:color w:val="auto"/>
        </w:rPr>
        <w:t>The continued growth of our fleet, the improvement in spot earnings and our cost control measures mean we have made significant progress towards meeting our target of more than doubling consolidated annualized EBITDA over the 2017-2022 period.</w:t>
      </w:r>
    </w:p>
    <w:p>
      <w:pPr>
        <w:spacing w:after="0" w:line="187" w:lineRule="exact"/>
        <w:rPr>
          <w:sz w:val="20"/>
          <w:szCs w:val="20"/>
          <w:color w:val="auto"/>
        </w:rPr>
      </w:pPr>
    </w:p>
    <w:p>
      <w:pPr>
        <w:ind w:left="6" w:right="480"/>
        <w:spacing w:after="0" w:line="288" w:lineRule="auto"/>
        <w:rPr>
          <w:sz w:val="20"/>
          <w:szCs w:val="20"/>
          <w:color w:val="auto"/>
        </w:rPr>
      </w:pPr>
      <w:r>
        <w:rPr>
          <w:rFonts w:ascii="Arial" w:cs="Arial" w:eastAsia="Arial" w:hAnsi="Arial"/>
          <w:sz w:val="17"/>
          <w:szCs w:val="17"/>
          <w:color w:val="auto"/>
        </w:rPr>
        <w:t>While spot rates have recently moderated from fourth quarter peaks, in line with historical seasonal trends, we expect tightness in LNG shipping markets to return given forecast LNG supply growth through 2020 and relatively few uncommitted newbuild vessels delivering in that period.</w:t>
      </w:r>
    </w:p>
    <w:p>
      <w:pPr>
        <w:spacing w:after="0" w:line="187" w:lineRule="exact"/>
        <w:rPr>
          <w:sz w:val="20"/>
          <w:szCs w:val="20"/>
          <w:color w:val="auto"/>
        </w:rPr>
      </w:pPr>
    </w:p>
    <w:p>
      <w:pPr>
        <w:jc w:val="both"/>
        <w:ind w:left="6" w:right="140"/>
        <w:spacing w:after="0" w:line="275" w:lineRule="auto"/>
        <w:rPr>
          <w:sz w:val="20"/>
          <w:szCs w:val="20"/>
          <w:color w:val="auto"/>
        </w:rPr>
      </w:pPr>
      <w:r>
        <w:rPr>
          <w:rFonts w:ascii="Arial" w:cs="Arial" w:eastAsia="Arial" w:hAnsi="Arial"/>
          <w:sz w:val="17"/>
          <w:szCs w:val="17"/>
          <w:color w:val="auto"/>
        </w:rPr>
        <w:t>As we look beyond 2020, additional shipping capacity will be required if consensus LNG demand and supply forecasts are realized. However, whilst we now believe that the LNG shipping market is heading towards a balanced state early next decade, the long-term secular growth of LNG supply and demand mean that, over the medium and long-term, GasLog will continue to serve a dynamic and growing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202565</wp:posOffset>
            </wp:positionV>
            <wp:extent cx="7646670" cy="311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6"/>
          </w:cols>
          <w:pgMar w:left="114" w:top="0" w:right="120"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u w:val="single" w:color="auto"/>
          <w:color w:val="auto"/>
        </w:rPr>
        <w:t>LNG Market Update and Outlook</w:t>
      </w:r>
    </w:p>
    <w:p>
      <w:pPr>
        <w:spacing w:after="0" w:line="253"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LNG demand, as estimated by Wood Mackenzie, is expected to have increased by 9%, from 288 million tonnes per annum (“mtpa”) in 2017 to 313 mtpa in 2018. According to China’s General Administration of Customs, China’s LNG imports increased by approximately 16 mtpa, or 41%, to 54 mtpa in 2018, driven mainly by continued coal-to-gas switching in the industrial, commercial and residential sectors. South Korea, Pakistan, Thailand and Mexico also experienced strong growth in LNG imports during 2018. The outlook remains robust, with Wood Mackenzie forecasting compound annual growth in global LNG demand of 6% between 2018 and 2025. This growth is expected to be broad-based, with Wood Mackenzie forecasting that South East Asia and Europe will account for approximately 70% of the 148 mtpa net increase in demand between 2018 and 2025.</w:t>
      </w:r>
    </w:p>
    <w:p>
      <w:pPr>
        <w:spacing w:after="0" w:line="20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According to Wood Mackenzie, global LNG supply in 2018 totaled 326 million tonnes (“mt”), or a 9% increase on 2017. Several new LNG supply projects and the ramp-up of existing facilities contributed to the increase in LNG production in 2018. During the year, new production started in the United States (Cove Point, Corpus Christi Train 1 and Sabine Pass Train 5), Australia (Wheatstone Train 2, Ichthys), Russia (Yamal Trains 2 &amp; 3) and Cameroon Floating LNG. Supply from existing liquefaction facilities in Egypt, Trinidad and Tobago and Oman also increased following successful efforts to raise domestic gas production. Downtime at existing facilities in Malaysia and Russia partially offset these gains.</w:t>
      </w:r>
    </w:p>
    <w:p>
      <w:pPr>
        <w:spacing w:after="0" w:line="202" w:lineRule="exact"/>
        <w:rPr>
          <w:sz w:val="20"/>
          <w:szCs w:val="20"/>
          <w:color w:val="auto"/>
        </w:rPr>
      </w:pPr>
    </w:p>
    <w:p>
      <w:pPr>
        <w:ind w:right="140"/>
        <w:spacing w:after="0" w:line="328" w:lineRule="auto"/>
        <w:rPr>
          <w:sz w:val="20"/>
          <w:szCs w:val="20"/>
          <w:color w:val="auto"/>
        </w:rPr>
      </w:pPr>
      <w:r>
        <w:rPr>
          <w:rFonts w:ascii="Arial" w:cs="Arial" w:eastAsia="Arial" w:hAnsi="Arial"/>
          <w:sz w:val="15"/>
          <w:szCs w:val="15"/>
          <w:color w:val="auto"/>
        </w:rPr>
        <w:t>Based on Wood Mackenzie’s current forecasts, 2019 is anticipated to be the strongest year ever for supply growth in the LNG market, with supply expected to increase by 40 mtpa to 366 mtpa, a 12% increase on 2018. This includes new LNG production from Elba Island, Cameron, Freeport and Corpus Christi Train 2 in the United States, the Prelude floating LNG project offshore Australia, further increases in Russia’s output and the continued ramp-up of projects which were brought onstream in 2018.</w:t>
      </w:r>
    </w:p>
    <w:p>
      <w:pPr>
        <w:spacing w:after="0" w:line="163"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During 2018, three new LNG liquefaction projects reached Final Investment Decision (“FID”), underpinning further LNG supply growth during the next decade. LNG Canada (14 mtpa) in western Canada, Corpus Christi Train 3 (4.5 mtpa) in the United States and the Greater Tortue Ahmeyim project offshore Mauritania and Senegal (2.5 mtpa) were all approved during the year. In February 2019, the Golden Pass (16 mtpa) project in the United States also reached FID. According to Wood Mackenzie, proposed projects (including Golden Pass) in the United States with a combined capacity of approximately 35 mtpa are expected to gain investment approval in 2019. Outside the United States, Qatar is aiming to take FID on an expansion of existing facilities from 77 to 110 mtpa. New projects offshore Mozambique (28 mtpa) and the Arctic LNG-2 project (20 mtpa) in Russia are also expected by Wood Mackenzie to be approved in 2019.</w:t>
      </w:r>
    </w:p>
    <w:p>
      <w:pPr>
        <w:spacing w:after="0" w:line="207"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In parallel with the progress on new supply FIDs, in 2018 there was a significant increase in the number of announced long-term LNG off-take contracts. According to Wood Mackenzie and company disclosures, 95 mtpa of long-term (defined as greater than 5 years’ duration) off-take commitments have been agreed since the beginning of 2018, compared to 25 mtpa in 2017. The nature of the LNG marketplace also continued to evolve. According to the Financial Times, the top three independent commodity traders increased their delivered LNG volumes by almost 40% to 31 mt in 2018, taking market share from traditional participants such as national oil companies and major integrated oil and gas companies.</w:t>
      </w:r>
    </w:p>
    <w:p>
      <w:pPr>
        <w:spacing w:after="0" w:line="202" w:lineRule="exact"/>
        <w:rPr>
          <w:sz w:val="20"/>
          <w:szCs w:val="20"/>
          <w:color w:val="auto"/>
        </w:rPr>
      </w:pPr>
    </w:p>
    <w:p>
      <w:pPr>
        <w:ind w:right="60"/>
        <w:spacing w:after="0" w:line="306" w:lineRule="auto"/>
        <w:rPr>
          <w:sz w:val="20"/>
          <w:szCs w:val="20"/>
          <w:color w:val="auto"/>
        </w:rPr>
      </w:pPr>
      <w:r>
        <w:rPr>
          <w:rFonts w:ascii="Arial" w:cs="Arial" w:eastAsia="Arial" w:hAnsi="Arial"/>
          <w:sz w:val="15"/>
          <w:szCs w:val="15"/>
          <w:color w:val="auto"/>
        </w:rPr>
        <w:t>In the LNG shipping spot market, tri-fuel diesel electric (“TFDE”) headline rates, as reported by Clarksons, averaged $89,000 per day in 2018, a 93% increase on 2017 levels. Headline TFDE rates rose significantly in the fourth quarter of 2018 and reached all-time highs of $190,000 per day in November 2018 following a marked decrease in spot ship availability. Average headline TFDE rates in the fourth quarter of 2018 were $150,000 per day. Headline rates for steam propulsion (“Steam”) vessels also reached multi-year highs of $98,000 per day in late 2018. In recent weeks however, relatively mild winter weather and ample inventory levels in key Asian markets have resulted in falling Asian LNG prices, reducing the incentive to move LNG cargoes from the Atlantic to the Pacific Basin and resulting in a seasonal rise in prompt vessel availability and falling spot rates. Headline TFDE spot rates are currently assessed at $60,000 per day. Notwithstanding this recent fall and the likelihood of continued seasonality in the spring shoulder months, we continue to believe that the medium-term outlook for spot rates through 2019 and 2020 is positive given supportive LNG commodity fundamentals and LNG shipping supply and demand. However, spot rates may be prone to further periods of seasonality and volatility similar to that seen in 2018.</w:t>
      </w:r>
    </w:p>
    <w:p>
      <w:pPr>
        <w:spacing w:after="0" w:line="180" w:lineRule="exact"/>
        <w:rPr>
          <w:sz w:val="20"/>
          <w:szCs w:val="20"/>
          <w:color w:val="auto"/>
        </w:rPr>
      </w:pPr>
    </w:p>
    <w:p>
      <w:pPr>
        <w:jc w:val="both"/>
        <w:ind w:right="340"/>
        <w:spacing w:after="0" w:line="275" w:lineRule="auto"/>
        <w:rPr>
          <w:sz w:val="20"/>
          <w:szCs w:val="20"/>
          <w:color w:val="auto"/>
        </w:rPr>
      </w:pPr>
      <w:r>
        <w:rPr>
          <w:rFonts w:ascii="Arial" w:cs="Arial" w:eastAsia="Arial" w:hAnsi="Arial"/>
          <w:sz w:val="17"/>
          <w:szCs w:val="17"/>
          <w:color w:val="auto"/>
        </w:rPr>
        <w:t>During 2018 there was a significant increase in term chartering activity. Based on Poten data, charters between 181 days to seven years duration increased to 19% of total fixtures in 2018, from 5% in 2017. Our expectation of structural tightness in the LNG carrier market, combined with increasing spot vessel availability, could result in this trend continuing in 2019 and beyond.</w:t>
      </w:r>
    </w:p>
    <w:p>
      <w:pPr>
        <w:spacing w:after="0" w:line="198" w:lineRule="exact"/>
        <w:rPr>
          <w:sz w:val="20"/>
          <w:szCs w:val="20"/>
          <w:color w:val="auto"/>
        </w:rPr>
      </w:pPr>
    </w:p>
    <w:p>
      <w:pPr>
        <w:ind w:right="80"/>
        <w:spacing w:after="0" w:line="312" w:lineRule="auto"/>
        <w:rPr>
          <w:sz w:val="20"/>
          <w:szCs w:val="20"/>
          <w:color w:val="auto"/>
        </w:rPr>
      </w:pPr>
      <w:r>
        <w:rPr>
          <w:rFonts w:ascii="Arial" w:cs="Arial" w:eastAsia="Arial" w:hAnsi="Arial"/>
          <w:sz w:val="15"/>
          <w:szCs w:val="15"/>
          <w:color w:val="auto"/>
        </w:rPr>
        <w:t>According to Poten, there were 61 orders for dedicated LNG carrier newbuilds in 2018, an all-time high. The orderbook now totals 105 dedicated LNG carriers (&gt;100,000 cbm), of which 63% are backed by long-term contracts. The positive outlook for LNG commodity and LNG shipping markets, as well as historically low newbuild prices, resulted in both existing LNG carrier owners and new entrants ordering new vessels. Based on 2018 newbuilding orders and current forecasts of LNG supply growth, we now believe that the LNG shipping market is heading towards a balanced state early next decade. As such, the requirement for additional shipping capacity in this period has now been largely addressed. This implies that newbuilding order activity in 2019 needs to slow relative to 2018 levels in order to reduce the risk of vessel oversupply.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 xml:space="preserve">Completion of the Sale of the </w:t>
      </w:r>
      <w:r>
        <w:rPr>
          <w:rFonts w:ascii="Arial" w:cs="Arial" w:eastAsia="Arial" w:hAnsi="Arial"/>
          <w:sz w:val="17"/>
          <w:szCs w:val="17"/>
          <w:b w:val="1"/>
          <w:bCs w:val="1"/>
          <w:i w:val="1"/>
          <w:iCs w:val="1"/>
          <w:u w:val="single" w:color="auto"/>
          <w:color w:val="auto"/>
        </w:rPr>
        <w:t>Methane Becki Anne</w:t>
      </w:r>
    </w:p>
    <w:p>
      <w:pPr>
        <w:spacing w:after="0" w:line="253" w:lineRule="exact"/>
        <w:rPr>
          <w:sz w:val="20"/>
          <w:szCs w:val="20"/>
          <w:color w:val="auto"/>
        </w:rPr>
      </w:pPr>
    </w:p>
    <w:p>
      <w:pPr>
        <w:ind w:right="140"/>
        <w:spacing w:after="0" w:line="288" w:lineRule="auto"/>
        <w:rPr>
          <w:sz w:val="20"/>
          <w:szCs w:val="20"/>
          <w:color w:val="auto"/>
        </w:rPr>
      </w:pPr>
      <w:r>
        <w:rPr>
          <w:rFonts w:ascii="Arial" w:cs="Arial" w:eastAsia="Arial" w:hAnsi="Arial"/>
          <w:sz w:val="17"/>
          <w:szCs w:val="17"/>
          <w:color w:val="auto"/>
        </w:rPr>
        <w:t xml:space="preserve">On November 14, 2018, GasLog completed the sale of 100% of the ownership interest in GAS-twenty seven Ltd., the entity which owns the </w:t>
      </w:r>
      <w:r>
        <w:rPr>
          <w:rFonts w:ascii="Arial" w:cs="Arial" w:eastAsia="Arial" w:hAnsi="Arial"/>
          <w:sz w:val="17"/>
          <w:szCs w:val="17"/>
          <w:i w:val="1"/>
          <w:iCs w:val="1"/>
          <w:color w:val="auto"/>
        </w:rPr>
        <w:t>Methane Becki Anne</w:t>
      </w:r>
      <w:r>
        <w:rPr>
          <w:rFonts w:ascii="Arial" w:cs="Arial" w:eastAsia="Arial" w:hAnsi="Arial"/>
          <w:sz w:val="17"/>
          <w:szCs w:val="17"/>
          <w:color w:val="auto"/>
        </w:rPr>
        <w:t>, to GasLog Partners for an aggregate purchase price of $207.4 million, which includes $1.0 million for positive net working capital.</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GasLog Partners’ Issuance of Series C Preference Units</w:t>
      </w:r>
    </w:p>
    <w:p>
      <w:pPr>
        <w:spacing w:after="0" w:line="253" w:lineRule="exact"/>
        <w:rPr>
          <w:sz w:val="20"/>
          <w:szCs w:val="20"/>
          <w:color w:val="auto"/>
        </w:rPr>
      </w:pPr>
    </w:p>
    <w:p>
      <w:pPr>
        <w:jc w:val="both"/>
        <w:ind w:right="40"/>
        <w:spacing w:after="0" w:line="271" w:lineRule="auto"/>
        <w:rPr>
          <w:sz w:val="20"/>
          <w:szCs w:val="20"/>
          <w:color w:val="auto"/>
        </w:rPr>
      </w:pPr>
      <w:r>
        <w:rPr>
          <w:rFonts w:ascii="Arial" w:cs="Arial" w:eastAsia="Arial" w:hAnsi="Arial"/>
          <w:sz w:val="17"/>
          <w:szCs w:val="17"/>
          <w:color w:val="auto"/>
        </w:rPr>
        <w:t>On November 15, 2018, GasLog Partners completed a public offering of 4,000,000 8.500% Series C Preference Units, liquidation preference $25.00 per unit, at a price to the public of $25.00 per preference unit. The net proceeds from the offering after deducting underwriting discounts, commissions and other offering expenses were $96.3 million. The Partnership’s Series C Preference Units are listed on the New York Stock Exchange under the symbol “GLOP PR C”. The initial distribution on the Partnership’s Series C Preference Units will be payable on March 15,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646670" cy="311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212" w:right="120"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u w:val="single" w:color="auto"/>
          <w:color w:val="auto"/>
        </w:rPr>
        <w:t>IDRs Modification</w:t>
      </w:r>
    </w:p>
    <w:p>
      <w:pPr>
        <w:spacing w:after="0" w:line="25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November 27, 2018, GasLog and GasLog Partners entered into an agreement to modify the partnership agreement with respect to GasLog’s IDRs. The modification reduces GasLog’s IDRs on quarterly distributions above $0.5625 per unit from 48% to 23%. GasLog has further agreed to waive IDR payments resulting from any asset or business acquired by GasLog Partners from a third party. In exchange for these modifications, the Partnership paid $25.0 million to GasLog which was sourced from available cash.</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Share Repurchase Programme</w:t>
      </w:r>
    </w:p>
    <w:p>
      <w:pPr>
        <w:spacing w:after="0" w:line="253"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On November 28, 2018, the board of directors of GasLog authorized a share repurchase programme of up to $50.0 million covering the period from January 1, 2019 to December 31, 2021. Under the terms of the repurchase programme, we may repurchase common shares from time to time, at our discretion, on the open market or in privately negotiated transactions. Any repurchases are subject to market conditions, applicable legal requirements and other considerations. We are not obligated under the repurchase programme to repurchase any specific dollar amount or number of common shares and the repurchase programme may be modified, suspended or discontinued at any time or never utilized. Any common shares repurchased by us under the programme will be held in treasury. As of February 14, 2019, GasLog has not purchased any shares.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Additional Vessels and New Charter Agreements</w:t>
      </w:r>
    </w:p>
    <w:p>
      <w:pPr>
        <w:spacing w:after="0" w:line="253"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On December 26, 2018, GasLog announced the order of two 180,000 cbm LNG carriers (Hull Nos. 2311 and 2312) with LP-2S propulsion and GTT Mark III Flex Plus containment systems from Samsung that are scheduled to be delivered in the second and third quarters of 2021. The vessels will be chartered to Cheniere for a firm period of seven years pursuant to an option for the charter of one or two additional newbuild vessels negotiated in 2018.</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GasLog Partners’ ATM Programme</w:t>
      </w:r>
    </w:p>
    <w:p>
      <w:pPr>
        <w:spacing w:after="0" w:line="253" w:lineRule="exact"/>
        <w:rPr>
          <w:sz w:val="20"/>
          <w:szCs w:val="20"/>
          <w:color w:val="auto"/>
        </w:rPr>
      </w:pPr>
    </w:p>
    <w:p>
      <w:pPr>
        <w:ind w:right="220"/>
        <w:spacing w:after="0" w:line="318" w:lineRule="auto"/>
        <w:rPr>
          <w:sz w:val="20"/>
          <w:szCs w:val="20"/>
          <w:color w:val="auto"/>
        </w:rPr>
      </w:pPr>
      <w:r>
        <w:rPr>
          <w:rFonts w:ascii="Arial" w:cs="Arial" w:eastAsia="Arial" w:hAnsi="Arial"/>
          <w:sz w:val="15"/>
          <w:szCs w:val="15"/>
          <w:color w:val="auto"/>
        </w:rPr>
        <w:t>On May 16, 2017, GasLog Partners commenced an ATM Programme under which the Partnership may, from time to time, raise equity through the issuance and sale of new common units having an aggregate offering value of up to $100.0 million in accordance with the terms of an equity distribution agreement entered into on the same date. Citigroup Global Markets Inc., Merrill Lynch, Pierce, Fenner &amp; Smith Incorporated, Credit Suisse Securities (USA) LLC and Morgan Stanley &amp; Co. LLC agreed to act as sales agents. On November 3, 2017, the size of the ATM Programme was increased to $144.0 million and UBS Securities LLC was included as a sales agent.</w:t>
      </w:r>
    </w:p>
    <w:p>
      <w:pPr>
        <w:spacing w:after="0" w:line="170" w:lineRule="exact"/>
        <w:rPr>
          <w:sz w:val="20"/>
          <w:szCs w:val="20"/>
          <w:color w:val="auto"/>
        </w:rPr>
      </w:pPr>
    </w:p>
    <w:p>
      <w:pPr>
        <w:ind w:right="200"/>
        <w:spacing w:after="0" w:line="288" w:lineRule="auto"/>
        <w:rPr>
          <w:sz w:val="20"/>
          <w:szCs w:val="20"/>
          <w:color w:val="auto"/>
        </w:rPr>
      </w:pPr>
      <w:r>
        <w:rPr>
          <w:rFonts w:ascii="Arial" w:cs="Arial" w:eastAsia="Arial" w:hAnsi="Arial"/>
          <w:sz w:val="17"/>
          <w:szCs w:val="17"/>
          <w:color w:val="auto"/>
        </w:rPr>
        <w:t>In the fourth quarter of 2018, GasLog Partners issued and received payment for an additional 259,104 common units at a weighted average price of $24.06 per common unit for total gross proceeds of $6.2 million and net proceeds of $6.0 million.</w:t>
      </w:r>
    </w:p>
    <w:p>
      <w:pPr>
        <w:spacing w:after="0" w:line="187" w:lineRule="exact"/>
        <w:rPr>
          <w:sz w:val="20"/>
          <w:szCs w:val="20"/>
          <w:color w:val="auto"/>
        </w:rPr>
      </w:pPr>
    </w:p>
    <w:p>
      <w:pPr>
        <w:ind w:right="60"/>
        <w:spacing w:after="0" w:line="358" w:lineRule="auto"/>
        <w:rPr>
          <w:sz w:val="20"/>
          <w:szCs w:val="20"/>
          <w:color w:val="auto"/>
        </w:rPr>
      </w:pPr>
      <w:r>
        <w:rPr>
          <w:rFonts w:ascii="Arial" w:cs="Arial" w:eastAsia="Arial" w:hAnsi="Arial"/>
          <w:sz w:val="15"/>
          <w:szCs w:val="15"/>
          <w:color w:val="auto"/>
        </w:rPr>
        <w:t>Since the commencement of the ATM Programme through December 31, 2018, GasLog Partners has issued and received payment for a total of 5,291,304 common units, with cumulative gross proceeds of $123.4 million at a weighted average price of $23.33 per unit. As of December 31, 2018, the cumulative net proceeds were $121.2 million.</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Alexandroupolis Project Update</w:t>
      </w:r>
    </w:p>
    <w:p>
      <w:pPr>
        <w:spacing w:after="0" w:line="25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early January 2019, Gastrade S.A. (“Gastrade”) announced the successful completion of the first phase of the solicitation of commitments to take capacity in the project (the “Market Test”), with 20 companies submitting a non-binding Expression of Interest for a total of up to 12.2 billion cubic metres (“bcm”) a year of regasification capacity from the Alexandroupolis FSRU. The non-binding phase of the Market Test surpassed the 5.5 bcm/year technical capacity of the project. Planning for the binding phase of the Market Test is well advanced.</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Gastrade also announced in January 2019 that the deadline for the initial phase of the procurement of the Alexandroupolis FSRU had been extended to February 15, 2019.</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Gastrade is targeting FID in mid-2019; however, this timetable assumes significant near-term progress on critical path items, including decisions by various regulatory bodies.</w:t>
      </w:r>
    </w:p>
    <w:p>
      <w:pPr>
        <w:spacing w:after="0" w:line="267" w:lineRule="exact"/>
        <w:rPr>
          <w:sz w:val="20"/>
          <w:szCs w:val="20"/>
          <w:color w:val="auto"/>
        </w:rPr>
      </w:pPr>
    </w:p>
    <w:p>
      <w:pPr>
        <w:ind w:right="340"/>
        <w:spacing w:after="0" w:line="288" w:lineRule="auto"/>
        <w:rPr>
          <w:sz w:val="20"/>
          <w:szCs w:val="20"/>
          <w:color w:val="auto"/>
        </w:rPr>
      </w:pPr>
      <w:r>
        <w:rPr>
          <w:rFonts w:ascii="Arial" w:cs="Arial" w:eastAsia="Arial" w:hAnsi="Arial"/>
          <w:sz w:val="17"/>
          <w:szCs w:val="17"/>
          <w:color w:val="auto"/>
        </w:rPr>
        <w:t>DEPA, the Greek state natural gas utility, and Bulgartransgaz, the Bulgarian national gas transmission system operator, continue to work towards the formalisation of their respective shareholdings in Gastrade.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Dividend Declarations</w:t>
      </w:r>
    </w:p>
    <w:p>
      <w:pPr>
        <w:spacing w:after="0" w:line="253" w:lineRule="exact"/>
        <w:rPr>
          <w:sz w:val="20"/>
          <w:szCs w:val="20"/>
          <w:color w:val="auto"/>
        </w:rPr>
      </w:pPr>
    </w:p>
    <w:p>
      <w:pPr>
        <w:ind w:right="660"/>
        <w:spacing w:after="0" w:line="321" w:lineRule="auto"/>
        <w:rPr>
          <w:sz w:val="20"/>
          <w:szCs w:val="20"/>
          <w:color w:val="auto"/>
        </w:rPr>
      </w:pPr>
      <w:r>
        <w:rPr>
          <w:rFonts w:ascii="Arial" w:cs="Arial" w:eastAsia="Arial" w:hAnsi="Arial"/>
          <w:sz w:val="16"/>
          <w:szCs w:val="16"/>
          <w:color w:val="auto"/>
        </w:rPr>
        <w:t>On November 15, 2018, the board of directors declared a dividend on the Series A Preference Shares of $0.546875 per share, or $2.5 million in aggregate, payable on January 2, 2019 to holders of record as of December 31, 2018. GasLog paid the declared dividend to the transfer agent on December 31, 2018.</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On November 28, 2018, the board of directors declared a special dividend of $0.40 per common share, or $32.3 million in aggregate, which was paid on December 17, 2018.</w:t>
      </w:r>
    </w:p>
    <w:p>
      <w:pPr>
        <w:spacing w:after="0" w:line="270" w:lineRule="exact"/>
        <w:rPr>
          <w:sz w:val="20"/>
          <w:szCs w:val="20"/>
          <w:color w:val="auto"/>
        </w:rPr>
      </w:pPr>
    </w:p>
    <w:p>
      <w:pPr>
        <w:ind w:right="420"/>
        <w:spacing w:after="0" w:line="288" w:lineRule="auto"/>
        <w:rPr>
          <w:sz w:val="20"/>
          <w:szCs w:val="20"/>
          <w:color w:val="auto"/>
        </w:rPr>
      </w:pPr>
      <w:r>
        <w:rPr>
          <w:rFonts w:ascii="Arial" w:cs="Arial" w:eastAsia="Arial" w:hAnsi="Arial"/>
          <w:sz w:val="17"/>
          <w:szCs w:val="17"/>
          <w:color w:val="auto"/>
        </w:rPr>
        <w:t>On February 13, 2019, the board of directors declared a quarterly cash dividend of $0.15 per common share, or $12.1 million in aggregate, payable on March 14, 2019 to shareholders of record as of March 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646670" cy="311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212" w:right="120" w:bottom="1440" w:gutter="0" w:footer="0" w:header="0"/>
        </w:sectPr>
      </w:pPr>
    </w:p>
    <w:bookmarkStart w:id="6" w:name="page7"/>
    <w:bookmarkEnd w:id="6"/>
    <w:tbl>
      <w:tblPr>
        <w:tblLayout w:type="fixed"/>
        <w:tblInd w:w="6" w:type="dxa"/>
        <w:tblCellMar>
          <w:top w:w="0" w:type="dxa"/>
          <w:left w:w="0" w:type="dxa"/>
          <w:bottom w:w="0" w:type="dxa"/>
          <w:right w:w="0" w:type="dxa"/>
        </w:tblCellMar>
      </w:tblPr>
      <w:tr>
        <w:trPr>
          <w:trHeight w:val="195"/>
        </w:trPr>
        <w:tc>
          <w:tcPr>
            <w:tcW w:w="4800" w:type="dxa"/>
            <w:vAlign w:val="bottom"/>
            <w:gridSpan w:val="2"/>
          </w:tcPr>
          <w:p>
            <w:pPr>
              <w:spacing w:after="0"/>
              <w:rPr>
                <w:sz w:val="20"/>
                <w:szCs w:val="20"/>
                <w:color w:val="auto"/>
              </w:rPr>
            </w:pPr>
            <w:r>
              <w:rPr>
                <w:rFonts w:ascii="Arial" w:cs="Arial" w:eastAsia="Arial" w:hAnsi="Arial"/>
                <w:sz w:val="17"/>
                <w:szCs w:val="17"/>
                <w:b w:val="1"/>
                <w:bCs w:val="1"/>
                <w:color w:val="auto"/>
              </w:rPr>
              <w:t>Financial Summary</w:t>
            </w: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20" w:type="dxa"/>
            <w:vAlign w:val="bottom"/>
            <w:gridSpan w:val="3"/>
            <w:vMerge w:val="restart"/>
          </w:tcPr>
          <w:p>
            <w:pPr>
              <w:ind w:left="200"/>
              <w:spacing w:after="0"/>
              <w:rPr>
                <w:sz w:val="20"/>
                <w:szCs w:val="20"/>
                <w:color w:val="auto"/>
              </w:rPr>
            </w:pPr>
            <w:r>
              <w:rPr>
                <w:rFonts w:ascii="Arial" w:cs="Arial" w:eastAsia="Arial" w:hAnsi="Arial"/>
                <w:sz w:val="17"/>
                <w:szCs w:val="17"/>
                <w:b w:val="1"/>
                <w:bCs w:val="1"/>
                <w:color w:val="auto"/>
                <w:w w:val="93"/>
              </w:rPr>
              <w:t>For the three months ended</w:t>
            </w: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40" w:type="dxa"/>
            <w:vAlign w:val="bottom"/>
            <w:gridSpan w:val="3"/>
            <w:vMerge w:val="restart"/>
          </w:tcPr>
          <w:p>
            <w:pPr>
              <w:ind w:left="540"/>
              <w:spacing w:after="0"/>
              <w:rPr>
                <w:sz w:val="20"/>
                <w:szCs w:val="20"/>
                <w:color w:val="auto"/>
              </w:rPr>
            </w:pPr>
            <w:r>
              <w:rPr>
                <w:rFonts w:ascii="Arial" w:cs="Arial" w:eastAsia="Arial" w:hAnsi="Arial"/>
                <w:sz w:val="17"/>
                <w:szCs w:val="17"/>
                <w:b w:val="1"/>
                <w:bCs w:val="1"/>
                <w:color w:val="auto"/>
                <w:w w:val="90"/>
              </w:rPr>
              <w:t>For the year ended</w:t>
            </w: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4800" w:type="dxa"/>
            <w:vAlign w:val="bottom"/>
            <w:gridSpan w:val="2"/>
          </w:tcPr>
          <w:p>
            <w:pPr>
              <w:ind w:left="40"/>
              <w:spacing w:after="0"/>
              <w:rPr>
                <w:sz w:val="20"/>
                <w:szCs w:val="20"/>
                <w:color w:val="auto"/>
              </w:rPr>
            </w:pPr>
            <w:r>
              <w:rPr>
                <w:rFonts w:ascii="Arial" w:cs="Arial" w:eastAsia="Arial" w:hAnsi="Arial"/>
                <w:sz w:val="17"/>
                <w:szCs w:val="17"/>
                <w:b w:val="1"/>
                <w:bCs w:val="1"/>
                <w:i w:val="1"/>
                <w:iCs w:val="1"/>
                <w:color w:val="auto"/>
                <w:w w:val="98"/>
              </w:rPr>
              <w:t>Amounts in thousands of U.S. dollars except per share data</w:t>
            </w:r>
          </w:p>
        </w:tc>
        <w:tc>
          <w:tcPr>
            <w:tcW w:w="480" w:type="dxa"/>
            <w:vAlign w:val="bottom"/>
          </w:tcPr>
          <w:p>
            <w:pPr>
              <w:spacing w:after="0"/>
              <w:rPr>
                <w:sz w:val="24"/>
                <w:szCs w:val="24"/>
                <w:color w:val="auto"/>
              </w:rPr>
            </w:pPr>
          </w:p>
        </w:tc>
        <w:tc>
          <w:tcPr>
            <w:tcW w:w="2320" w:type="dxa"/>
            <w:vAlign w:val="bottom"/>
            <w:gridSpan w:val="3"/>
            <w:vMerge w:val="continue"/>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40" w:type="dxa"/>
            <w:vAlign w:val="bottom"/>
            <w:gridSpan w:val="3"/>
            <w:vMerge w:val="continue"/>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840" w:type="dxa"/>
            <w:vAlign w:val="bottom"/>
            <w:gridSpan w:val="3"/>
          </w:tcPr>
          <w:p>
            <w:pPr>
              <w:ind w:left="280"/>
              <w:spacing w:after="0"/>
              <w:rPr>
                <w:sz w:val="20"/>
                <w:szCs w:val="20"/>
                <w:color w:val="auto"/>
              </w:rPr>
            </w:pPr>
            <w:r>
              <w:rPr>
                <w:rFonts w:ascii="Arial" w:cs="Arial" w:eastAsia="Arial" w:hAnsi="Arial"/>
                <w:sz w:val="17"/>
                <w:szCs w:val="17"/>
                <w:b w:val="1"/>
                <w:bCs w:val="1"/>
                <w:color w:val="auto"/>
              </w:rPr>
              <w:t>December 31,</w:t>
            </w:r>
          </w:p>
        </w:tc>
        <w:tc>
          <w:tcPr>
            <w:tcW w:w="1840" w:type="dxa"/>
            <w:vAlign w:val="bottom"/>
            <w:gridSpan w:val="3"/>
          </w:tcPr>
          <w:p>
            <w:pPr>
              <w:ind w:left="280"/>
              <w:spacing w:after="0"/>
              <w:rPr>
                <w:sz w:val="20"/>
                <w:szCs w:val="20"/>
                <w:color w:val="auto"/>
              </w:rPr>
            </w:pPr>
            <w:r>
              <w:rPr>
                <w:rFonts w:ascii="Arial" w:cs="Arial" w:eastAsia="Arial" w:hAnsi="Arial"/>
                <w:sz w:val="17"/>
                <w:szCs w:val="17"/>
                <w:b w:val="1"/>
                <w:bCs w:val="1"/>
                <w:color w:val="auto"/>
              </w:rPr>
              <w:t>December 31,</w:t>
            </w:r>
          </w:p>
        </w:tc>
        <w:tc>
          <w:tcPr>
            <w:tcW w:w="1840" w:type="dxa"/>
            <w:vAlign w:val="bottom"/>
            <w:gridSpan w:val="3"/>
          </w:tcPr>
          <w:p>
            <w:pPr>
              <w:ind w:left="280"/>
              <w:spacing w:after="0"/>
              <w:rPr>
                <w:sz w:val="20"/>
                <w:szCs w:val="20"/>
                <w:color w:val="auto"/>
              </w:rPr>
            </w:pPr>
            <w:r>
              <w:rPr>
                <w:rFonts w:ascii="Arial" w:cs="Arial" w:eastAsia="Arial" w:hAnsi="Arial"/>
                <w:sz w:val="17"/>
                <w:szCs w:val="17"/>
                <w:b w:val="1"/>
                <w:bCs w:val="1"/>
                <w:color w:val="auto"/>
              </w:rPr>
              <w:t>December 31,</w:t>
            </w:r>
          </w:p>
        </w:tc>
        <w:tc>
          <w:tcPr>
            <w:tcW w:w="1680" w:type="dxa"/>
            <w:vAlign w:val="bottom"/>
            <w:gridSpan w:val="3"/>
          </w:tcPr>
          <w:p>
            <w:pPr>
              <w:ind w:left="280"/>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224"/>
        </w:trPr>
        <w:tc>
          <w:tcPr>
            <w:tcW w:w="1440" w:type="dxa"/>
            <w:vAlign w:val="bottom"/>
            <w:tcBorders>
              <w:bottom w:val="single" w:sz="8" w:color="E5FFFF"/>
            </w:tcBorders>
          </w:tcPr>
          <w:p>
            <w:pPr>
              <w:spacing w:after="0"/>
              <w:rPr>
                <w:sz w:val="19"/>
                <w:szCs w:val="19"/>
                <w:color w:val="auto"/>
              </w:rPr>
            </w:pPr>
          </w:p>
        </w:tc>
        <w:tc>
          <w:tcPr>
            <w:tcW w:w="3360" w:type="dxa"/>
            <w:vAlign w:val="bottom"/>
            <w:tcBorders>
              <w:bottom w:val="single" w:sz="8" w:color="E5FF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2017</w:t>
            </w:r>
          </w:p>
        </w:tc>
        <w:tc>
          <w:tcPr>
            <w:tcW w:w="300" w:type="dxa"/>
            <w:vAlign w:val="bottom"/>
            <w:tcBorders>
              <w:bottom w:val="single" w:sz="8" w:color="E5FFFF"/>
            </w:tcBorders>
          </w:tcPr>
          <w:p>
            <w:pPr>
              <w:spacing w:after="0"/>
              <w:rPr>
                <w:sz w:val="19"/>
                <w:szCs w:val="19"/>
                <w:color w:val="auto"/>
              </w:rPr>
            </w:pPr>
          </w:p>
        </w:tc>
        <w:tc>
          <w:tcPr>
            <w:tcW w:w="960" w:type="dxa"/>
            <w:vAlign w:val="bottom"/>
            <w:tcBorders>
              <w:bottom w:val="single" w:sz="8" w:color="auto"/>
            </w:tcBorders>
          </w:tcPr>
          <w:p>
            <w:pPr>
              <w:ind w:left="600"/>
              <w:spacing w:after="0"/>
              <w:rPr>
                <w:sz w:val="20"/>
                <w:szCs w:val="20"/>
                <w:color w:val="auto"/>
              </w:rPr>
            </w:pPr>
            <w:r>
              <w:rPr>
                <w:rFonts w:ascii="Arial" w:cs="Arial" w:eastAsia="Arial" w:hAnsi="Arial"/>
                <w:sz w:val="17"/>
                <w:szCs w:val="17"/>
                <w:b w:val="1"/>
                <w:bCs w:val="1"/>
                <w:color w:val="auto"/>
                <w:w w:val="89"/>
              </w:rPr>
              <w:t>2018</w:t>
            </w:r>
          </w:p>
        </w:tc>
        <w:tc>
          <w:tcPr>
            <w:tcW w:w="580" w:type="dxa"/>
            <w:vAlign w:val="bottom"/>
            <w:tcBorders>
              <w:bottom w:val="single" w:sz="8" w:color="auto"/>
            </w:tcBorders>
          </w:tcPr>
          <w:p>
            <w:pPr>
              <w:spacing w:after="0"/>
              <w:rPr>
                <w:sz w:val="19"/>
                <w:szCs w:val="19"/>
                <w:color w:val="auto"/>
              </w:rPr>
            </w:pPr>
          </w:p>
        </w:tc>
        <w:tc>
          <w:tcPr>
            <w:tcW w:w="300" w:type="dxa"/>
            <w:vAlign w:val="bottom"/>
            <w:tcBorders>
              <w:bottom w:val="single" w:sz="8" w:color="E5FF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2017</w:t>
            </w:r>
          </w:p>
        </w:tc>
        <w:tc>
          <w:tcPr>
            <w:tcW w:w="300" w:type="dxa"/>
            <w:vAlign w:val="bottom"/>
            <w:tcBorders>
              <w:bottom w:val="single" w:sz="8" w:color="E5FF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w w:val="95"/>
              </w:rPr>
              <w:t>2018</w:t>
            </w:r>
          </w:p>
        </w:tc>
        <w:tc>
          <w:tcPr>
            <w:tcW w:w="120" w:type="dxa"/>
            <w:vAlign w:val="bottom"/>
            <w:tcBorders>
              <w:bottom w:val="single" w:sz="8" w:color="E5FFFF"/>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800" w:type="dxa"/>
            <w:vAlign w:val="bottom"/>
            <w:gridSpan w:val="2"/>
            <w:shd w:val="clear" w:color="auto" w:fill="E5FFFF"/>
          </w:tcPr>
          <w:p>
            <w:pPr>
              <w:spacing w:after="0"/>
              <w:rPr>
                <w:sz w:val="20"/>
                <w:szCs w:val="20"/>
                <w:color w:val="auto"/>
              </w:rPr>
            </w:pPr>
            <w:r>
              <w:rPr>
                <w:rFonts w:ascii="Arial" w:cs="Arial" w:eastAsia="Arial" w:hAnsi="Arial"/>
                <w:sz w:val="17"/>
                <w:szCs w:val="17"/>
                <w:color w:val="auto"/>
              </w:rPr>
              <w:t>Revenues</w:t>
            </w:r>
          </w:p>
        </w:tc>
        <w:tc>
          <w:tcPr>
            <w:tcW w:w="480" w:type="dxa"/>
            <w:vAlign w:val="bottom"/>
            <w:shd w:val="clear" w:color="auto" w:fill="E5FFFF"/>
          </w:tcPr>
          <w:p>
            <w:pPr>
              <w:ind w:left="280"/>
              <w:spacing w:after="0"/>
              <w:rPr>
                <w:sz w:val="20"/>
                <w:szCs w:val="20"/>
                <w:color w:val="auto"/>
              </w:rPr>
            </w:pPr>
            <w:r>
              <w:rPr>
                <w:rFonts w:ascii="Arial" w:cs="Arial" w:eastAsia="Arial" w:hAnsi="Arial"/>
                <w:sz w:val="17"/>
                <w:szCs w:val="17"/>
                <w:color w:val="auto"/>
              </w:rPr>
              <w:t>$</w:t>
            </w:r>
          </w:p>
        </w:tc>
        <w:tc>
          <w:tcPr>
            <w:tcW w:w="106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135,772</w:t>
            </w:r>
          </w:p>
        </w:tc>
        <w:tc>
          <w:tcPr>
            <w:tcW w:w="300" w:type="dxa"/>
            <w:vAlign w:val="bottom"/>
            <w:shd w:val="clear" w:color="auto" w:fill="E5FFFF"/>
          </w:tcPr>
          <w:p>
            <w:pPr>
              <w:spacing w:after="0"/>
              <w:rPr>
                <w:sz w:val="18"/>
                <w:szCs w:val="18"/>
                <w:color w:val="auto"/>
              </w:rPr>
            </w:pPr>
          </w:p>
        </w:tc>
        <w:tc>
          <w:tcPr>
            <w:tcW w:w="960" w:type="dxa"/>
            <w:vAlign w:val="bottom"/>
            <w:shd w:val="clear" w:color="auto" w:fill="E5FFFF"/>
          </w:tcPr>
          <w:p>
            <w:pPr>
              <w:ind w:left="280"/>
              <w:spacing w:after="0"/>
              <w:rPr>
                <w:sz w:val="20"/>
                <w:szCs w:val="20"/>
                <w:color w:val="auto"/>
              </w:rPr>
            </w:pPr>
            <w:r>
              <w:rPr>
                <w:rFonts w:ascii="Arial" w:cs="Arial" w:eastAsia="Arial" w:hAnsi="Arial"/>
                <w:sz w:val="17"/>
                <w:szCs w:val="17"/>
                <w:color w:val="auto"/>
              </w:rPr>
              <w:t>$</w:t>
            </w:r>
          </w:p>
        </w:tc>
        <w:tc>
          <w:tcPr>
            <w:tcW w:w="580" w:type="dxa"/>
            <w:vAlign w:val="bottom"/>
            <w:shd w:val="clear" w:color="auto" w:fill="E5FFFF"/>
          </w:tcPr>
          <w:p>
            <w:pPr>
              <w:jc w:val="right"/>
              <w:spacing w:after="0"/>
              <w:rPr>
                <w:sz w:val="20"/>
                <w:szCs w:val="20"/>
                <w:color w:val="auto"/>
              </w:rPr>
            </w:pPr>
            <w:r>
              <w:rPr>
                <w:rFonts w:ascii="Arial" w:cs="Arial" w:eastAsia="Arial" w:hAnsi="Arial"/>
                <w:sz w:val="17"/>
                <w:szCs w:val="17"/>
                <w:color w:val="auto"/>
                <w:w w:val="91"/>
              </w:rPr>
              <w:t>188,644</w:t>
            </w:r>
          </w:p>
        </w:tc>
        <w:tc>
          <w:tcPr>
            <w:tcW w:w="300" w:type="dxa"/>
            <w:vAlign w:val="bottom"/>
            <w:shd w:val="clear" w:color="auto" w:fill="E5FFFF"/>
          </w:tcPr>
          <w:p>
            <w:pPr>
              <w:spacing w:after="0"/>
              <w:rPr>
                <w:sz w:val="18"/>
                <w:szCs w:val="18"/>
                <w:color w:val="auto"/>
              </w:rPr>
            </w:pPr>
          </w:p>
        </w:tc>
        <w:tc>
          <w:tcPr>
            <w:tcW w:w="480" w:type="dxa"/>
            <w:vAlign w:val="bottom"/>
            <w:shd w:val="clear" w:color="auto" w:fill="E5FFFF"/>
          </w:tcPr>
          <w:p>
            <w:pPr>
              <w:ind w:left="280"/>
              <w:spacing w:after="0"/>
              <w:rPr>
                <w:sz w:val="20"/>
                <w:szCs w:val="20"/>
                <w:color w:val="auto"/>
              </w:rPr>
            </w:pPr>
            <w:r>
              <w:rPr>
                <w:rFonts w:ascii="Arial" w:cs="Arial" w:eastAsia="Arial" w:hAnsi="Arial"/>
                <w:sz w:val="17"/>
                <w:szCs w:val="17"/>
                <w:color w:val="auto"/>
              </w:rPr>
              <w:t>$</w:t>
            </w:r>
          </w:p>
        </w:tc>
        <w:tc>
          <w:tcPr>
            <w:tcW w:w="1060" w:type="dxa"/>
            <w:vAlign w:val="bottom"/>
            <w:shd w:val="clear" w:color="auto" w:fill="E5FFFF"/>
          </w:tcPr>
          <w:p>
            <w:pPr>
              <w:jc w:val="right"/>
              <w:spacing w:after="0"/>
              <w:rPr>
                <w:sz w:val="20"/>
                <w:szCs w:val="20"/>
                <w:color w:val="auto"/>
              </w:rPr>
            </w:pPr>
            <w:r>
              <w:rPr>
                <w:rFonts w:ascii="Arial" w:cs="Arial" w:eastAsia="Arial" w:hAnsi="Arial"/>
                <w:sz w:val="17"/>
                <w:szCs w:val="17"/>
                <w:color w:val="auto"/>
              </w:rPr>
              <w:t>525,229</w:t>
            </w:r>
          </w:p>
        </w:tc>
        <w:tc>
          <w:tcPr>
            <w:tcW w:w="300" w:type="dxa"/>
            <w:vAlign w:val="bottom"/>
            <w:shd w:val="clear" w:color="auto" w:fill="E5FFFF"/>
          </w:tcPr>
          <w:p>
            <w:pPr>
              <w:spacing w:after="0"/>
              <w:rPr>
                <w:sz w:val="18"/>
                <w:szCs w:val="18"/>
                <w:color w:val="auto"/>
              </w:rPr>
            </w:pPr>
          </w:p>
        </w:tc>
        <w:tc>
          <w:tcPr>
            <w:tcW w:w="580" w:type="dxa"/>
            <w:vAlign w:val="bottom"/>
            <w:shd w:val="clear" w:color="auto" w:fill="E5FFFF"/>
          </w:tcPr>
          <w:p>
            <w:pPr>
              <w:ind w:left="280"/>
              <w:spacing w:after="0"/>
              <w:rPr>
                <w:sz w:val="20"/>
                <w:szCs w:val="20"/>
                <w:color w:val="auto"/>
              </w:rPr>
            </w:pPr>
            <w:r>
              <w:rPr>
                <w:rFonts w:ascii="Arial" w:cs="Arial" w:eastAsia="Arial" w:hAnsi="Arial"/>
                <w:sz w:val="17"/>
                <w:szCs w:val="17"/>
                <w:color w:val="auto"/>
              </w:rPr>
              <w:t>$</w:t>
            </w:r>
          </w:p>
        </w:tc>
        <w:tc>
          <w:tcPr>
            <w:tcW w:w="980" w:type="dxa"/>
            <w:vAlign w:val="bottom"/>
            <w:shd w:val="clear" w:color="auto" w:fill="E5FFFF"/>
          </w:tcPr>
          <w:p>
            <w:pPr>
              <w:jc w:val="right"/>
              <w:spacing w:after="0"/>
              <w:rPr>
                <w:sz w:val="20"/>
                <w:szCs w:val="20"/>
                <w:color w:val="auto"/>
              </w:rPr>
            </w:pPr>
            <w:r>
              <w:rPr>
                <w:rFonts w:ascii="Arial" w:cs="Arial" w:eastAsia="Arial" w:hAnsi="Arial"/>
                <w:sz w:val="17"/>
                <w:szCs w:val="17"/>
                <w:color w:val="auto"/>
              </w:rPr>
              <w:t>618,344</w:t>
            </w:r>
          </w:p>
        </w:tc>
        <w:tc>
          <w:tcPr>
            <w:tcW w:w="1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0" w:type="dxa"/>
            <w:vAlign w:val="bottom"/>
            <w:gridSpan w:val="2"/>
          </w:tcPr>
          <w:p>
            <w:pPr>
              <w:spacing w:after="0" w:line="213" w:lineRule="exact"/>
              <w:rPr>
                <w:sz w:val="20"/>
                <w:szCs w:val="20"/>
                <w:color w:val="auto"/>
              </w:rPr>
            </w:pPr>
            <w:r>
              <w:rPr>
                <w:rFonts w:ascii="Arial" w:cs="Arial" w:eastAsia="Arial" w:hAnsi="Arial"/>
                <w:sz w:val="17"/>
                <w:szCs w:val="17"/>
                <w:color w:val="auto"/>
              </w:rPr>
              <w:t>EBITDA</w:t>
            </w:r>
            <w:r>
              <w:rPr>
                <w:rFonts w:ascii="Arial" w:cs="Arial" w:eastAsia="Arial" w:hAnsi="Arial"/>
                <w:sz w:val="22"/>
                <w:szCs w:val="22"/>
                <w:color w:val="auto"/>
                <w:vertAlign w:val="superscript"/>
              </w:rPr>
              <w:t>(1)</w:t>
            </w:r>
          </w:p>
        </w:tc>
        <w:tc>
          <w:tcPr>
            <w:tcW w:w="480" w:type="dxa"/>
            <w:vAlign w:val="bottom"/>
          </w:tcPr>
          <w:p>
            <w:pPr>
              <w:ind w:left="28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89,655</w:t>
            </w:r>
          </w:p>
        </w:tc>
        <w:tc>
          <w:tcPr>
            <w:tcW w:w="300" w:type="dxa"/>
            <w:vAlign w:val="bottom"/>
          </w:tcPr>
          <w:p>
            <w:pPr>
              <w:spacing w:after="0"/>
              <w:rPr>
                <w:sz w:val="18"/>
                <w:szCs w:val="18"/>
                <w:color w:val="auto"/>
              </w:rPr>
            </w:pPr>
          </w:p>
        </w:tc>
        <w:tc>
          <w:tcPr>
            <w:tcW w:w="960" w:type="dxa"/>
            <w:vAlign w:val="bottom"/>
          </w:tcPr>
          <w:p>
            <w:pPr>
              <w:ind w:left="28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7"/>
                <w:szCs w:val="17"/>
                <w:color w:val="auto"/>
                <w:w w:val="91"/>
              </w:rPr>
              <w:t>144,982</w:t>
            </w:r>
          </w:p>
        </w:tc>
        <w:tc>
          <w:tcPr>
            <w:tcW w:w="480" w:type="dxa"/>
            <w:vAlign w:val="bottom"/>
          </w:tcPr>
          <w:p>
            <w:pPr>
              <w:ind w:left="28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355,902</w:t>
            </w:r>
          </w:p>
        </w:tc>
        <w:tc>
          <w:tcPr>
            <w:tcW w:w="300" w:type="dxa"/>
            <w:vAlign w:val="bottom"/>
          </w:tcPr>
          <w:p>
            <w:pPr>
              <w:spacing w:after="0"/>
              <w:rPr>
                <w:sz w:val="18"/>
                <w:szCs w:val="18"/>
                <w:color w:val="auto"/>
              </w:rPr>
            </w:pPr>
          </w:p>
        </w:tc>
        <w:tc>
          <w:tcPr>
            <w:tcW w:w="580" w:type="dxa"/>
            <w:vAlign w:val="bottom"/>
          </w:tcPr>
          <w:p>
            <w:pPr>
              <w:ind w:left="28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447,511</w:t>
            </w:r>
          </w:p>
        </w:tc>
        <w:tc>
          <w:tcPr>
            <w:tcW w:w="0" w:type="dxa"/>
            <w:vAlign w:val="bottom"/>
          </w:tcPr>
          <w:p>
            <w:pPr>
              <w:spacing w:after="0"/>
              <w:rPr>
                <w:sz w:val="1"/>
                <w:szCs w:val="1"/>
                <w:color w:val="auto"/>
              </w:rPr>
            </w:pPr>
          </w:p>
        </w:tc>
      </w:tr>
      <w:tr>
        <w:trPr>
          <w:trHeight w:val="214"/>
        </w:trPr>
        <w:tc>
          <w:tcPr>
            <w:tcW w:w="4800" w:type="dxa"/>
            <w:vAlign w:val="bottom"/>
            <w:gridSpan w:val="2"/>
            <w:shd w:val="clear" w:color="auto" w:fill="E5FFFF"/>
          </w:tcPr>
          <w:p>
            <w:pPr>
              <w:spacing w:after="0" w:line="213" w:lineRule="exact"/>
              <w:rPr>
                <w:sz w:val="20"/>
                <w:szCs w:val="20"/>
                <w:color w:val="auto"/>
              </w:rPr>
            </w:pPr>
            <w:r>
              <w:rPr>
                <w:rFonts w:ascii="Arial" w:cs="Arial" w:eastAsia="Arial" w:hAnsi="Arial"/>
                <w:sz w:val="17"/>
                <w:szCs w:val="17"/>
                <w:color w:val="auto"/>
              </w:rPr>
              <w:t>Adjusted EBITDA</w:t>
            </w:r>
            <w:r>
              <w:rPr>
                <w:rFonts w:ascii="Arial" w:cs="Arial" w:eastAsia="Arial" w:hAnsi="Arial"/>
                <w:sz w:val="22"/>
                <w:szCs w:val="22"/>
                <w:color w:val="auto"/>
                <w:vertAlign w:val="superscript"/>
              </w:rPr>
              <w:t>(1)</w:t>
            </w:r>
          </w:p>
        </w:tc>
        <w:tc>
          <w:tcPr>
            <w:tcW w:w="480" w:type="dxa"/>
            <w:vAlign w:val="bottom"/>
            <w:shd w:val="clear" w:color="auto" w:fill="E5FFFF"/>
          </w:tcPr>
          <w:p>
            <w:pPr>
              <w:ind w:left="280"/>
              <w:spacing w:after="0"/>
              <w:rPr>
                <w:sz w:val="20"/>
                <w:szCs w:val="20"/>
                <w:color w:val="auto"/>
              </w:rPr>
            </w:pPr>
            <w:r>
              <w:rPr>
                <w:rFonts w:ascii="Arial" w:cs="Arial" w:eastAsia="Arial" w:hAnsi="Arial"/>
                <w:sz w:val="17"/>
                <w:szCs w:val="17"/>
                <w:color w:val="auto"/>
              </w:rPr>
              <w:t>$</w:t>
            </w:r>
          </w:p>
        </w:tc>
        <w:tc>
          <w:tcPr>
            <w:tcW w:w="1060" w:type="dxa"/>
            <w:vAlign w:val="bottom"/>
            <w:shd w:val="clear" w:color="auto" w:fill="E5FFFF"/>
          </w:tcPr>
          <w:p>
            <w:pPr>
              <w:jc w:val="right"/>
              <w:spacing w:after="0"/>
              <w:rPr>
                <w:sz w:val="20"/>
                <w:szCs w:val="20"/>
                <w:color w:val="auto"/>
              </w:rPr>
            </w:pPr>
            <w:r>
              <w:rPr>
                <w:rFonts w:ascii="Arial" w:cs="Arial" w:eastAsia="Arial" w:hAnsi="Arial"/>
                <w:sz w:val="17"/>
                <w:szCs w:val="17"/>
                <w:color w:val="auto"/>
              </w:rPr>
              <w:t>89,666</w:t>
            </w:r>
          </w:p>
        </w:tc>
        <w:tc>
          <w:tcPr>
            <w:tcW w:w="300" w:type="dxa"/>
            <w:vAlign w:val="bottom"/>
            <w:shd w:val="clear" w:color="auto" w:fill="E5FFFF"/>
          </w:tcPr>
          <w:p>
            <w:pPr>
              <w:spacing w:after="0"/>
              <w:rPr>
                <w:sz w:val="18"/>
                <w:szCs w:val="18"/>
                <w:color w:val="auto"/>
              </w:rPr>
            </w:pPr>
          </w:p>
        </w:tc>
        <w:tc>
          <w:tcPr>
            <w:tcW w:w="960" w:type="dxa"/>
            <w:vAlign w:val="bottom"/>
            <w:shd w:val="clear" w:color="auto" w:fill="E5FFFF"/>
          </w:tcPr>
          <w:p>
            <w:pPr>
              <w:ind w:left="28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E5FFFF"/>
          </w:tcPr>
          <w:p>
            <w:pPr>
              <w:jc w:val="right"/>
              <w:ind w:right="300"/>
              <w:spacing w:after="0"/>
              <w:rPr>
                <w:sz w:val="20"/>
                <w:szCs w:val="20"/>
                <w:color w:val="auto"/>
              </w:rPr>
            </w:pPr>
            <w:r>
              <w:rPr>
                <w:rFonts w:ascii="Arial" w:cs="Arial" w:eastAsia="Arial" w:hAnsi="Arial"/>
                <w:sz w:val="17"/>
                <w:szCs w:val="17"/>
                <w:color w:val="auto"/>
                <w:w w:val="91"/>
              </w:rPr>
              <w:t>145,026</w:t>
            </w:r>
          </w:p>
        </w:tc>
        <w:tc>
          <w:tcPr>
            <w:tcW w:w="480" w:type="dxa"/>
            <w:vAlign w:val="bottom"/>
            <w:shd w:val="clear" w:color="auto" w:fill="E5FFFF"/>
          </w:tcPr>
          <w:p>
            <w:pPr>
              <w:ind w:left="280"/>
              <w:spacing w:after="0"/>
              <w:rPr>
                <w:sz w:val="20"/>
                <w:szCs w:val="20"/>
                <w:color w:val="auto"/>
              </w:rPr>
            </w:pPr>
            <w:r>
              <w:rPr>
                <w:rFonts w:ascii="Arial" w:cs="Arial" w:eastAsia="Arial" w:hAnsi="Arial"/>
                <w:sz w:val="17"/>
                <w:szCs w:val="17"/>
                <w:color w:val="auto"/>
              </w:rPr>
              <w:t>$</w:t>
            </w:r>
          </w:p>
        </w:tc>
        <w:tc>
          <w:tcPr>
            <w:tcW w:w="1060" w:type="dxa"/>
            <w:vAlign w:val="bottom"/>
            <w:shd w:val="clear" w:color="auto" w:fill="E5FFFF"/>
          </w:tcPr>
          <w:p>
            <w:pPr>
              <w:jc w:val="right"/>
              <w:spacing w:after="0"/>
              <w:rPr>
                <w:sz w:val="20"/>
                <w:szCs w:val="20"/>
                <w:color w:val="auto"/>
              </w:rPr>
            </w:pPr>
            <w:r>
              <w:rPr>
                <w:rFonts w:ascii="Arial" w:cs="Arial" w:eastAsia="Arial" w:hAnsi="Arial"/>
                <w:sz w:val="17"/>
                <w:szCs w:val="17"/>
                <w:color w:val="auto"/>
              </w:rPr>
              <w:t>356,048</w:t>
            </w:r>
          </w:p>
        </w:tc>
        <w:tc>
          <w:tcPr>
            <w:tcW w:w="300" w:type="dxa"/>
            <w:vAlign w:val="bottom"/>
            <w:shd w:val="clear" w:color="auto" w:fill="E5FFFF"/>
          </w:tcPr>
          <w:p>
            <w:pPr>
              <w:spacing w:after="0"/>
              <w:rPr>
                <w:sz w:val="18"/>
                <w:szCs w:val="18"/>
                <w:color w:val="auto"/>
              </w:rPr>
            </w:pPr>
          </w:p>
        </w:tc>
        <w:tc>
          <w:tcPr>
            <w:tcW w:w="580" w:type="dxa"/>
            <w:vAlign w:val="bottom"/>
            <w:shd w:val="clear" w:color="auto" w:fill="E5FFFF"/>
          </w:tcPr>
          <w:p>
            <w:pPr>
              <w:ind w:left="280"/>
              <w:spacing w:after="0"/>
              <w:rPr>
                <w:sz w:val="20"/>
                <w:szCs w:val="20"/>
                <w:color w:val="auto"/>
              </w:rPr>
            </w:pPr>
            <w:r>
              <w:rPr>
                <w:rFonts w:ascii="Arial" w:cs="Arial" w:eastAsia="Arial" w:hAnsi="Arial"/>
                <w:sz w:val="17"/>
                <w:szCs w:val="17"/>
                <w:color w:val="auto"/>
              </w:rPr>
              <w:t>$</w:t>
            </w:r>
          </w:p>
        </w:tc>
        <w:tc>
          <w:tcPr>
            <w:tcW w:w="980" w:type="dxa"/>
            <w:vAlign w:val="bottom"/>
            <w:shd w:val="clear" w:color="auto" w:fill="E5FFFF"/>
          </w:tcPr>
          <w:p>
            <w:pPr>
              <w:jc w:val="right"/>
              <w:spacing w:after="0"/>
              <w:rPr>
                <w:sz w:val="20"/>
                <w:szCs w:val="20"/>
                <w:color w:val="auto"/>
              </w:rPr>
            </w:pPr>
            <w:r>
              <w:rPr>
                <w:rFonts w:ascii="Arial" w:cs="Arial" w:eastAsia="Arial" w:hAnsi="Arial"/>
                <w:sz w:val="17"/>
                <w:szCs w:val="17"/>
                <w:color w:val="auto"/>
              </w:rPr>
              <w:t>447,747</w:t>
            </w:r>
          </w:p>
        </w:tc>
        <w:tc>
          <w:tcPr>
            <w:tcW w:w="1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0" w:type="dxa"/>
            <w:vAlign w:val="bottom"/>
            <w:gridSpan w:val="2"/>
          </w:tcPr>
          <w:p>
            <w:pPr>
              <w:spacing w:after="0"/>
              <w:rPr>
                <w:sz w:val="20"/>
                <w:szCs w:val="20"/>
                <w:color w:val="auto"/>
              </w:rPr>
            </w:pPr>
            <w:r>
              <w:rPr>
                <w:rFonts w:ascii="Arial" w:cs="Arial" w:eastAsia="Arial" w:hAnsi="Arial"/>
                <w:sz w:val="17"/>
                <w:szCs w:val="17"/>
                <w:color w:val="auto"/>
              </w:rPr>
              <w:t>Profit</w:t>
            </w:r>
          </w:p>
        </w:tc>
        <w:tc>
          <w:tcPr>
            <w:tcW w:w="480" w:type="dxa"/>
            <w:vAlign w:val="bottom"/>
          </w:tcPr>
          <w:p>
            <w:pPr>
              <w:ind w:left="28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29,685</w:t>
            </w:r>
          </w:p>
        </w:tc>
        <w:tc>
          <w:tcPr>
            <w:tcW w:w="300" w:type="dxa"/>
            <w:vAlign w:val="bottom"/>
          </w:tcPr>
          <w:p>
            <w:pPr>
              <w:spacing w:after="0"/>
              <w:rPr>
                <w:sz w:val="18"/>
                <w:szCs w:val="18"/>
                <w:color w:val="auto"/>
              </w:rPr>
            </w:pPr>
          </w:p>
        </w:tc>
        <w:tc>
          <w:tcPr>
            <w:tcW w:w="960" w:type="dxa"/>
            <w:vAlign w:val="bottom"/>
          </w:tcPr>
          <w:p>
            <w:pPr>
              <w:ind w:left="28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7"/>
                <w:szCs w:val="17"/>
                <w:color w:val="auto"/>
              </w:rPr>
              <w:t>30,384</w:t>
            </w:r>
          </w:p>
        </w:tc>
        <w:tc>
          <w:tcPr>
            <w:tcW w:w="480" w:type="dxa"/>
            <w:vAlign w:val="bottom"/>
          </w:tcPr>
          <w:p>
            <w:pPr>
              <w:ind w:left="28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84,209</w:t>
            </w:r>
          </w:p>
        </w:tc>
        <w:tc>
          <w:tcPr>
            <w:tcW w:w="300" w:type="dxa"/>
            <w:vAlign w:val="bottom"/>
          </w:tcPr>
          <w:p>
            <w:pPr>
              <w:spacing w:after="0"/>
              <w:rPr>
                <w:sz w:val="18"/>
                <w:szCs w:val="18"/>
                <w:color w:val="auto"/>
              </w:rPr>
            </w:pPr>
          </w:p>
        </w:tc>
        <w:tc>
          <w:tcPr>
            <w:tcW w:w="580" w:type="dxa"/>
            <w:vAlign w:val="bottom"/>
          </w:tcPr>
          <w:p>
            <w:pPr>
              <w:ind w:left="28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126,398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0" w:type="dxa"/>
            <w:vAlign w:val="bottom"/>
            <w:gridSpan w:val="2"/>
            <w:shd w:val="clear" w:color="auto" w:fill="E5FFFF"/>
          </w:tcPr>
          <w:p>
            <w:pPr>
              <w:spacing w:after="0" w:line="213" w:lineRule="exact"/>
              <w:rPr>
                <w:sz w:val="20"/>
                <w:szCs w:val="20"/>
                <w:color w:val="auto"/>
              </w:rPr>
            </w:pPr>
            <w:r>
              <w:rPr>
                <w:rFonts w:ascii="Arial" w:cs="Arial" w:eastAsia="Arial" w:hAnsi="Arial"/>
                <w:sz w:val="17"/>
                <w:szCs w:val="17"/>
                <w:color w:val="auto"/>
              </w:rPr>
              <w:t>Adjusted Profit</w:t>
            </w:r>
            <w:r>
              <w:rPr>
                <w:rFonts w:ascii="Arial" w:cs="Arial" w:eastAsia="Arial" w:hAnsi="Arial"/>
                <w:sz w:val="22"/>
                <w:szCs w:val="22"/>
                <w:color w:val="auto"/>
                <w:vertAlign w:val="superscript"/>
              </w:rPr>
              <w:t>(1)</w:t>
            </w:r>
          </w:p>
        </w:tc>
        <w:tc>
          <w:tcPr>
            <w:tcW w:w="480" w:type="dxa"/>
            <w:vAlign w:val="bottom"/>
            <w:shd w:val="clear" w:color="auto" w:fill="E5FFFF"/>
          </w:tcPr>
          <w:p>
            <w:pPr>
              <w:ind w:left="280"/>
              <w:spacing w:after="0"/>
              <w:rPr>
                <w:sz w:val="20"/>
                <w:szCs w:val="20"/>
                <w:color w:val="auto"/>
              </w:rPr>
            </w:pPr>
            <w:r>
              <w:rPr>
                <w:rFonts w:ascii="Arial" w:cs="Arial" w:eastAsia="Arial" w:hAnsi="Arial"/>
                <w:sz w:val="17"/>
                <w:szCs w:val="17"/>
                <w:color w:val="auto"/>
              </w:rPr>
              <w:t>$</w:t>
            </w:r>
          </w:p>
        </w:tc>
        <w:tc>
          <w:tcPr>
            <w:tcW w:w="1060" w:type="dxa"/>
            <w:vAlign w:val="bottom"/>
            <w:shd w:val="clear" w:color="auto" w:fill="E5FFFF"/>
          </w:tcPr>
          <w:p>
            <w:pPr>
              <w:jc w:val="right"/>
              <w:spacing w:after="0"/>
              <w:rPr>
                <w:sz w:val="20"/>
                <w:szCs w:val="20"/>
                <w:color w:val="auto"/>
              </w:rPr>
            </w:pPr>
            <w:r>
              <w:rPr>
                <w:rFonts w:ascii="Arial" w:cs="Arial" w:eastAsia="Arial" w:hAnsi="Arial"/>
                <w:sz w:val="17"/>
                <w:szCs w:val="17"/>
                <w:color w:val="auto"/>
              </w:rPr>
              <w:t>21,438</w:t>
            </w:r>
          </w:p>
        </w:tc>
        <w:tc>
          <w:tcPr>
            <w:tcW w:w="300" w:type="dxa"/>
            <w:vAlign w:val="bottom"/>
            <w:shd w:val="clear" w:color="auto" w:fill="E5FFFF"/>
          </w:tcPr>
          <w:p>
            <w:pPr>
              <w:spacing w:after="0"/>
              <w:rPr>
                <w:sz w:val="18"/>
                <w:szCs w:val="18"/>
                <w:color w:val="auto"/>
              </w:rPr>
            </w:pPr>
          </w:p>
        </w:tc>
        <w:tc>
          <w:tcPr>
            <w:tcW w:w="960" w:type="dxa"/>
            <w:vAlign w:val="bottom"/>
            <w:shd w:val="clear" w:color="auto" w:fill="E5FFFF"/>
          </w:tcPr>
          <w:p>
            <w:pPr>
              <w:ind w:left="28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E5FFFF"/>
          </w:tcPr>
          <w:p>
            <w:pPr>
              <w:jc w:val="right"/>
              <w:ind w:right="300"/>
              <w:spacing w:after="0"/>
              <w:rPr>
                <w:sz w:val="20"/>
                <w:szCs w:val="20"/>
                <w:color w:val="auto"/>
              </w:rPr>
            </w:pPr>
            <w:r>
              <w:rPr>
                <w:rFonts w:ascii="Arial" w:cs="Arial" w:eastAsia="Arial" w:hAnsi="Arial"/>
                <w:sz w:val="17"/>
                <w:szCs w:val="17"/>
                <w:color w:val="auto"/>
              </w:rPr>
              <w:t>62,517</w:t>
            </w:r>
          </w:p>
        </w:tc>
        <w:tc>
          <w:tcPr>
            <w:tcW w:w="480" w:type="dxa"/>
            <w:vAlign w:val="bottom"/>
            <w:shd w:val="clear" w:color="auto" w:fill="E5FFFF"/>
          </w:tcPr>
          <w:p>
            <w:pPr>
              <w:ind w:left="280"/>
              <w:spacing w:after="0"/>
              <w:rPr>
                <w:sz w:val="20"/>
                <w:szCs w:val="20"/>
                <w:color w:val="auto"/>
              </w:rPr>
            </w:pPr>
            <w:r>
              <w:rPr>
                <w:rFonts w:ascii="Arial" w:cs="Arial" w:eastAsia="Arial" w:hAnsi="Arial"/>
                <w:sz w:val="17"/>
                <w:szCs w:val="17"/>
                <w:color w:val="auto"/>
              </w:rPr>
              <w:t>$</w:t>
            </w:r>
          </w:p>
        </w:tc>
        <w:tc>
          <w:tcPr>
            <w:tcW w:w="1060" w:type="dxa"/>
            <w:vAlign w:val="bottom"/>
            <w:shd w:val="clear" w:color="auto" w:fill="E5FFFF"/>
          </w:tcPr>
          <w:p>
            <w:pPr>
              <w:jc w:val="right"/>
              <w:spacing w:after="0"/>
              <w:rPr>
                <w:sz w:val="20"/>
                <w:szCs w:val="20"/>
                <w:color w:val="auto"/>
              </w:rPr>
            </w:pPr>
            <w:r>
              <w:rPr>
                <w:rFonts w:ascii="Arial" w:cs="Arial" w:eastAsia="Arial" w:hAnsi="Arial"/>
                <w:sz w:val="17"/>
                <w:szCs w:val="17"/>
                <w:color w:val="auto"/>
              </w:rPr>
              <w:t>78,724</w:t>
            </w:r>
          </w:p>
        </w:tc>
        <w:tc>
          <w:tcPr>
            <w:tcW w:w="300" w:type="dxa"/>
            <w:vAlign w:val="bottom"/>
            <w:shd w:val="clear" w:color="auto" w:fill="E5FFFF"/>
          </w:tcPr>
          <w:p>
            <w:pPr>
              <w:spacing w:after="0"/>
              <w:rPr>
                <w:sz w:val="18"/>
                <w:szCs w:val="18"/>
                <w:color w:val="auto"/>
              </w:rPr>
            </w:pPr>
          </w:p>
        </w:tc>
        <w:tc>
          <w:tcPr>
            <w:tcW w:w="580" w:type="dxa"/>
            <w:vAlign w:val="bottom"/>
            <w:shd w:val="clear" w:color="auto" w:fill="E5FFFF"/>
          </w:tcPr>
          <w:p>
            <w:pPr>
              <w:ind w:left="280"/>
              <w:spacing w:after="0"/>
              <w:rPr>
                <w:sz w:val="20"/>
                <w:szCs w:val="20"/>
                <w:color w:val="auto"/>
              </w:rPr>
            </w:pPr>
            <w:r>
              <w:rPr>
                <w:rFonts w:ascii="Arial" w:cs="Arial" w:eastAsia="Arial" w:hAnsi="Arial"/>
                <w:sz w:val="17"/>
                <w:szCs w:val="17"/>
                <w:color w:val="auto"/>
              </w:rPr>
              <w:t>$</w:t>
            </w:r>
          </w:p>
        </w:tc>
        <w:tc>
          <w:tcPr>
            <w:tcW w:w="98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134,845</w:t>
            </w:r>
          </w:p>
        </w:tc>
        <w:tc>
          <w:tcPr>
            <w:tcW w:w="1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0" w:type="dxa"/>
            <w:vAlign w:val="bottom"/>
            <w:gridSpan w:val="2"/>
          </w:tcPr>
          <w:p>
            <w:pPr>
              <w:spacing w:after="0"/>
              <w:rPr>
                <w:sz w:val="20"/>
                <w:szCs w:val="20"/>
                <w:color w:val="auto"/>
              </w:rPr>
            </w:pPr>
            <w:r>
              <w:rPr>
                <w:rFonts w:ascii="Arial" w:cs="Arial" w:eastAsia="Arial" w:hAnsi="Arial"/>
                <w:sz w:val="17"/>
                <w:szCs w:val="17"/>
                <w:color w:val="auto"/>
              </w:rPr>
              <w:t>Profit attributable to the owners of GasLog</w:t>
            </w:r>
          </w:p>
        </w:tc>
        <w:tc>
          <w:tcPr>
            <w:tcW w:w="480" w:type="dxa"/>
            <w:vAlign w:val="bottom"/>
          </w:tcPr>
          <w:p>
            <w:pPr>
              <w:ind w:left="28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8,934</w:t>
            </w:r>
          </w:p>
        </w:tc>
        <w:tc>
          <w:tcPr>
            <w:tcW w:w="300" w:type="dxa"/>
            <w:vAlign w:val="bottom"/>
          </w:tcPr>
          <w:p>
            <w:pPr>
              <w:spacing w:after="0"/>
              <w:rPr>
                <w:sz w:val="18"/>
                <w:szCs w:val="18"/>
                <w:color w:val="auto"/>
              </w:rPr>
            </w:pPr>
          </w:p>
        </w:tc>
        <w:tc>
          <w:tcPr>
            <w:tcW w:w="960" w:type="dxa"/>
            <w:vAlign w:val="bottom"/>
          </w:tcPr>
          <w:p>
            <w:pPr>
              <w:ind w:left="28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7"/>
                <w:szCs w:val="17"/>
                <w:color w:val="auto"/>
              </w:rPr>
              <w:t>13,785</w:t>
            </w:r>
          </w:p>
        </w:tc>
        <w:tc>
          <w:tcPr>
            <w:tcW w:w="480" w:type="dxa"/>
            <w:vAlign w:val="bottom"/>
          </w:tcPr>
          <w:p>
            <w:pPr>
              <w:ind w:left="28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15,506</w:t>
            </w:r>
          </w:p>
        </w:tc>
        <w:tc>
          <w:tcPr>
            <w:tcW w:w="300" w:type="dxa"/>
            <w:vAlign w:val="bottom"/>
          </w:tcPr>
          <w:p>
            <w:pPr>
              <w:spacing w:after="0"/>
              <w:rPr>
                <w:sz w:val="18"/>
                <w:szCs w:val="18"/>
                <w:color w:val="auto"/>
              </w:rPr>
            </w:pPr>
          </w:p>
        </w:tc>
        <w:tc>
          <w:tcPr>
            <w:tcW w:w="580" w:type="dxa"/>
            <w:vAlign w:val="bottom"/>
          </w:tcPr>
          <w:p>
            <w:pPr>
              <w:ind w:left="28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47,683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0" w:type="dxa"/>
            <w:vAlign w:val="bottom"/>
            <w:gridSpan w:val="2"/>
            <w:shd w:val="clear" w:color="auto" w:fill="E5FFFF"/>
          </w:tcPr>
          <w:p>
            <w:pPr>
              <w:spacing w:after="0"/>
              <w:rPr>
                <w:sz w:val="20"/>
                <w:szCs w:val="20"/>
                <w:color w:val="auto"/>
              </w:rPr>
            </w:pPr>
            <w:r>
              <w:rPr>
                <w:rFonts w:ascii="Arial" w:cs="Arial" w:eastAsia="Arial" w:hAnsi="Arial"/>
                <w:sz w:val="17"/>
                <w:szCs w:val="17"/>
                <w:color w:val="auto"/>
              </w:rPr>
              <w:t>EPS, basic</w:t>
            </w:r>
          </w:p>
        </w:tc>
        <w:tc>
          <w:tcPr>
            <w:tcW w:w="480" w:type="dxa"/>
            <w:vAlign w:val="bottom"/>
            <w:shd w:val="clear" w:color="auto" w:fill="E5FFFF"/>
          </w:tcPr>
          <w:p>
            <w:pPr>
              <w:ind w:left="280"/>
              <w:spacing w:after="0"/>
              <w:rPr>
                <w:sz w:val="20"/>
                <w:szCs w:val="20"/>
                <w:color w:val="auto"/>
              </w:rPr>
            </w:pPr>
            <w:r>
              <w:rPr>
                <w:rFonts w:ascii="Arial" w:cs="Arial" w:eastAsia="Arial" w:hAnsi="Arial"/>
                <w:sz w:val="17"/>
                <w:szCs w:val="17"/>
                <w:color w:val="auto"/>
              </w:rPr>
              <w:t>$</w:t>
            </w:r>
          </w:p>
        </w:tc>
        <w:tc>
          <w:tcPr>
            <w:tcW w:w="1060" w:type="dxa"/>
            <w:vAlign w:val="bottom"/>
            <w:shd w:val="clear" w:color="auto" w:fill="E5FFFF"/>
          </w:tcPr>
          <w:p>
            <w:pPr>
              <w:jc w:val="right"/>
              <w:spacing w:after="0"/>
              <w:rPr>
                <w:sz w:val="20"/>
                <w:szCs w:val="20"/>
                <w:color w:val="auto"/>
              </w:rPr>
            </w:pPr>
            <w:r>
              <w:rPr>
                <w:rFonts w:ascii="Arial" w:cs="Arial" w:eastAsia="Arial" w:hAnsi="Arial"/>
                <w:sz w:val="17"/>
                <w:szCs w:val="17"/>
                <w:color w:val="auto"/>
              </w:rPr>
              <w:t>0.08</w:t>
            </w:r>
          </w:p>
        </w:tc>
        <w:tc>
          <w:tcPr>
            <w:tcW w:w="300" w:type="dxa"/>
            <w:vAlign w:val="bottom"/>
            <w:shd w:val="clear" w:color="auto" w:fill="E5FFFF"/>
          </w:tcPr>
          <w:p>
            <w:pPr>
              <w:spacing w:after="0"/>
              <w:rPr>
                <w:sz w:val="18"/>
                <w:szCs w:val="18"/>
                <w:color w:val="auto"/>
              </w:rPr>
            </w:pPr>
          </w:p>
        </w:tc>
        <w:tc>
          <w:tcPr>
            <w:tcW w:w="960" w:type="dxa"/>
            <w:vAlign w:val="bottom"/>
            <w:shd w:val="clear" w:color="auto" w:fill="E5FFFF"/>
          </w:tcPr>
          <w:p>
            <w:pPr>
              <w:ind w:left="28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E5FFFF"/>
          </w:tcPr>
          <w:p>
            <w:pPr>
              <w:jc w:val="right"/>
              <w:ind w:right="300"/>
              <w:spacing w:after="0"/>
              <w:rPr>
                <w:sz w:val="20"/>
                <w:szCs w:val="20"/>
                <w:color w:val="auto"/>
              </w:rPr>
            </w:pPr>
            <w:r>
              <w:rPr>
                <w:rFonts w:ascii="Arial" w:cs="Arial" w:eastAsia="Arial" w:hAnsi="Arial"/>
                <w:sz w:val="17"/>
                <w:szCs w:val="17"/>
                <w:color w:val="auto"/>
              </w:rPr>
              <w:t>0.14</w:t>
            </w:r>
          </w:p>
        </w:tc>
        <w:tc>
          <w:tcPr>
            <w:tcW w:w="480" w:type="dxa"/>
            <w:vAlign w:val="bottom"/>
            <w:shd w:val="clear" w:color="auto" w:fill="E5FFFF"/>
          </w:tcPr>
          <w:p>
            <w:pPr>
              <w:ind w:left="280"/>
              <w:spacing w:after="0"/>
              <w:rPr>
                <w:sz w:val="20"/>
                <w:szCs w:val="20"/>
                <w:color w:val="auto"/>
              </w:rPr>
            </w:pPr>
            <w:r>
              <w:rPr>
                <w:rFonts w:ascii="Arial" w:cs="Arial" w:eastAsia="Arial" w:hAnsi="Arial"/>
                <w:sz w:val="17"/>
                <w:szCs w:val="17"/>
                <w:color w:val="auto"/>
              </w:rPr>
              <w:t>$</w:t>
            </w:r>
          </w:p>
        </w:tc>
        <w:tc>
          <w:tcPr>
            <w:tcW w:w="1060" w:type="dxa"/>
            <w:vAlign w:val="bottom"/>
            <w:shd w:val="clear" w:color="auto" w:fill="E5FFFF"/>
          </w:tcPr>
          <w:p>
            <w:pPr>
              <w:jc w:val="right"/>
              <w:spacing w:after="0"/>
              <w:rPr>
                <w:sz w:val="20"/>
                <w:szCs w:val="20"/>
                <w:color w:val="auto"/>
              </w:rPr>
            </w:pPr>
            <w:r>
              <w:rPr>
                <w:rFonts w:ascii="Arial" w:cs="Arial" w:eastAsia="Arial" w:hAnsi="Arial"/>
                <w:sz w:val="17"/>
                <w:szCs w:val="17"/>
                <w:color w:val="auto"/>
              </w:rPr>
              <w:t>0.07</w:t>
            </w:r>
          </w:p>
        </w:tc>
        <w:tc>
          <w:tcPr>
            <w:tcW w:w="300" w:type="dxa"/>
            <w:vAlign w:val="bottom"/>
            <w:shd w:val="clear" w:color="auto" w:fill="E5FFFF"/>
          </w:tcPr>
          <w:p>
            <w:pPr>
              <w:spacing w:after="0"/>
              <w:rPr>
                <w:sz w:val="18"/>
                <w:szCs w:val="18"/>
                <w:color w:val="auto"/>
              </w:rPr>
            </w:pPr>
          </w:p>
        </w:tc>
        <w:tc>
          <w:tcPr>
            <w:tcW w:w="580" w:type="dxa"/>
            <w:vAlign w:val="bottom"/>
            <w:shd w:val="clear" w:color="auto" w:fill="E5FFFF"/>
          </w:tcPr>
          <w:p>
            <w:pPr>
              <w:ind w:left="280"/>
              <w:spacing w:after="0"/>
              <w:rPr>
                <w:sz w:val="20"/>
                <w:szCs w:val="20"/>
                <w:color w:val="auto"/>
              </w:rPr>
            </w:pPr>
            <w:r>
              <w:rPr>
                <w:rFonts w:ascii="Arial" w:cs="Arial" w:eastAsia="Arial" w:hAnsi="Arial"/>
                <w:sz w:val="17"/>
                <w:szCs w:val="17"/>
                <w:color w:val="auto"/>
              </w:rPr>
              <w:t>$</w:t>
            </w:r>
          </w:p>
        </w:tc>
        <w:tc>
          <w:tcPr>
            <w:tcW w:w="980" w:type="dxa"/>
            <w:vAlign w:val="bottom"/>
            <w:shd w:val="clear" w:color="auto" w:fill="E5FFFF"/>
          </w:tcPr>
          <w:p>
            <w:pPr>
              <w:jc w:val="right"/>
              <w:spacing w:after="0"/>
              <w:rPr>
                <w:sz w:val="20"/>
                <w:szCs w:val="20"/>
                <w:color w:val="auto"/>
              </w:rPr>
            </w:pPr>
            <w:r>
              <w:rPr>
                <w:rFonts w:ascii="Arial" w:cs="Arial" w:eastAsia="Arial" w:hAnsi="Arial"/>
                <w:sz w:val="17"/>
                <w:szCs w:val="17"/>
                <w:color w:val="auto"/>
              </w:rPr>
              <w:t>0.47</w:t>
            </w:r>
          </w:p>
        </w:tc>
        <w:tc>
          <w:tcPr>
            <w:tcW w:w="1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4800" w:type="dxa"/>
            <w:vAlign w:val="bottom"/>
            <w:gridSpan w:val="2"/>
          </w:tcPr>
          <w:p>
            <w:pPr>
              <w:spacing w:after="0"/>
              <w:rPr>
                <w:sz w:val="20"/>
                <w:szCs w:val="20"/>
                <w:color w:val="auto"/>
              </w:rPr>
            </w:pPr>
            <w:r>
              <w:rPr>
                <w:rFonts w:ascii="Arial" w:cs="Arial" w:eastAsia="Arial" w:hAnsi="Arial"/>
                <w:sz w:val="17"/>
                <w:szCs w:val="17"/>
                <w:color w:val="auto"/>
              </w:rPr>
              <w:t>Adjusted EPS</w:t>
            </w:r>
            <w:r>
              <w:rPr>
                <w:rFonts w:ascii="Arial" w:cs="Arial" w:eastAsia="Arial" w:hAnsi="Arial"/>
                <w:sz w:val="22"/>
                <w:szCs w:val="22"/>
                <w:color w:val="auto"/>
                <w:vertAlign w:val="superscript"/>
              </w:rPr>
              <w:t>(1)</w:t>
            </w:r>
          </w:p>
        </w:tc>
        <w:tc>
          <w:tcPr>
            <w:tcW w:w="480" w:type="dxa"/>
            <w:vAlign w:val="bottom"/>
          </w:tcPr>
          <w:p>
            <w:pPr>
              <w:ind w:left="28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7"/>
                <w:szCs w:val="17"/>
                <w:color w:val="auto"/>
              </w:rPr>
              <w:t>(0.02)</w:t>
            </w:r>
          </w:p>
        </w:tc>
        <w:tc>
          <w:tcPr>
            <w:tcW w:w="960" w:type="dxa"/>
            <w:vAlign w:val="bottom"/>
          </w:tcPr>
          <w:p>
            <w:pPr>
              <w:ind w:left="28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7"/>
                <w:szCs w:val="17"/>
                <w:color w:val="auto"/>
              </w:rPr>
              <w:t>0.54</w:t>
            </w:r>
          </w:p>
        </w:tc>
        <w:tc>
          <w:tcPr>
            <w:tcW w:w="480" w:type="dxa"/>
            <w:vAlign w:val="bottom"/>
          </w:tcPr>
          <w:p>
            <w:pPr>
              <w:ind w:left="28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7"/>
                <w:szCs w:val="17"/>
                <w:color w:val="auto"/>
              </w:rPr>
              <w:t>(0.00)</w:t>
            </w:r>
          </w:p>
        </w:tc>
        <w:tc>
          <w:tcPr>
            <w:tcW w:w="580" w:type="dxa"/>
            <w:vAlign w:val="bottom"/>
          </w:tcPr>
          <w:p>
            <w:pPr>
              <w:ind w:left="28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0.57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jc w:val="both"/>
        <w:ind w:left="126" w:right="100" w:hanging="126"/>
        <w:spacing w:after="0" w:line="234" w:lineRule="auto"/>
        <w:tabs>
          <w:tab w:leader="none" w:pos="162" w:val="left"/>
        </w:tabs>
        <w:numPr>
          <w:ilvl w:val="0"/>
          <w:numId w:val="2"/>
        </w:numPr>
        <w:rPr>
          <w:rFonts w:ascii="Arial" w:cs="Arial" w:eastAsia="Arial" w:hAnsi="Arial"/>
          <w:sz w:val="19"/>
          <w:szCs w:val="19"/>
          <w:color w:val="auto"/>
          <w:vertAlign w:val="superscript"/>
        </w:rPr>
      </w:pPr>
      <w:r>
        <w:rPr>
          <w:rFonts w:ascii="Arial" w:cs="Arial" w:eastAsia="Arial" w:hAnsi="Arial"/>
          <w:sz w:val="13"/>
          <w:szCs w:val="13"/>
          <w:color w:val="auto"/>
        </w:rPr>
        <w:t>EBITDA, Adjusted EBITDA, Adjusted Profit and Adjusted EPS are non-GAAP financial measures and should not be used in isolation or as a substitute for GasLog’s financial results presented in accordance with IFRS. For definitions and reconciliations of these measurements to the most directly comparable financial measures calculated and presented in accordance with IFRS, please refer to Exhibit II at the end of this press release.</w:t>
      </w:r>
    </w:p>
    <w:p>
      <w:pPr>
        <w:spacing w:after="0" w:line="204" w:lineRule="exact"/>
        <w:rPr>
          <w:sz w:val="20"/>
          <w:szCs w:val="20"/>
          <w:color w:val="auto"/>
        </w:rPr>
      </w:pPr>
    </w:p>
    <w:p>
      <w:pPr>
        <w:ind w:left="6" w:right="40"/>
        <w:spacing w:after="0" w:line="269" w:lineRule="auto"/>
        <w:rPr>
          <w:sz w:val="20"/>
          <w:szCs w:val="20"/>
          <w:color w:val="auto"/>
        </w:rPr>
      </w:pPr>
      <w:r>
        <w:rPr>
          <w:rFonts w:ascii="Arial" w:cs="Arial" w:eastAsia="Arial" w:hAnsi="Arial"/>
          <w:sz w:val="17"/>
          <w:szCs w:val="17"/>
          <w:color w:val="auto"/>
        </w:rPr>
        <w:t xml:space="preserve">There were 2,317 and 9,030 operating days for the quarter and the year ended December 31, 2018, respectively, as compared to 2,050 and 8,317 operating days for the quarter and the year ended December 31, 2017, respectively. The increase in operating days resulted mainly from the deliveries of the </w:t>
      </w:r>
      <w:r>
        <w:rPr>
          <w:rFonts w:ascii="Arial" w:cs="Arial" w:eastAsia="Arial" w:hAnsi="Arial"/>
          <w:sz w:val="17"/>
          <w:szCs w:val="17"/>
          <w:i w:val="1"/>
          <w:iCs w:val="1"/>
          <w:color w:val="auto"/>
        </w:rPr>
        <w:t>GasLog Houston,</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Hong Kong</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GasLog Genoa</w:t>
      </w:r>
      <w:r>
        <w:rPr>
          <w:rFonts w:ascii="Arial" w:cs="Arial" w:eastAsia="Arial" w:hAnsi="Arial"/>
          <w:sz w:val="17"/>
          <w:szCs w:val="17"/>
          <w:color w:val="auto"/>
        </w:rPr>
        <w:t xml:space="preserve"> on January 8, 2018, March 20, 2018 and March 29, 2018, respectively, partially offset by certain non-operating days for the vessels not operating under a long-term time charter and the off-hire days for four dry-dockings in 2018 (the </w:t>
      </w:r>
      <w:r>
        <w:rPr>
          <w:rFonts w:ascii="Arial" w:cs="Arial" w:eastAsia="Arial" w:hAnsi="Arial"/>
          <w:sz w:val="17"/>
          <w:szCs w:val="17"/>
          <w:i w:val="1"/>
          <w:iCs w:val="1"/>
          <w:color w:val="auto"/>
        </w:rPr>
        <w:t>GasLog Santiago,</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Sydney,</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Skagen</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GasLog Seattle</w:t>
      </w:r>
      <w:r>
        <w:rPr>
          <w:rFonts w:ascii="Arial" w:cs="Arial" w:eastAsia="Arial" w:hAnsi="Arial"/>
          <w:sz w:val="17"/>
          <w:szCs w:val="17"/>
          <w:color w:val="auto"/>
        </w:rPr>
        <w:t xml:space="preserve">), as opposed to only one dry-docking in 2017 (the </w:t>
      </w:r>
      <w:r>
        <w:rPr>
          <w:rFonts w:ascii="Arial" w:cs="Arial" w:eastAsia="Arial" w:hAnsi="Arial"/>
          <w:sz w:val="17"/>
          <w:szCs w:val="17"/>
          <w:i w:val="1"/>
          <w:iCs w:val="1"/>
          <w:color w:val="auto"/>
        </w:rPr>
        <w:t>GasLog Shanghai</w:t>
      </w:r>
      <w:r>
        <w:rPr>
          <w:rFonts w:ascii="Arial" w:cs="Arial" w:eastAsia="Arial" w:hAnsi="Arial"/>
          <w:sz w:val="17"/>
          <w:szCs w:val="17"/>
          <w:color w:val="auto"/>
        </w:rPr>
        <w:t>)</w:t>
      </w:r>
      <w:r>
        <w:rPr>
          <w:rFonts w:ascii="Arial" w:cs="Arial" w:eastAsia="Arial" w:hAnsi="Arial"/>
          <w:sz w:val="17"/>
          <w:szCs w:val="17"/>
          <w:i w:val="1"/>
          <w:iCs w:val="1"/>
          <w:color w:val="auto"/>
        </w:rPr>
        <w:t>.</w:t>
      </w:r>
    </w:p>
    <w:p>
      <w:pPr>
        <w:spacing w:after="0" w:line="202" w:lineRule="exact"/>
        <w:rPr>
          <w:sz w:val="20"/>
          <w:szCs w:val="20"/>
          <w:color w:val="auto"/>
        </w:rPr>
      </w:pPr>
    </w:p>
    <w:p>
      <w:pPr>
        <w:ind w:left="6" w:right="40"/>
        <w:spacing w:after="0" w:line="269" w:lineRule="auto"/>
        <w:rPr>
          <w:sz w:val="20"/>
          <w:szCs w:val="20"/>
          <w:color w:val="auto"/>
        </w:rPr>
      </w:pPr>
      <w:r>
        <w:rPr>
          <w:rFonts w:ascii="Arial" w:cs="Arial" w:eastAsia="Arial" w:hAnsi="Arial"/>
          <w:sz w:val="17"/>
          <w:szCs w:val="17"/>
          <w:color w:val="auto"/>
        </w:rPr>
        <w:t xml:space="preserve">Revenues were $188.6 million and $618.3 million for the quarter and the year ended December 31, 2018, respectively ($135.8 million and $525.2 million for the quarter and the year ended December 31, 2017, respectively). The increase was mainly driven by the new deliveries in our fleet (the </w:t>
      </w:r>
      <w:r>
        <w:rPr>
          <w:rFonts w:ascii="Arial" w:cs="Arial" w:eastAsia="Arial" w:hAnsi="Arial"/>
          <w:sz w:val="17"/>
          <w:szCs w:val="17"/>
          <w:i w:val="1"/>
          <w:iCs w:val="1"/>
          <w:color w:val="auto"/>
        </w:rPr>
        <w:t>GasLog Houston,</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Hong Kong</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GasLog Genoa</w:t>
      </w:r>
      <w:r>
        <w:rPr>
          <w:rFonts w:ascii="Arial" w:cs="Arial" w:eastAsia="Arial" w:hAnsi="Arial"/>
          <w:sz w:val="17"/>
          <w:szCs w:val="17"/>
          <w:color w:val="auto"/>
        </w:rPr>
        <w:t>) and the increased revenues from vessels operating in the spot market due to the significant increase in LNG shipping spot rates during the year as a whole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fourth quarter in particular, partially offset by a decrease due to the expiration of the initial time charters of the </w:t>
      </w:r>
      <w:r>
        <w:rPr>
          <w:rFonts w:ascii="Arial" w:cs="Arial" w:eastAsia="Arial" w:hAnsi="Arial"/>
          <w:sz w:val="17"/>
          <w:szCs w:val="17"/>
          <w:i w:val="1"/>
          <w:iCs w:val="1"/>
          <w:color w:val="auto"/>
        </w:rPr>
        <w:t>GasLog Shanghai</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Santiago</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GasLog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Sydney </w:t>
      </w:r>
      <w:r>
        <w:rPr>
          <w:rFonts w:ascii="Arial" w:cs="Arial" w:eastAsia="Arial" w:hAnsi="Arial"/>
          <w:sz w:val="17"/>
          <w:szCs w:val="17"/>
          <w:color w:val="auto"/>
        </w:rPr>
        <w:t>and the increase in off-hire days due to dry-dockings in 2018.</w:t>
      </w:r>
    </w:p>
    <w:p>
      <w:pPr>
        <w:spacing w:after="0" w:line="202" w:lineRule="exact"/>
        <w:rPr>
          <w:sz w:val="20"/>
          <w:szCs w:val="20"/>
          <w:color w:val="auto"/>
        </w:rPr>
      </w:pPr>
    </w:p>
    <w:p>
      <w:pPr>
        <w:ind w:left="6" w:right="40"/>
        <w:spacing w:after="0" w:line="285" w:lineRule="auto"/>
        <w:rPr>
          <w:sz w:val="20"/>
          <w:szCs w:val="20"/>
          <w:color w:val="auto"/>
        </w:rPr>
      </w:pPr>
      <w:r>
        <w:rPr>
          <w:rFonts w:ascii="Arial" w:cs="Arial" w:eastAsia="Arial" w:hAnsi="Arial"/>
          <w:sz w:val="16"/>
          <w:szCs w:val="16"/>
          <w:color w:val="auto"/>
        </w:rPr>
        <w:t>GasLog recognized gross revenues and gross voyage expenses and commissions of $57.9 million and $2.4 million, respectively, from the operation of its vessels in the Cool Pool during the quarter ended December 31, 2018 ($14.5 million and $3.6 million for the quarter ended December 31, 2017, respectively) and $102.3 million and $10.2 million, respectively, from the operations of its vessels in the Cool Pool during the year ended December 31, 2018 ($38.0 million and $9.1 million for the year ended December 31, 2017, respectively). Net pool allocation was negative $1.7 million and positive $17.8 million for the quarter and the year ended December 31, 2018, respectively (positive $3.9 million and $7.3 million for the quarter and the year ended December 31, 2017, respectively). The variances were attributable to the movement in the adjustment of the net pool results generated by the GasLog vessels in accordance with the pool distribution formula for the total fleet of the pool. The increase in GasLog’s total net pool performance during the quarter and year ended December 31, 2018 compared to the quarter and year ended December 31, 2017 was driven by higher spot rates and higher utilization achieved by all vessels trading in the Cool Pool. GasLog’s total net pool performance is presented below:</w:t>
      </w:r>
    </w:p>
    <w:p>
      <w:pPr>
        <w:spacing w:after="0" w:line="186" w:lineRule="exact"/>
        <w:rPr>
          <w:sz w:val="20"/>
          <w:szCs w:val="20"/>
          <w:color w:val="auto"/>
        </w:rPr>
      </w:pPr>
    </w:p>
    <w:tbl>
      <w:tblPr>
        <w:tblLayout w:type="fixed"/>
        <w:tblInd w:w="6" w:type="dxa"/>
        <w:tblCellMar>
          <w:top w:w="0" w:type="dxa"/>
          <w:left w:w="0" w:type="dxa"/>
          <w:bottom w:w="0" w:type="dxa"/>
          <w:right w:w="0" w:type="dxa"/>
        </w:tblCellMar>
      </w:tblPr>
      <w:tr>
        <w:trPr>
          <w:trHeight w:val="214"/>
        </w:trPr>
        <w:tc>
          <w:tcPr>
            <w:tcW w:w="4800" w:type="dxa"/>
            <w:vAlign w:val="bottom"/>
          </w:tcPr>
          <w:p>
            <w:pPr>
              <w:ind w:left="40"/>
              <w:spacing w:after="0"/>
              <w:rPr>
                <w:sz w:val="20"/>
                <w:szCs w:val="20"/>
                <w:color w:val="auto"/>
              </w:rPr>
            </w:pPr>
            <w:r>
              <w:rPr>
                <w:rFonts w:ascii="Arial" w:cs="Arial" w:eastAsia="Arial" w:hAnsi="Arial"/>
                <w:sz w:val="17"/>
                <w:szCs w:val="17"/>
                <w:b w:val="1"/>
                <w:bCs w:val="1"/>
                <w:i w:val="1"/>
                <w:iCs w:val="1"/>
                <w:color w:val="auto"/>
              </w:rPr>
              <w:t>Amounts in thousands of U.S. dollars</w:t>
            </w:r>
          </w:p>
        </w:tc>
        <w:tc>
          <w:tcPr>
            <w:tcW w:w="480" w:type="dxa"/>
            <w:vAlign w:val="bottom"/>
          </w:tcPr>
          <w:p>
            <w:pPr>
              <w:spacing w:after="0"/>
              <w:rPr>
                <w:sz w:val="18"/>
                <w:szCs w:val="18"/>
                <w:color w:val="auto"/>
              </w:rPr>
            </w:pPr>
          </w:p>
        </w:tc>
        <w:tc>
          <w:tcPr>
            <w:tcW w:w="2360" w:type="dxa"/>
            <w:vAlign w:val="bottom"/>
            <w:gridSpan w:val="3"/>
          </w:tcPr>
          <w:p>
            <w:pPr>
              <w:jc w:val="right"/>
              <w:ind w:right="54"/>
              <w:spacing w:after="0"/>
              <w:rPr>
                <w:sz w:val="20"/>
                <w:szCs w:val="20"/>
                <w:color w:val="auto"/>
              </w:rPr>
            </w:pPr>
            <w:r>
              <w:rPr>
                <w:rFonts w:ascii="Arial" w:cs="Arial" w:eastAsia="Arial" w:hAnsi="Arial"/>
                <w:sz w:val="17"/>
                <w:szCs w:val="17"/>
                <w:b w:val="1"/>
                <w:bCs w:val="1"/>
                <w:color w:val="auto"/>
                <w:w w:val="97"/>
              </w:rPr>
              <w:t>For the three months ended</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40" w:type="dxa"/>
            <w:vAlign w:val="bottom"/>
            <w:gridSpan w:val="3"/>
          </w:tcPr>
          <w:p>
            <w:pPr>
              <w:ind w:left="540"/>
              <w:spacing w:after="0"/>
              <w:rPr>
                <w:sz w:val="20"/>
                <w:szCs w:val="20"/>
                <w:color w:val="auto"/>
              </w:rPr>
            </w:pPr>
            <w:r>
              <w:rPr>
                <w:rFonts w:ascii="Arial" w:cs="Arial" w:eastAsia="Arial" w:hAnsi="Arial"/>
                <w:sz w:val="17"/>
                <w:szCs w:val="17"/>
                <w:b w:val="1"/>
                <w:bCs w:val="1"/>
                <w:color w:val="auto"/>
                <w:w w:val="90"/>
              </w:rPr>
              <w:t>For the year ended</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4"/>
        </w:trPr>
        <w:tc>
          <w:tcPr>
            <w:tcW w:w="4800" w:type="dxa"/>
            <w:vAlign w:val="bottom"/>
          </w:tcPr>
          <w:p>
            <w:pPr>
              <w:spacing w:after="0"/>
              <w:rPr>
                <w:sz w:val="18"/>
                <w:szCs w:val="18"/>
                <w:color w:val="auto"/>
              </w:rPr>
            </w:pPr>
          </w:p>
        </w:tc>
        <w:tc>
          <w:tcPr>
            <w:tcW w:w="1840" w:type="dxa"/>
            <w:vAlign w:val="bottom"/>
            <w:gridSpan w:val="3"/>
          </w:tcPr>
          <w:p>
            <w:pPr>
              <w:ind w:left="280"/>
              <w:spacing w:after="0"/>
              <w:rPr>
                <w:sz w:val="20"/>
                <w:szCs w:val="20"/>
                <w:color w:val="auto"/>
              </w:rPr>
            </w:pPr>
            <w:r>
              <w:rPr>
                <w:rFonts w:ascii="Arial" w:cs="Arial" w:eastAsia="Arial" w:hAnsi="Arial"/>
                <w:sz w:val="17"/>
                <w:szCs w:val="17"/>
                <w:b w:val="1"/>
                <w:bCs w:val="1"/>
                <w:color w:val="auto"/>
              </w:rPr>
              <w:t>December 31,</w:t>
            </w:r>
          </w:p>
        </w:tc>
        <w:tc>
          <w:tcPr>
            <w:tcW w:w="1840" w:type="dxa"/>
            <w:vAlign w:val="bottom"/>
            <w:gridSpan w:val="3"/>
          </w:tcPr>
          <w:p>
            <w:pPr>
              <w:ind w:left="280"/>
              <w:spacing w:after="0"/>
              <w:rPr>
                <w:sz w:val="20"/>
                <w:szCs w:val="20"/>
                <w:color w:val="auto"/>
              </w:rPr>
            </w:pPr>
            <w:r>
              <w:rPr>
                <w:rFonts w:ascii="Arial" w:cs="Arial" w:eastAsia="Arial" w:hAnsi="Arial"/>
                <w:sz w:val="17"/>
                <w:szCs w:val="17"/>
                <w:b w:val="1"/>
                <w:bCs w:val="1"/>
                <w:color w:val="auto"/>
              </w:rPr>
              <w:t>December 31,</w:t>
            </w:r>
          </w:p>
        </w:tc>
        <w:tc>
          <w:tcPr>
            <w:tcW w:w="1840" w:type="dxa"/>
            <w:vAlign w:val="bottom"/>
            <w:gridSpan w:val="3"/>
          </w:tcPr>
          <w:p>
            <w:pPr>
              <w:ind w:left="280"/>
              <w:spacing w:after="0"/>
              <w:rPr>
                <w:sz w:val="20"/>
                <w:szCs w:val="20"/>
                <w:color w:val="auto"/>
              </w:rPr>
            </w:pPr>
            <w:r>
              <w:rPr>
                <w:rFonts w:ascii="Arial" w:cs="Arial" w:eastAsia="Arial" w:hAnsi="Arial"/>
                <w:sz w:val="17"/>
                <w:szCs w:val="17"/>
                <w:b w:val="1"/>
                <w:bCs w:val="1"/>
                <w:color w:val="auto"/>
              </w:rPr>
              <w:t>December 31,</w:t>
            </w:r>
          </w:p>
        </w:tc>
        <w:tc>
          <w:tcPr>
            <w:tcW w:w="1680" w:type="dxa"/>
            <w:vAlign w:val="bottom"/>
            <w:gridSpan w:val="3"/>
          </w:tcPr>
          <w:p>
            <w:pPr>
              <w:ind w:left="280"/>
              <w:spacing w:after="0"/>
              <w:rPr>
                <w:sz w:val="20"/>
                <w:szCs w:val="20"/>
                <w:color w:val="auto"/>
              </w:rPr>
            </w:pPr>
            <w:r>
              <w:rPr>
                <w:rFonts w:ascii="Arial" w:cs="Arial" w:eastAsia="Arial" w:hAnsi="Arial"/>
                <w:sz w:val="17"/>
                <w:szCs w:val="17"/>
                <w:b w:val="1"/>
                <w:bCs w:val="1"/>
                <w:color w:val="auto"/>
              </w:rPr>
              <w:t>December 31,</w:t>
            </w:r>
          </w:p>
        </w:tc>
      </w:tr>
      <w:tr>
        <w:trPr>
          <w:trHeight w:val="224"/>
        </w:trPr>
        <w:tc>
          <w:tcPr>
            <w:tcW w:w="4800" w:type="dxa"/>
            <w:vAlign w:val="bottom"/>
            <w:tcBorders>
              <w:bottom w:val="single" w:sz="8" w:color="E5FF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2017</w:t>
            </w:r>
          </w:p>
        </w:tc>
        <w:tc>
          <w:tcPr>
            <w:tcW w:w="300" w:type="dxa"/>
            <w:vAlign w:val="bottom"/>
            <w:tcBorders>
              <w:bottom w:val="single" w:sz="8" w:color="E5FF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2018</w:t>
            </w:r>
          </w:p>
        </w:tc>
        <w:tc>
          <w:tcPr>
            <w:tcW w:w="540" w:type="dxa"/>
            <w:vAlign w:val="bottom"/>
            <w:tcBorders>
              <w:bottom w:val="single" w:sz="8" w:color="auto"/>
            </w:tcBorders>
          </w:tcPr>
          <w:p>
            <w:pPr>
              <w:spacing w:after="0"/>
              <w:rPr>
                <w:sz w:val="19"/>
                <w:szCs w:val="19"/>
                <w:color w:val="auto"/>
              </w:rPr>
            </w:pPr>
          </w:p>
        </w:tc>
        <w:tc>
          <w:tcPr>
            <w:tcW w:w="300" w:type="dxa"/>
            <w:vAlign w:val="bottom"/>
            <w:tcBorders>
              <w:bottom w:val="single" w:sz="8" w:color="E5FF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2017</w:t>
            </w:r>
          </w:p>
        </w:tc>
        <w:tc>
          <w:tcPr>
            <w:tcW w:w="300" w:type="dxa"/>
            <w:vAlign w:val="bottom"/>
            <w:tcBorders>
              <w:bottom w:val="single" w:sz="8" w:color="E5FF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w w:val="95"/>
              </w:rPr>
              <w:t>2018</w:t>
            </w:r>
          </w:p>
        </w:tc>
        <w:tc>
          <w:tcPr>
            <w:tcW w:w="120" w:type="dxa"/>
            <w:vAlign w:val="bottom"/>
            <w:tcBorders>
              <w:bottom w:val="single" w:sz="8" w:color="E5FFFF"/>
            </w:tcBorders>
          </w:tcPr>
          <w:p>
            <w:pPr>
              <w:spacing w:after="0"/>
              <w:rPr>
                <w:sz w:val="19"/>
                <w:szCs w:val="19"/>
                <w:color w:val="auto"/>
              </w:rPr>
            </w:pPr>
          </w:p>
        </w:tc>
      </w:tr>
      <w:tr>
        <w:trPr>
          <w:trHeight w:val="214"/>
        </w:trPr>
        <w:tc>
          <w:tcPr>
            <w:tcW w:w="4800" w:type="dxa"/>
            <w:vAlign w:val="bottom"/>
            <w:shd w:val="clear" w:color="auto" w:fill="E5FFFF"/>
          </w:tcPr>
          <w:p>
            <w:pPr>
              <w:spacing w:after="0"/>
              <w:rPr>
                <w:sz w:val="20"/>
                <w:szCs w:val="20"/>
                <w:color w:val="auto"/>
              </w:rPr>
            </w:pPr>
            <w:r>
              <w:rPr>
                <w:rFonts w:ascii="Arial" w:cs="Arial" w:eastAsia="Arial" w:hAnsi="Arial"/>
                <w:sz w:val="17"/>
                <w:szCs w:val="17"/>
                <w:color w:val="auto"/>
              </w:rPr>
              <w:t>Pool gross revenues (included in Revenues)</w:t>
            </w:r>
          </w:p>
        </w:tc>
        <w:tc>
          <w:tcPr>
            <w:tcW w:w="480" w:type="dxa"/>
            <w:vAlign w:val="bottom"/>
            <w:shd w:val="clear" w:color="auto" w:fill="E5FFFF"/>
          </w:tcPr>
          <w:p>
            <w:pPr>
              <w:ind w:left="280"/>
              <w:spacing w:after="0"/>
              <w:rPr>
                <w:sz w:val="20"/>
                <w:szCs w:val="20"/>
                <w:color w:val="auto"/>
              </w:rPr>
            </w:pPr>
            <w:r>
              <w:rPr>
                <w:rFonts w:ascii="Arial" w:cs="Arial" w:eastAsia="Arial" w:hAnsi="Arial"/>
                <w:sz w:val="17"/>
                <w:szCs w:val="17"/>
                <w:color w:val="auto"/>
              </w:rPr>
              <w:t>$</w:t>
            </w:r>
          </w:p>
        </w:tc>
        <w:tc>
          <w:tcPr>
            <w:tcW w:w="106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14,522</w:t>
            </w:r>
          </w:p>
        </w:tc>
        <w:tc>
          <w:tcPr>
            <w:tcW w:w="300" w:type="dxa"/>
            <w:vAlign w:val="bottom"/>
            <w:shd w:val="clear" w:color="auto" w:fill="E5FFFF"/>
          </w:tcPr>
          <w:p>
            <w:pPr>
              <w:spacing w:after="0"/>
              <w:rPr>
                <w:sz w:val="18"/>
                <w:szCs w:val="18"/>
                <w:color w:val="auto"/>
              </w:rPr>
            </w:pPr>
          </w:p>
        </w:tc>
        <w:tc>
          <w:tcPr>
            <w:tcW w:w="1000" w:type="dxa"/>
            <w:vAlign w:val="bottom"/>
            <w:shd w:val="clear" w:color="auto" w:fill="E5FFFF"/>
          </w:tcPr>
          <w:p>
            <w:pPr>
              <w:ind w:left="280"/>
              <w:spacing w:after="0"/>
              <w:rPr>
                <w:sz w:val="20"/>
                <w:szCs w:val="20"/>
                <w:color w:val="auto"/>
              </w:rPr>
            </w:pPr>
            <w:r>
              <w:rPr>
                <w:rFonts w:ascii="Arial" w:cs="Arial" w:eastAsia="Arial" w:hAnsi="Arial"/>
                <w:sz w:val="17"/>
                <w:szCs w:val="17"/>
                <w:color w:val="auto"/>
              </w:rPr>
              <w:t>$</w:t>
            </w:r>
          </w:p>
        </w:tc>
        <w:tc>
          <w:tcPr>
            <w:tcW w:w="540" w:type="dxa"/>
            <w:vAlign w:val="bottom"/>
            <w:shd w:val="clear" w:color="auto" w:fill="E5FFFF"/>
          </w:tcPr>
          <w:p>
            <w:pPr>
              <w:jc w:val="right"/>
              <w:spacing w:after="0"/>
              <w:rPr>
                <w:sz w:val="20"/>
                <w:szCs w:val="20"/>
                <w:color w:val="auto"/>
              </w:rPr>
            </w:pPr>
            <w:r>
              <w:rPr>
                <w:rFonts w:ascii="Arial" w:cs="Arial" w:eastAsia="Arial" w:hAnsi="Arial"/>
                <w:sz w:val="17"/>
                <w:szCs w:val="17"/>
                <w:color w:val="auto"/>
                <w:w w:val="99"/>
              </w:rPr>
              <w:t>57,854</w:t>
            </w:r>
          </w:p>
        </w:tc>
        <w:tc>
          <w:tcPr>
            <w:tcW w:w="300" w:type="dxa"/>
            <w:vAlign w:val="bottom"/>
            <w:shd w:val="clear" w:color="auto" w:fill="E5FFFF"/>
          </w:tcPr>
          <w:p>
            <w:pPr>
              <w:spacing w:after="0"/>
              <w:rPr>
                <w:sz w:val="18"/>
                <w:szCs w:val="18"/>
                <w:color w:val="auto"/>
              </w:rPr>
            </w:pPr>
          </w:p>
        </w:tc>
        <w:tc>
          <w:tcPr>
            <w:tcW w:w="480" w:type="dxa"/>
            <w:vAlign w:val="bottom"/>
            <w:shd w:val="clear" w:color="auto" w:fill="E5FFFF"/>
          </w:tcPr>
          <w:p>
            <w:pPr>
              <w:ind w:left="280"/>
              <w:spacing w:after="0"/>
              <w:rPr>
                <w:sz w:val="20"/>
                <w:szCs w:val="20"/>
                <w:color w:val="auto"/>
              </w:rPr>
            </w:pPr>
            <w:r>
              <w:rPr>
                <w:rFonts w:ascii="Arial" w:cs="Arial" w:eastAsia="Arial" w:hAnsi="Arial"/>
                <w:sz w:val="17"/>
                <w:szCs w:val="17"/>
                <w:color w:val="auto"/>
              </w:rPr>
              <w:t>$</w:t>
            </w:r>
          </w:p>
        </w:tc>
        <w:tc>
          <w:tcPr>
            <w:tcW w:w="1060" w:type="dxa"/>
            <w:vAlign w:val="bottom"/>
            <w:shd w:val="clear" w:color="auto" w:fill="E5FFFF"/>
          </w:tcPr>
          <w:p>
            <w:pPr>
              <w:jc w:val="right"/>
              <w:spacing w:after="0"/>
              <w:rPr>
                <w:sz w:val="20"/>
                <w:szCs w:val="20"/>
                <w:color w:val="auto"/>
              </w:rPr>
            </w:pPr>
            <w:r>
              <w:rPr>
                <w:rFonts w:ascii="Arial" w:cs="Arial" w:eastAsia="Arial" w:hAnsi="Arial"/>
                <w:sz w:val="17"/>
                <w:szCs w:val="17"/>
                <w:color w:val="auto"/>
              </w:rPr>
              <w:t>38,046</w:t>
            </w:r>
          </w:p>
        </w:tc>
        <w:tc>
          <w:tcPr>
            <w:tcW w:w="300" w:type="dxa"/>
            <w:vAlign w:val="bottom"/>
            <w:shd w:val="clear" w:color="auto" w:fill="E5FFFF"/>
          </w:tcPr>
          <w:p>
            <w:pPr>
              <w:spacing w:after="0"/>
              <w:rPr>
                <w:sz w:val="18"/>
                <w:szCs w:val="18"/>
                <w:color w:val="auto"/>
              </w:rPr>
            </w:pPr>
          </w:p>
        </w:tc>
        <w:tc>
          <w:tcPr>
            <w:tcW w:w="580" w:type="dxa"/>
            <w:vAlign w:val="bottom"/>
            <w:shd w:val="clear" w:color="auto" w:fill="E5FFFF"/>
          </w:tcPr>
          <w:p>
            <w:pPr>
              <w:ind w:left="280"/>
              <w:spacing w:after="0"/>
              <w:rPr>
                <w:sz w:val="20"/>
                <w:szCs w:val="20"/>
                <w:color w:val="auto"/>
              </w:rPr>
            </w:pPr>
            <w:r>
              <w:rPr>
                <w:rFonts w:ascii="Arial" w:cs="Arial" w:eastAsia="Arial" w:hAnsi="Arial"/>
                <w:sz w:val="17"/>
                <w:szCs w:val="17"/>
                <w:color w:val="auto"/>
              </w:rPr>
              <w:t>$</w:t>
            </w:r>
          </w:p>
        </w:tc>
        <w:tc>
          <w:tcPr>
            <w:tcW w:w="98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102,253</w:t>
            </w:r>
          </w:p>
        </w:tc>
        <w:tc>
          <w:tcPr>
            <w:tcW w:w="120" w:type="dxa"/>
            <w:vAlign w:val="bottom"/>
            <w:shd w:val="clear" w:color="auto" w:fill="E5FFFF"/>
          </w:tcPr>
          <w:p>
            <w:pPr>
              <w:spacing w:after="0"/>
              <w:rPr>
                <w:sz w:val="18"/>
                <w:szCs w:val="18"/>
                <w:color w:val="auto"/>
              </w:rPr>
            </w:pPr>
          </w:p>
        </w:tc>
      </w:tr>
      <w:tr>
        <w:trPr>
          <w:trHeight w:val="204"/>
        </w:trPr>
        <w:tc>
          <w:tcPr>
            <w:tcW w:w="4800" w:type="dxa"/>
            <w:vAlign w:val="bottom"/>
          </w:tcPr>
          <w:p>
            <w:pPr>
              <w:spacing w:after="0"/>
              <w:rPr>
                <w:sz w:val="20"/>
                <w:szCs w:val="20"/>
                <w:color w:val="auto"/>
              </w:rPr>
            </w:pPr>
            <w:r>
              <w:rPr>
                <w:rFonts w:ascii="Arial" w:cs="Arial" w:eastAsia="Arial" w:hAnsi="Arial"/>
                <w:sz w:val="17"/>
                <w:szCs w:val="17"/>
                <w:color w:val="auto"/>
                <w:w w:val="94"/>
              </w:rPr>
              <w:t>Pool gross voyage expenses and commissions (included in Voyage</w:t>
            </w: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4800" w:type="dxa"/>
            <w:vAlign w:val="bottom"/>
          </w:tcPr>
          <w:p>
            <w:pPr>
              <w:ind w:left="180"/>
              <w:spacing w:after="0"/>
              <w:rPr>
                <w:sz w:val="20"/>
                <w:szCs w:val="20"/>
                <w:color w:val="auto"/>
              </w:rPr>
            </w:pPr>
            <w:r>
              <w:rPr>
                <w:rFonts w:ascii="Arial" w:cs="Arial" w:eastAsia="Arial" w:hAnsi="Arial"/>
                <w:sz w:val="17"/>
                <w:szCs w:val="17"/>
                <w:color w:val="auto"/>
              </w:rPr>
              <w:t>expenses and commissions)</w:t>
            </w:r>
          </w:p>
        </w:tc>
        <w:tc>
          <w:tcPr>
            <w:tcW w:w="48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7"/>
                <w:szCs w:val="17"/>
                <w:color w:val="auto"/>
              </w:rPr>
              <w:t>(3,580)</w:t>
            </w:r>
          </w:p>
        </w:tc>
        <w:tc>
          <w:tcPr>
            <w:tcW w:w="10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7"/>
                <w:szCs w:val="17"/>
                <w:color w:val="auto"/>
              </w:rPr>
              <w:t>(2,385)</w:t>
            </w:r>
          </w:p>
        </w:tc>
        <w:tc>
          <w:tcPr>
            <w:tcW w:w="48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7"/>
                <w:szCs w:val="17"/>
                <w:color w:val="auto"/>
              </w:rPr>
              <w:t>(9,122)</w:t>
            </w:r>
          </w:p>
        </w:tc>
        <w:tc>
          <w:tcPr>
            <w:tcW w:w="5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(10,154)</w:t>
            </w:r>
          </w:p>
        </w:tc>
      </w:tr>
      <w:tr>
        <w:trPr>
          <w:trHeight w:val="211"/>
        </w:trPr>
        <w:tc>
          <w:tcPr>
            <w:tcW w:w="4800" w:type="dxa"/>
            <w:vAlign w:val="bottom"/>
            <w:shd w:val="clear" w:color="auto" w:fill="E5FFFF"/>
          </w:tcPr>
          <w:p>
            <w:pPr>
              <w:spacing w:after="0"/>
              <w:rPr>
                <w:sz w:val="20"/>
                <w:szCs w:val="20"/>
                <w:color w:val="auto"/>
              </w:rPr>
            </w:pPr>
            <w:r>
              <w:rPr>
                <w:rFonts w:ascii="Arial" w:cs="Arial" w:eastAsia="Arial" w:hAnsi="Arial"/>
                <w:sz w:val="17"/>
                <w:szCs w:val="17"/>
                <w:color w:val="auto"/>
                <w:w w:val="98"/>
              </w:rPr>
              <w:t>GasLog’s adjustment for net pool allocation (included in Net pool</w:t>
            </w:r>
          </w:p>
        </w:tc>
        <w:tc>
          <w:tcPr>
            <w:tcW w:w="480" w:type="dxa"/>
            <w:vAlign w:val="bottom"/>
            <w:shd w:val="clear" w:color="auto" w:fill="E5FFFF"/>
          </w:tcPr>
          <w:p>
            <w:pPr>
              <w:spacing w:after="0"/>
              <w:rPr>
                <w:sz w:val="18"/>
                <w:szCs w:val="18"/>
                <w:color w:val="auto"/>
              </w:rPr>
            </w:pPr>
          </w:p>
        </w:tc>
        <w:tc>
          <w:tcPr>
            <w:tcW w:w="10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000" w:type="dxa"/>
            <w:vAlign w:val="bottom"/>
            <w:shd w:val="clear" w:color="auto" w:fill="E5FFFF"/>
          </w:tcPr>
          <w:p>
            <w:pPr>
              <w:spacing w:after="0"/>
              <w:rPr>
                <w:sz w:val="18"/>
                <w:szCs w:val="18"/>
                <w:color w:val="auto"/>
              </w:rPr>
            </w:pPr>
          </w:p>
        </w:tc>
        <w:tc>
          <w:tcPr>
            <w:tcW w:w="5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480" w:type="dxa"/>
            <w:vAlign w:val="bottom"/>
            <w:shd w:val="clear" w:color="auto" w:fill="E5FFFF"/>
          </w:tcPr>
          <w:p>
            <w:pPr>
              <w:spacing w:after="0"/>
              <w:rPr>
                <w:sz w:val="18"/>
                <w:szCs w:val="18"/>
                <w:color w:val="auto"/>
              </w:rPr>
            </w:pPr>
          </w:p>
        </w:tc>
        <w:tc>
          <w:tcPr>
            <w:tcW w:w="10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9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r>
      <w:tr>
        <w:trPr>
          <w:trHeight w:val="224"/>
        </w:trPr>
        <w:tc>
          <w:tcPr>
            <w:tcW w:w="4800" w:type="dxa"/>
            <w:vAlign w:val="bottom"/>
            <w:shd w:val="clear" w:color="auto" w:fill="E5FFFF"/>
          </w:tcPr>
          <w:p>
            <w:pPr>
              <w:ind w:left="180"/>
              <w:spacing w:after="0"/>
              <w:rPr>
                <w:sz w:val="20"/>
                <w:szCs w:val="20"/>
                <w:color w:val="auto"/>
              </w:rPr>
            </w:pPr>
            <w:r>
              <w:rPr>
                <w:rFonts w:ascii="Arial" w:cs="Arial" w:eastAsia="Arial" w:hAnsi="Arial"/>
                <w:sz w:val="17"/>
                <w:szCs w:val="17"/>
                <w:color w:val="auto"/>
              </w:rPr>
              <w:t>allocation)</w:t>
            </w:r>
          </w:p>
        </w:tc>
        <w:tc>
          <w:tcPr>
            <w:tcW w:w="480" w:type="dxa"/>
            <w:vAlign w:val="bottom"/>
            <w:shd w:val="clear" w:color="auto" w:fill="E5FFFF"/>
          </w:tcPr>
          <w:p>
            <w:pPr>
              <w:spacing w:after="0"/>
              <w:rPr>
                <w:sz w:val="19"/>
                <w:szCs w:val="19"/>
                <w:color w:val="auto"/>
              </w:rPr>
            </w:pPr>
          </w:p>
        </w:tc>
        <w:tc>
          <w:tcPr>
            <w:tcW w:w="1060" w:type="dxa"/>
            <w:vAlign w:val="bottom"/>
            <w:shd w:val="clear" w:color="auto" w:fill="E5FFFF"/>
          </w:tcPr>
          <w:p>
            <w:pPr>
              <w:jc w:val="right"/>
              <w:spacing w:after="0"/>
              <w:rPr>
                <w:sz w:val="20"/>
                <w:szCs w:val="20"/>
                <w:color w:val="auto"/>
              </w:rPr>
            </w:pPr>
            <w:r>
              <w:rPr>
                <w:rFonts w:ascii="Arial" w:cs="Arial" w:eastAsia="Arial" w:hAnsi="Arial"/>
                <w:sz w:val="17"/>
                <w:szCs w:val="17"/>
                <w:color w:val="auto"/>
              </w:rPr>
              <w:t>3,893</w:t>
            </w:r>
          </w:p>
        </w:tc>
        <w:tc>
          <w:tcPr>
            <w:tcW w:w="300" w:type="dxa"/>
            <w:vAlign w:val="bottom"/>
            <w:shd w:val="clear" w:color="auto" w:fill="E5FFFF"/>
          </w:tcPr>
          <w:p>
            <w:pPr>
              <w:spacing w:after="0"/>
              <w:rPr>
                <w:sz w:val="19"/>
                <w:szCs w:val="19"/>
                <w:color w:val="auto"/>
              </w:rPr>
            </w:pPr>
          </w:p>
        </w:tc>
        <w:tc>
          <w:tcPr>
            <w:tcW w:w="1000" w:type="dxa"/>
            <w:vAlign w:val="bottom"/>
            <w:shd w:val="clear" w:color="auto" w:fill="E5FFFF"/>
          </w:tcPr>
          <w:p>
            <w:pPr>
              <w:spacing w:after="0"/>
              <w:rPr>
                <w:sz w:val="19"/>
                <w:szCs w:val="19"/>
                <w:color w:val="auto"/>
              </w:rPr>
            </w:pPr>
          </w:p>
        </w:tc>
        <w:tc>
          <w:tcPr>
            <w:tcW w:w="840" w:type="dxa"/>
            <w:vAlign w:val="bottom"/>
            <w:gridSpan w:val="2"/>
            <w:shd w:val="clear" w:color="auto" w:fill="E5FFFF"/>
          </w:tcPr>
          <w:p>
            <w:pPr>
              <w:jc w:val="right"/>
              <w:ind w:right="240"/>
              <w:spacing w:after="0"/>
              <w:rPr>
                <w:sz w:val="20"/>
                <w:szCs w:val="20"/>
                <w:color w:val="auto"/>
              </w:rPr>
            </w:pPr>
            <w:r>
              <w:rPr>
                <w:rFonts w:ascii="Arial" w:cs="Arial" w:eastAsia="Arial" w:hAnsi="Arial"/>
                <w:sz w:val="17"/>
                <w:szCs w:val="17"/>
                <w:color w:val="auto"/>
              </w:rPr>
              <w:t>(1,675)</w:t>
            </w:r>
          </w:p>
        </w:tc>
        <w:tc>
          <w:tcPr>
            <w:tcW w:w="480" w:type="dxa"/>
            <w:vAlign w:val="bottom"/>
            <w:shd w:val="clear" w:color="auto" w:fill="E5FFFF"/>
          </w:tcPr>
          <w:p>
            <w:pPr>
              <w:spacing w:after="0"/>
              <w:rPr>
                <w:sz w:val="19"/>
                <w:szCs w:val="19"/>
                <w:color w:val="auto"/>
              </w:rPr>
            </w:pPr>
          </w:p>
        </w:tc>
        <w:tc>
          <w:tcPr>
            <w:tcW w:w="1060" w:type="dxa"/>
            <w:vAlign w:val="bottom"/>
            <w:shd w:val="clear" w:color="auto" w:fill="E5FFFF"/>
          </w:tcPr>
          <w:p>
            <w:pPr>
              <w:jc w:val="right"/>
              <w:spacing w:after="0"/>
              <w:rPr>
                <w:sz w:val="20"/>
                <w:szCs w:val="20"/>
                <w:color w:val="auto"/>
              </w:rPr>
            </w:pPr>
            <w:r>
              <w:rPr>
                <w:rFonts w:ascii="Arial" w:cs="Arial" w:eastAsia="Arial" w:hAnsi="Arial"/>
                <w:sz w:val="17"/>
                <w:szCs w:val="17"/>
                <w:color w:val="auto"/>
              </w:rPr>
              <w:t>7,254</w:t>
            </w:r>
          </w:p>
        </w:tc>
        <w:tc>
          <w:tcPr>
            <w:tcW w:w="300" w:type="dxa"/>
            <w:vAlign w:val="bottom"/>
            <w:shd w:val="clear" w:color="auto" w:fill="E5FFFF"/>
          </w:tcPr>
          <w:p>
            <w:pPr>
              <w:spacing w:after="0"/>
              <w:rPr>
                <w:sz w:val="19"/>
                <w:szCs w:val="19"/>
                <w:color w:val="auto"/>
              </w:rPr>
            </w:pPr>
          </w:p>
        </w:tc>
        <w:tc>
          <w:tcPr>
            <w:tcW w:w="580" w:type="dxa"/>
            <w:vAlign w:val="bottom"/>
            <w:shd w:val="clear" w:color="auto" w:fill="E5FFFF"/>
          </w:tcPr>
          <w:p>
            <w:pPr>
              <w:spacing w:after="0"/>
              <w:rPr>
                <w:sz w:val="19"/>
                <w:szCs w:val="19"/>
                <w:color w:val="auto"/>
              </w:rPr>
            </w:pPr>
          </w:p>
        </w:tc>
        <w:tc>
          <w:tcPr>
            <w:tcW w:w="98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17,818</w:t>
            </w:r>
          </w:p>
        </w:tc>
        <w:tc>
          <w:tcPr>
            <w:tcW w:w="120" w:type="dxa"/>
            <w:vAlign w:val="bottom"/>
            <w:shd w:val="clear" w:color="auto" w:fill="E5FFFF"/>
          </w:tcPr>
          <w:p>
            <w:pPr>
              <w:spacing w:after="0"/>
              <w:rPr>
                <w:sz w:val="19"/>
                <w:szCs w:val="19"/>
                <w:color w:val="auto"/>
              </w:rPr>
            </w:pPr>
          </w:p>
        </w:tc>
      </w:tr>
      <w:tr>
        <w:trPr>
          <w:trHeight w:val="208"/>
        </w:trPr>
        <w:tc>
          <w:tcPr>
            <w:tcW w:w="4800" w:type="dxa"/>
            <w:vAlign w:val="bottom"/>
          </w:tcPr>
          <w:p>
            <w:pPr>
              <w:spacing w:after="0"/>
              <w:rPr>
                <w:sz w:val="20"/>
                <w:szCs w:val="20"/>
                <w:color w:val="auto"/>
              </w:rPr>
            </w:pPr>
            <w:r>
              <w:rPr>
                <w:rFonts w:ascii="Arial" w:cs="Arial" w:eastAsia="Arial" w:hAnsi="Arial"/>
                <w:sz w:val="17"/>
                <w:szCs w:val="17"/>
                <w:b w:val="1"/>
                <w:bCs w:val="1"/>
                <w:color w:val="auto"/>
              </w:rPr>
              <w:t>GasLog’s total net pool performance</w:t>
            </w:r>
          </w:p>
        </w:tc>
        <w:tc>
          <w:tcPr>
            <w:tcW w:w="48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7"/>
                <w:szCs w:val="17"/>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14,835</w:t>
            </w:r>
          </w:p>
        </w:tc>
        <w:tc>
          <w:tcPr>
            <w:tcW w:w="300" w:type="dxa"/>
            <w:vAlign w:val="bottom"/>
          </w:tcPr>
          <w:p>
            <w:pPr>
              <w:spacing w:after="0"/>
              <w:rPr>
                <w:sz w:val="18"/>
                <w:szCs w:val="18"/>
                <w:color w:val="auto"/>
              </w:rPr>
            </w:pPr>
          </w:p>
        </w:tc>
        <w:tc>
          <w:tcPr>
            <w:tcW w:w="100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7"/>
                <w:szCs w:val="17"/>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9"/>
              </w:rPr>
              <w:t>53,794</w:t>
            </w:r>
          </w:p>
        </w:tc>
        <w:tc>
          <w:tcPr>
            <w:tcW w:w="300" w:type="dxa"/>
            <w:vAlign w:val="bottom"/>
          </w:tcPr>
          <w:p>
            <w:pPr>
              <w:spacing w:after="0"/>
              <w:rPr>
                <w:sz w:val="18"/>
                <w:szCs w:val="18"/>
                <w:color w:val="auto"/>
              </w:rPr>
            </w:pPr>
          </w:p>
        </w:tc>
        <w:tc>
          <w:tcPr>
            <w:tcW w:w="48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7"/>
                <w:szCs w:val="17"/>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36,178</w:t>
            </w:r>
          </w:p>
        </w:tc>
        <w:tc>
          <w:tcPr>
            <w:tcW w:w="300" w:type="dxa"/>
            <w:vAlign w:val="bottom"/>
          </w:tcPr>
          <w:p>
            <w:pPr>
              <w:spacing w:after="0"/>
              <w:rPr>
                <w:sz w:val="18"/>
                <w:szCs w:val="18"/>
                <w:color w:val="auto"/>
              </w:rPr>
            </w:pPr>
          </w:p>
        </w:tc>
        <w:tc>
          <w:tcPr>
            <w:tcW w:w="58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7"/>
                <w:szCs w:val="17"/>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109,917</w:t>
            </w:r>
          </w:p>
        </w:tc>
        <w:tc>
          <w:tcPr>
            <w:tcW w:w="120" w:type="dxa"/>
            <w:vAlign w:val="bottom"/>
          </w:tcPr>
          <w:p>
            <w:pPr>
              <w:spacing w:after="0"/>
              <w:rPr>
                <w:sz w:val="18"/>
                <w:szCs w:val="18"/>
                <w:color w:val="auto"/>
              </w:rPr>
            </w:pPr>
          </w:p>
        </w:tc>
      </w:tr>
    </w:tbl>
    <w:p>
      <w:pPr>
        <w:spacing w:after="0" w:line="219" w:lineRule="exact"/>
        <w:rPr>
          <w:sz w:val="20"/>
          <w:szCs w:val="20"/>
          <w:color w:val="auto"/>
        </w:rPr>
      </w:pPr>
    </w:p>
    <w:p>
      <w:pPr>
        <w:ind w:left="6" w:right="20"/>
        <w:spacing w:after="0" w:line="271" w:lineRule="auto"/>
        <w:rPr>
          <w:sz w:val="20"/>
          <w:szCs w:val="20"/>
          <w:color w:val="auto"/>
        </w:rPr>
      </w:pPr>
      <w:r>
        <w:rPr>
          <w:rFonts w:ascii="Arial" w:cs="Arial" w:eastAsia="Arial" w:hAnsi="Arial"/>
          <w:sz w:val="17"/>
          <w:szCs w:val="17"/>
          <w:color w:val="auto"/>
        </w:rPr>
        <w:t>Voyage expenses and commissions were $3.6 million and $20.4 million for the quarter and the year ended December 31, 2018, respectively ($5.2 million and $15.4 million for the quarter and the year ended December 31, 2017, respectively). The decrease for the quarter ended December 31, 2018 as compared to the quarter ended December 31, 2017 was mainly attributable to a decrease in bunkers consumed due to the increased utilization of our vessels in the spot market. The year-on-year increase resulted mainly from the increased bunkers consumed during certain off-charter and off-hire days.</w:t>
      </w:r>
    </w:p>
    <w:p>
      <w:pPr>
        <w:spacing w:after="0" w:line="201" w:lineRule="exact"/>
        <w:rPr>
          <w:sz w:val="20"/>
          <w:szCs w:val="20"/>
          <w:color w:val="auto"/>
        </w:rPr>
      </w:pPr>
    </w:p>
    <w:p>
      <w:pPr>
        <w:ind w:left="6" w:right="220"/>
        <w:spacing w:after="0" w:line="269" w:lineRule="auto"/>
        <w:rPr>
          <w:sz w:val="20"/>
          <w:szCs w:val="20"/>
          <w:color w:val="auto"/>
        </w:rPr>
      </w:pPr>
      <w:r>
        <w:rPr>
          <w:rFonts w:ascii="Arial" w:cs="Arial" w:eastAsia="Arial" w:hAnsi="Arial"/>
          <w:sz w:val="17"/>
          <w:szCs w:val="17"/>
          <w:color w:val="auto"/>
        </w:rPr>
        <w:t xml:space="preserve">Vessel operating and supervision costs were $29.1 million and $128.1 million for the quarter and the year ended December 31, 2018, respectively ($35.6 million and $122.5 million for the quarter and the year ended December 31, 2017, respectively). The decrease for the quarter ended December 31, 2018 as compared to the quarter ended December 31, 2017 was mainly attributable to a decrease in technical and maintenance expenses, as well as a decrease in tonnage tax and insurance costs. The year-on-year increase was mainly attributable to the deliveries of the </w:t>
      </w:r>
      <w:r>
        <w:rPr>
          <w:rFonts w:ascii="Arial" w:cs="Arial" w:eastAsia="Arial" w:hAnsi="Arial"/>
          <w:sz w:val="17"/>
          <w:szCs w:val="17"/>
          <w:i w:val="1"/>
          <w:iCs w:val="1"/>
          <w:color w:val="auto"/>
        </w:rPr>
        <w:t>GasLog Houston</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Hong Kong</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GasLog Genoa</w:t>
      </w:r>
      <w:r>
        <w:rPr>
          <w:rFonts w:ascii="Arial" w:cs="Arial" w:eastAsia="Arial" w:hAnsi="Arial"/>
          <w:sz w:val="17"/>
          <w:szCs w:val="17"/>
          <w:color w:val="auto"/>
        </w:rPr>
        <w:t xml:space="preserve"> earlier in 2018, resulting in increased crew costs, partially offset by a decrease in tonnage tax.</w:t>
      </w:r>
    </w:p>
    <w:p>
      <w:pPr>
        <w:spacing w:after="0" w:line="202" w:lineRule="exact"/>
        <w:rPr>
          <w:sz w:val="20"/>
          <w:szCs w:val="20"/>
          <w:color w:val="auto"/>
        </w:rPr>
      </w:pPr>
    </w:p>
    <w:p>
      <w:pPr>
        <w:ind w:left="6" w:right="140"/>
        <w:spacing w:after="0" w:line="275" w:lineRule="auto"/>
        <w:rPr>
          <w:sz w:val="20"/>
          <w:szCs w:val="20"/>
          <w:color w:val="auto"/>
        </w:rPr>
      </w:pPr>
      <w:r>
        <w:rPr>
          <w:rFonts w:ascii="Arial" w:cs="Arial" w:eastAsia="Arial" w:hAnsi="Arial"/>
          <w:sz w:val="17"/>
          <w:szCs w:val="17"/>
          <w:color w:val="auto"/>
        </w:rPr>
        <w:t>General and administrative expenses were $9.7 million and $42.0 million for the quarter and the year ended December 31, 2018, respectively ($9.6 million and $39.9 million for the quarter and the year ended December 31, 2017, respectively). The year-on-year increase was mainly attributable to an increase in employee costs due to the unfavorable movement of the USD against the EUR and the British Pound (we have entered into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202565</wp:posOffset>
            </wp:positionV>
            <wp:extent cx="7646670" cy="311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6"/>
          </w:cols>
          <w:pgMar w:left="114" w:top="203" w:right="120" w:bottom="1440" w:gutter="0" w:footer="0" w:header="0"/>
        </w:sectPr>
      </w:pPr>
    </w:p>
    <w:bookmarkStart w:id="7" w:name="page8"/>
    <w:bookmarkEnd w:id="7"/>
    <w:p>
      <w:pPr>
        <w:ind w:right="180"/>
        <w:spacing w:after="0" w:line="288" w:lineRule="auto"/>
        <w:rPr>
          <w:sz w:val="20"/>
          <w:szCs w:val="20"/>
          <w:color w:val="auto"/>
        </w:rPr>
      </w:pPr>
      <w:r>
        <w:rPr>
          <w:rFonts w:ascii="Arial" w:cs="Arial" w:eastAsia="Arial" w:hAnsi="Arial"/>
          <w:sz w:val="17"/>
          <w:szCs w:val="17"/>
          <w:color w:val="auto"/>
        </w:rPr>
        <w:t>foreign exchange contracts to hedge economically part of this exposure and the associated realized (losses)/gains are recorded in Gain/(loss) on the derivatives line, which is discussed below).</w:t>
      </w:r>
    </w:p>
    <w:p>
      <w:pPr>
        <w:spacing w:after="0" w:line="187"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 xml:space="preserve">Depreciation was $39.5 million and $153.2 million for the quarter and the year ended December 31, 2018, respectively ($34.6 million and $137.2 million for the quarter and the year ended December 31, 2017, respectively). The increase resulted from the deliveries of the </w:t>
      </w:r>
      <w:r>
        <w:rPr>
          <w:rFonts w:ascii="Arial" w:cs="Arial" w:eastAsia="Arial" w:hAnsi="Arial"/>
          <w:sz w:val="17"/>
          <w:szCs w:val="17"/>
          <w:i w:val="1"/>
          <w:iCs w:val="1"/>
          <w:color w:val="auto"/>
        </w:rPr>
        <w:t>GasLog Houston</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Hong Kong</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GasLog Genoa</w:t>
      </w:r>
      <w:r>
        <w:rPr>
          <w:rFonts w:ascii="Arial" w:cs="Arial" w:eastAsia="Arial" w:hAnsi="Arial"/>
          <w:sz w:val="17"/>
          <w:szCs w:val="17"/>
          <w:color w:val="auto"/>
        </w:rPr>
        <w:t xml:space="preserve"> on January 8, 2018, March 20, 2018 and March 29, 2018, respectively.</w:t>
      </w:r>
    </w:p>
    <w:p>
      <w:pPr>
        <w:spacing w:after="0" w:line="198"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Financial costs were $44.1 million and $166.6 million for the quarter and the year ended December 31, 2018, respectively ($34.9 million and $139.2 million for the quarter and the year ended December 31, 2017, respectively). The increase was attributable to the increased weighted average debt outstanding as a result of the debt drawdowns for the vessels delivered in 2018 and the increased weighted average interest rate deriving from the upward movement of the USD London Interbank Offered Rate (“LIBOR”) rates. An analysis of the financial costs is set out below.</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0" w:type="dxa"/>
            <w:vAlign w:val="bottom"/>
            <w:gridSpan w:val="3"/>
          </w:tcPr>
          <w:p>
            <w:pPr>
              <w:jc w:val="right"/>
              <w:spacing w:after="0"/>
              <w:rPr>
                <w:sz w:val="20"/>
                <w:szCs w:val="20"/>
                <w:color w:val="auto"/>
              </w:rPr>
            </w:pPr>
            <w:r>
              <w:rPr>
                <w:rFonts w:ascii="Arial" w:cs="Arial" w:eastAsia="Arial" w:hAnsi="Arial"/>
                <w:sz w:val="17"/>
                <w:szCs w:val="17"/>
                <w:b w:val="1"/>
                <w:bCs w:val="1"/>
                <w:color w:val="auto"/>
                <w:w w:val="94"/>
              </w:rPr>
              <w:t>For the three months ended</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gridSpan w:val="3"/>
          </w:tcPr>
          <w:p>
            <w:pPr>
              <w:jc w:val="right"/>
              <w:spacing w:after="0"/>
              <w:rPr>
                <w:sz w:val="20"/>
                <w:szCs w:val="20"/>
                <w:color w:val="auto"/>
              </w:rPr>
            </w:pPr>
            <w:r>
              <w:rPr>
                <w:rFonts w:ascii="Arial" w:cs="Arial" w:eastAsia="Arial" w:hAnsi="Arial"/>
                <w:sz w:val="17"/>
                <w:szCs w:val="17"/>
                <w:b w:val="1"/>
                <w:bCs w:val="1"/>
                <w:color w:val="auto"/>
              </w:rPr>
              <w:t>For the year ended</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5240" w:type="dxa"/>
            <w:vAlign w:val="bottom"/>
          </w:tcPr>
          <w:p>
            <w:pPr>
              <w:spacing w:after="0"/>
              <w:rPr>
                <w:sz w:val="20"/>
                <w:szCs w:val="20"/>
                <w:color w:val="auto"/>
              </w:rPr>
            </w:pPr>
            <w:r>
              <w:rPr>
                <w:rFonts w:ascii="Arial" w:cs="Arial" w:eastAsia="Arial" w:hAnsi="Arial"/>
                <w:sz w:val="17"/>
                <w:szCs w:val="17"/>
                <w:b w:val="1"/>
                <w:bCs w:val="1"/>
                <w:i w:val="1"/>
                <w:iCs w:val="1"/>
                <w:color w:val="auto"/>
              </w:rPr>
              <w:t>(All amounts expressed in thousands of U.S. dollars)</w:t>
            </w:r>
          </w:p>
        </w:tc>
        <w:tc>
          <w:tcPr>
            <w:tcW w:w="1780" w:type="dxa"/>
            <w:vAlign w:val="bottom"/>
            <w:gridSpan w:val="3"/>
          </w:tcPr>
          <w:p>
            <w:pPr>
              <w:jc w:val="right"/>
              <w:ind w:right="480"/>
              <w:spacing w:after="0"/>
              <w:rPr>
                <w:sz w:val="20"/>
                <w:szCs w:val="20"/>
                <w:color w:val="auto"/>
              </w:rPr>
            </w:pPr>
            <w:r>
              <w:rPr>
                <w:rFonts w:ascii="Arial" w:cs="Arial" w:eastAsia="Arial" w:hAnsi="Arial"/>
                <w:sz w:val="17"/>
                <w:szCs w:val="17"/>
                <w:b w:val="1"/>
                <w:bCs w:val="1"/>
                <w:color w:val="auto"/>
              </w:rPr>
              <w:t>December 31,</w:t>
            </w:r>
          </w:p>
        </w:tc>
        <w:tc>
          <w:tcPr>
            <w:tcW w:w="1720" w:type="dxa"/>
            <w:vAlign w:val="bottom"/>
            <w:gridSpan w:val="3"/>
          </w:tcPr>
          <w:p>
            <w:pPr>
              <w:jc w:val="right"/>
              <w:ind w:right="440"/>
              <w:spacing w:after="0"/>
              <w:rPr>
                <w:sz w:val="20"/>
                <w:szCs w:val="20"/>
                <w:color w:val="auto"/>
              </w:rPr>
            </w:pPr>
            <w:r>
              <w:rPr>
                <w:rFonts w:ascii="Arial" w:cs="Arial" w:eastAsia="Arial" w:hAnsi="Arial"/>
                <w:sz w:val="17"/>
                <w:szCs w:val="17"/>
                <w:b w:val="1"/>
                <w:bCs w:val="1"/>
                <w:color w:val="auto"/>
              </w:rPr>
              <w:t>December 31,</w:t>
            </w:r>
          </w:p>
        </w:tc>
        <w:tc>
          <w:tcPr>
            <w:tcW w:w="1720" w:type="dxa"/>
            <w:vAlign w:val="bottom"/>
            <w:gridSpan w:val="3"/>
          </w:tcPr>
          <w:p>
            <w:pPr>
              <w:jc w:val="right"/>
              <w:ind w:right="440"/>
              <w:spacing w:after="0"/>
              <w:rPr>
                <w:sz w:val="20"/>
                <w:szCs w:val="20"/>
                <w:color w:val="auto"/>
              </w:rPr>
            </w:pPr>
            <w:r>
              <w:rPr>
                <w:rFonts w:ascii="Arial" w:cs="Arial" w:eastAsia="Arial" w:hAnsi="Arial"/>
                <w:sz w:val="17"/>
                <w:szCs w:val="17"/>
                <w:b w:val="1"/>
                <w:bCs w:val="1"/>
                <w:color w:val="auto"/>
              </w:rPr>
              <w:t>December 31,</w:t>
            </w:r>
          </w:p>
        </w:tc>
        <w:tc>
          <w:tcPr>
            <w:tcW w:w="1540" w:type="dxa"/>
            <w:vAlign w:val="bottom"/>
            <w:gridSpan w:val="4"/>
          </w:tcPr>
          <w:p>
            <w:pPr>
              <w:jc w:val="center"/>
              <w:ind w:right="100"/>
              <w:spacing w:after="0"/>
              <w:rPr>
                <w:sz w:val="20"/>
                <w:szCs w:val="20"/>
                <w:color w:val="auto"/>
              </w:rPr>
            </w:pPr>
            <w:r>
              <w:rPr>
                <w:rFonts w:ascii="Arial" w:cs="Arial" w:eastAsia="Arial" w:hAnsi="Arial"/>
                <w:sz w:val="17"/>
                <w:szCs w:val="17"/>
                <w:b w:val="1"/>
                <w:bCs w:val="1"/>
                <w:color w:val="auto"/>
                <w:w w:val="90"/>
              </w:rPr>
              <w:t>December 31,</w:t>
            </w:r>
          </w:p>
        </w:tc>
      </w:tr>
      <w:tr>
        <w:trPr>
          <w:trHeight w:val="224"/>
        </w:trPr>
        <w:tc>
          <w:tcPr>
            <w:tcW w:w="5240" w:type="dxa"/>
            <w:vAlign w:val="bottom"/>
            <w:tcBorders>
              <w:bottom w:val="single" w:sz="8" w:color="E5FF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2017</w:t>
            </w:r>
          </w:p>
        </w:tc>
        <w:tc>
          <w:tcPr>
            <w:tcW w:w="320" w:type="dxa"/>
            <w:vAlign w:val="bottom"/>
            <w:tcBorders>
              <w:bottom w:val="single" w:sz="8" w:color="E5FF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2018</w:t>
            </w:r>
          </w:p>
        </w:tc>
        <w:tc>
          <w:tcPr>
            <w:tcW w:w="540" w:type="dxa"/>
            <w:vAlign w:val="bottom"/>
            <w:tcBorders>
              <w:bottom w:val="single" w:sz="8" w:color="auto"/>
            </w:tcBorders>
          </w:tcPr>
          <w:p>
            <w:pPr>
              <w:spacing w:after="0"/>
              <w:rPr>
                <w:sz w:val="19"/>
                <w:szCs w:val="19"/>
                <w:color w:val="auto"/>
              </w:rPr>
            </w:pPr>
          </w:p>
        </w:tc>
        <w:tc>
          <w:tcPr>
            <w:tcW w:w="300" w:type="dxa"/>
            <w:vAlign w:val="bottom"/>
            <w:tcBorders>
              <w:bottom w:val="single" w:sz="8" w:color="E5FF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2017</w:t>
            </w:r>
          </w:p>
        </w:tc>
        <w:tc>
          <w:tcPr>
            <w:tcW w:w="300" w:type="dxa"/>
            <w:vAlign w:val="bottom"/>
            <w:tcBorders>
              <w:bottom w:val="single" w:sz="8" w:color="E5FF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w w:val="84"/>
              </w:rPr>
              <w:t>2018</w:t>
            </w:r>
          </w:p>
        </w:tc>
        <w:tc>
          <w:tcPr>
            <w:tcW w:w="20" w:type="dxa"/>
            <w:vAlign w:val="bottom"/>
            <w:tcBorders>
              <w:bottom w:val="single" w:sz="8" w:color="E5FFFF"/>
            </w:tcBorders>
          </w:tcPr>
          <w:p>
            <w:pPr>
              <w:spacing w:after="0"/>
              <w:rPr>
                <w:sz w:val="19"/>
                <w:szCs w:val="19"/>
                <w:color w:val="auto"/>
              </w:rPr>
            </w:pPr>
          </w:p>
        </w:tc>
        <w:tc>
          <w:tcPr>
            <w:tcW w:w="100" w:type="dxa"/>
            <w:vAlign w:val="bottom"/>
            <w:tcBorders>
              <w:bottom w:val="single" w:sz="8" w:color="E5FFFF"/>
            </w:tcBorders>
          </w:tcPr>
          <w:p>
            <w:pPr>
              <w:spacing w:after="0"/>
              <w:rPr>
                <w:sz w:val="19"/>
                <w:szCs w:val="19"/>
                <w:color w:val="auto"/>
              </w:rPr>
            </w:pPr>
          </w:p>
        </w:tc>
      </w:tr>
      <w:tr>
        <w:trPr>
          <w:trHeight w:val="200"/>
        </w:trPr>
        <w:tc>
          <w:tcPr>
            <w:tcW w:w="5240" w:type="dxa"/>
            <w:vAlign w:val="bottom"/>
            <w:shd w:val="clear" w:color="auto" w:fill="E5FFFF"/>
          </w:tcPr>
          <w:p>
            <w:pPr>
              <w:spacing w:after="0"/>
              <w:rPr>
                <w:sz w:val="20"/>
                <w:szCs w:val="20"/>
                <w:color w:val="auto"/>
              </w:rPr>
            </w:pPr>
            <w:r>
              <w:rPr>
                <w:rFonts w:ascii="Arial" w:cs="Arial" w:eastAsia="Arial" w:hAnsi="Arial"/>
                <w:sz w:val="17"/>
                <w:szCs w:val="17"/>
                <w:b w:val="1"/>
                <w:bCs w:val="1"/>
                <w:color w:val="auto"/>
              </w:rPr>
              <w:t>Financial costs</w:t>
            </w:r>
          </w:p>
        </w:tc>
        <w:tc>
          <w:tcPr>
            <w:tcW w:w="46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5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54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14"/>
        </w:trPr>
        <w:tc>
          <w:tcPr>
            <w:tcW w:w="5240" w:type="dxa"/>
            <w:vAlign w:val="bottom"/>
          </w:tcPr>
          <w:p>
            <w:pPr>
              <w:spacing w:after="0"/>
              <w:rPr>
                <w:sz w:val="20"/>
                <w:szCs w:val="20"/>
                <w:color w:val="auto"/>
              </w:rPr>
            </w:pPr>
            <w:r>
              <w:rPr>
                <w:rFonts w:ascii="Arial" w:cs="Arial" w:eastAsia="Arial" w:hAnsi="Arial"/>
                <w:sz w:val="17"/>
                <w:szCs w:val="17"/>
                <w:color w:val="auto"/>
              </w:rPr>
              <w:t>Amortization of deferred loan/ bond issuance costs</w:t>
            </w: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7"/>
                <w:szCs w:val="17"/>
                <w:color w:val="auto"/>
              </w:rPr>
              <w:t>(3,063)</w:t>
            </w:r>
          </w:p>
        </w:tc>
        <w:tc>
          <w:tcPr>
            <w:tcW w:w="880" w:type="dxa"/>
            <w:vAlign w:val="bottom"/>
          </w:tcPr>
          <w:p>
            <w:pPr>
              <w:jc w:val="right"/>
              <w:ind w:right="454"/>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(3,210)</w:t>
            </w: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(12,398)</w:t>
            </w:r>
          </w:p>
        </w:tc>
        <w:tc>
          <w:tcPr>
            <w:tcW w:w="54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7"/>
                <w:szCs w:val="17"/>
                <w:color w:val="auto"/>
              </w:rPr>
              <w:t>(12,593)</w:t>
            </w:r>
          </w:p>
        </w:tc>
      </w:tr>
      <w:tr>
        <w:trPr>
          <w:trHeight w:val="214"/>
        </w:trPr>
        <w:tc>
          <w:tcPr>
            <w:tcW w:w="5240" w:type="dxa"/>
            <w:vAlign w:val="bottom"/>
            <w:shd w:val="clear" w:color="auto" w:fill="E5FFFF"/>
          </w:tcPr>
          <w:p>
            <w:pPr>
              <w:spacing w:after="0"/>
              <w:rPr>
                <w:sz w:val="20"/>
                <w:szCs w:val="20"/>
                <w:color w:val="auto"/>
              </w:rPr>
            </w:pPr>
            <w:r>
              <w:rPr>
                <w:rFonts w:ascii="Arial" w:cs="Arial" w:eastAsia="Arial" w:hAnsi="Arial"/>
                <w:sz w:val="17"/>
                <w:szCs w:val="17"/>
                <w:color w:val="auto"/>
              </w:rPr>
              <w:t>Interest expense on loans</w:t>
            </w:r>
          </w:p>
        </w:tc>
        <w:tc>
          <w:tcPr>
            <w:tcW w:w="460" w:type="dxa"/>
            <w:vAlign w:val="bottom"/>
            <w:shd w:val="clear" w:color="auto" w:fill="E5FFFF"/>
          </w:tcPr>
          <w:p>
            <w:pPr>
              <w:spacing w:after="0"/>
              <w:rPr>
                <w:sz w:val="18"/>
                <w:szCs w:val="18"/>
                <w:color w:val="auto"/>
              </w:rPr>
            </w:pPr>
          </w:p>
        </w:tc>
        <w:tc>
          <w:tcPr>
            <w:tcW w:w="1320" w:type="dxa"/>
            <w:vAlign w:val="bottom"/>
            <w:gridSpan w:val="2"/>
            <w:shd w:val="clear" w:color="auto" w:fill="E5FFFF"/>
          </w:tcPr>
          <w:p>
            <w:pPr>
              <w:jc w:val="right"/>
              <w:ind w:right="180"/>
              <w:spacing w:after="0"/>
              <w:rPr>
                <w:sz w:val="20"/>
                <w:szCs w:val="20"/>
                <w:color w:val="auto"/>
              </w:rPr>
            </w:pPr>
            <w:r>
              <w:rPr>
                <w:rFonts w:ascii="Arial" w:cs="Arial" w:eastAsia="Arial" w:hAnsi="Arial"/>
                <w:sz w:val="17"/>
                <w:szCs w:val="17"/>
                <w:color w:val="auto"/>
              </w:rPr>
              <w:t>(21,132)</w:t>
            </w:r>
          </w:p>
        </w:tc>
        <w:tc>
          <w:tcPr>
            <w:tcW w:w="880" w:type="dxa"/>
            <w:vAlign w:val="bottom"/>
            <w:shd w:val="clear" w:color="auto" w:fill="E5FFFF"/>
          </w:tcPr>
          <w:p>
            <w:pPr>
              <w:spacing w:after="0"/>
              <w:rPr>
                <w:sz w:val="18"/>
                <w:szCs w:val="18"/>
                <w:color w:val="auto"/>
              </w:rPr>
            </w:pPr>
          </w:p>
        </w:tc>
        <w:tc>
          <w:tcPr>
            <w:tcW w:w="840" w:type="dxa"/>
            <w:vAlign w:val="bottom"/>
            <w:gridSpan w:val="2"/>
            <w:shd w:val="clear" w:color="auto" w:fill="E5FFFF"/>
          </w:tcPr>
          <w:p>
            <w:pPr>
              <w:jc w:val="right"/>
              <w:ind w:right="160"/>
              <w:spacing w:after="0"/>
              <w:rPr>
                <w:sz w:val="20"/>
                <w:szCs w:val="20"/>
                <w:color w:val="auto"/>
              </w:rPr>
            </w:pPr>
            <w:r>
              <w:rPr>
                <w:rFonts w:ascii="Arial" w:cs="Arial" w:eastAsia="Arial" w:hAnsi="Arial"/>
                <w:sz w:val="17"/>
                <w:szCs w:val="17"/>
                <w:color w:val="auto"/>
                <w:w w:val="91"/>
              </w:rPr>
              <w:t>(30,269)</w:t>
            </w:r>
          </w:p>
        </w:tc>
        <w:tc>
          <w:tcPr>
            <w:tcW w:w="44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160"/>
              <w:spacing w:after="0"/>
              <w:rPr>
                <w:sz w:val="20"/>
                <w:szCs w:val="20"/>
                <w:color w:val="auto"/>
              </w:rPr>
            </w:pPr>
            <w:r>
              <w:rPr>
                <w:rFonts w:ascii="Arial" w:cs="Arial" w:eastAsia="Arial" w:hAnsi="Arial"/>
                <w:sz w:val="17"/>
                <w:szCs w:val="17"/>
                <w:color w:val="auto"/>
              </w:rPr>
              <w:t>(85,813)</w:t>
            </w:r>
          </w:p>
        </w:tc>
        <w:tc>
          <w:tcPr>
            <w:tcW w:w="540" w:type="dxa"/>
            <w:vAlign w:val="bottom"/>
            <w:shd w:val="clear" w:color="auto" w:fill="E5FFFF"/>
          </w:tcPr>
          <w:p>
            <w:pPr>
              <w:spacing w:after="0"/>
              <w:rPr>
                <w:sz w:val="18"/>
                <w:szCs w:val="18"/>
                <w:color w:val="auto"/>
              </w:rPr>
            </w:pPr>
          </w:p>
        </w:tc>
        <w:tc>
          <w:tcPr>
            <w:tcW w:w="1000" w:type="dxa"/>
            <w:vAlign w:val="bottom"/>
            <w:gridSpan w:val="3"/>
            <w:shd w:val="clear" w:color="auto" w:fill="E5FFFF"/>
          </w:tcPr>
          <w:p>
            <w:pPr>
              <w:jc w:val="right"/>
              <w:ind w:right="60"/>
              <w:spacing w:after="0"/>
              <w:rPr>
                <w:sz w:val="20"/>
                <w:szCs w:val="20"/>
                <w:color w:val="auto"/>
              </w:rPr>
            </w:pPr>
            <w:r>
              <w:rPr>
                <w:rFonts w:ascii="Arial" w:cs="Arial" w:eastAsia="Arial" w:hAnsi="Arial"/>
                <w:sz w:val="17"/>
                <w:szCs w:val="17"/>
                <w:color w:val="auto"/>
              </w:rPr>
              <w:t>(111,600)</w:t>
            </w:r>
          </w:p>
        </w:tc>
      </w:tr>
      <w:tr>
        <w:trPr>
          <w:trHeight w:val="204"/>
        </w:trPr>
        <w:tc>
          <w:tcPr>
            <w:tcW w:w="5240" w:type="dxa"/>
            <w:vAlign w:val="bottom"/>
          </w:tcPr>
          <w:p>
            <w:pPr>
              <w:spacing w:after="0"/>
              <w:rPr>
                <w:sz w:val="20"/>
                <w:szCs w:val="20"/>
                <w:color w:val="auto"/>
              </w:rPr>
            </w:pPr>
            <w:r>
              <w:rPr>
                <w:rFonts w:ascii="Arial" w:cs="Arial" w:eastAsia="Arial" w:hAnsi="Arial"/>
                <w:sz w:val="17"/>
                <w:szCs w:val="17"/>
                <w:color w:val="auto"/>
                <w:w w:val="99"/>
              </w:rPr>
              <w:t>Interest expense on bonds and realized loss on cross-currency swaps</w:t>
            </w: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40" w:type="dxa"/>
            <w:vAlign w:val="bottom"/>
          </w:tcPr>
          <w:p>
            <w:pPr>
              <w:ind w:left="180"/>
              <w:spacing w:after="0"/>
              <w:rPr>
                <w:sz w:val="20"/>
                <w:szCs w:val="20"/>
                <w:color w:val="auto"/>
              </w:rPr>
            </w:pPr>
            <w:r>
              <w:rPr>
                <w:rFonts w:ascii="Arial" w:cs="Arial" w:eastAsia="Arial" w:hAnsi="Arial"/>
                <w:sz w:val="17"/>
                <w:szCs w:val="17"/>
                <w:color w:val="auto"/>
              </w:rPr>
              <w:t>(“CCS”)</w:t>
            </w:r>
          </w:p>
        </w:tc>
        <w:tc>
          <w:tcPr>
            <w:tcW w:w="4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7"/>
                <w:szCs w:val="17"/>
                <w:color w:val="auto"/>
              </w:rPr>
              <w:t>(7,588)</w:t>
            </w:r>
          </w:p>
        </w:tc>
        <w:tc>
          <w:tcPr>
            <w:tcW w:w="8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(7,588)</w:t>
            </w:r>
          </w:p>
        </w:tc>
        <w:tc>
          <w:tcPr>
            <w:tcW w:w="4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(27,085)</w:t>
            </w:r>
          </w:p>
        </w:tc>
        <w:tc>
          <w:tcPr>
            <w:tcW w:w="54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7"/>
                <w:szCs w:val="17"/>
                <w:color w:val="auto"/>
              </w:rPr>
              <w:t>(30,029)</w:t>
            </w:r>
          </w:p>
        </w:tc>
      </w:tr>
      <w:tr>
        <w:trPr>
          <w:trHeight w:val="221"/>
        </w:trPr>
        <w:tc>
          <w:tcPr>
            <w:tcW w:w="5240" w:type="dxa"/>
            <w:vAlign w:val="bottom"/>
            <w:shd w:val="clear" w:color="auto" w:fill="E5FFFF"/>
          </w:tcPr>
          <w:p>
            <w:pPr>
              <w:spacing w:after="0"/>
              <w:rPr>
                <w:sz w:val="20"/>
                <w:szCs w:val="20"/>
                <w:color w:val="auto"/>
              </w:rPr>
            </w:pPr>
            <w:r>
              <w:rPr>
                <w:rFonts w:ascii="Arial" w:cs="Arial" w:eastAsia="Arial" w:hAnsi="Arial"/>
                <w:sz w:val="17"/>
                <w:szCs w:val="17"/>
                <w:color w:val="auto"/>
              </w:rPr>
              <w:t>Finance lease charge</w:t>
            </w:r>
          </w:p>
        </w:tc>
        <w:tc>
          <w:tcPr>
            <w:tcW w:w="460" w:type="dxa"/>
            <w:vAlign w:val="bottom"/>
            <w:shd w:val="clear" w:color="auto" w:fill="E5FFFF"/>
          </w:tcPr>
          <w:p>
            <w:pPr>
              <w:spacing w:after="0"/>
              <w:rPr>
                <w:sz w:val="19"/>
                <w:szCs w:val="19"/>
                <w:color w:val="auto"/>
              </w:rPr>
            </w:pPr>
          </w:p>
        </w:tc>
        <w:tc>
          <w:tcPr>
            <w:tcW w:w="1320" w:type="dxa"/>
            <w:vAlign w:val="bottom"/>
            <w:gridSpan w:val="2"/>
            <w:shd w:val="clear" w:color="auto" w:fill="E5FFFF"/>
          </w:tcPr>
          <w:p>
            <w:pPr>
              <w:jc w:val="right"/>
              <w:ind w:right="180"/>
              <w:spacing w:after="0"/>
              <w:rPr>
                <w:sz w:val="20"/>
                <w:szCs w:val="20"/>
                <w:color w:val="auto"/>
              </w:rPr>
            </w:pPr>
            <w:r>
              <w:rPr>
                <w:rFonts w:ascii="Arial" w:cs="Arial" w:eastAsia="Arial" w:hAnsi="Arial"/>
                <w:sz w:val="17"/>
                <w:szCs w:val="17"/>
                <w:color w:val="auto"/>
              </w:rPr>
              <w:t>(2,708)</w:t>
            </w:r>
          </w:p>
        </w:tc>
        <w:tc>
          <w:tcPr>
            <w:tcW w:w="880" w:type="dxa"/>
            <w:vAlign w:val="bottom"/>
            <w:shd w:val="clear" w:color="auto" w:fill="E5FFFF"/>
          </w:tcPr>
          <w:p>
            <w:pPr>
              <w:spacing w:after="0"/>
              <w:rPr>
                <w:sz w:val="19"/>
                <w:szCs w:val="19"/>
                <w:color w:val="auto"/>
              </w:rPr>
            </w:pPr>
          </w:p>
        </w:tc>
        <w:tc>
          <w:tcPr>
            <w:tcW w:w="840" w:type="dxa"/>
            <w:vAlign w:val="bottom"/>
            <w:gridSpan w:val="2"/>
            <w:shd w:val="clear" w:color="auto" w:fill="E5FFFF"/>
          </w:tcPr>
          <w:p>
            <w:pPr>
              <w:jc w:val="right"/>
              <w:ind w:right="160"/>
              <w:spacing w:after="0"/>
              <w:rPr>
                <w:sz w:val="20"/>
                <w:szCs w:val="20"/>
                <w:color w:val="auto"/>
              </w:rPr>
            </w:pPr>
            <w:r>
              <w:rPr>
                <w:rFonts w:ascii="Arial" w:cs="Arial" w:eastAsia="Arial" w:hAnsi="Arial"/>
                <w:sz w:val="17"/>
                <w:szCs w:val="17"/>
                <w:color w:val="auto"/>
              </w:rPr>
              <w:t>(2,617)</w:t>
            </w:r>
          </w:p>
        </w:tc>
        <w:tc>
          <w:tcPr>
            <w:tcW w:w="440" w:type="dxa"/>
            <w:vAlign w:val="bottom"/>
            <w:shd w:val="clear" w:color="auto" w:fill="E5FFFF"/>
          </w:tcPr>
          <w:p>
            <w:pPr>
              <w:spacing w:after="0"/>
              <w:rPr>
                <w:sz w:val="19"/>
                <w:szCs w:val="19"/>
                <w:color w:val="auto"/>
              </w:rPr>
            </w:pPr>
          </w:p>
        </w:tc>
        <w:tc>
          <w:tcPr>
            <w:tcW w:w="1280" w:type="dxa"/>
            <w:vAlign w:val="bottom"/>
            <w:gridSpan w:val="2"/>
            <w:shd w:val="clear" w:color="auto" w:fill="E5FFFF"/>
          </w:tcPr>
          <w:p>
            <w:pPr>
              <w:jc w:val="right"/>
              <w:ind w:right="160"/>
              <w:spacing w:after="0"/>
              <w:rPr>
                <w:sz w:val="20"/>
                <w:szCs w:val="20"/>
                <w:color w:val="auto"/>
              </w:rPr>
            </w:pPr>
            <w:r>
              <w:rPr>
                <w:rFonts w:ascii="Arial" w:cs="Arial" w:eastAsia="Arial" w:hAnsi="Arial"/>
                <w:sz w:val="17"/>
                <w:szCs w:val="17"/>
                <w:color w:val="auto"/>
              </w:rPr>
              <w:t>(10,875)</w:t>
            </w:r>
          </w:p>
        </w:tc>
        <w:tc>
          <w:tcPr>
            <w:tcW w:w="540" w:type="dxa"/>
            <w:vAlign w:val="bottom"/>
            <w:shd w:val="clear" w:color="auto" w:fill="E5FFFF"/>
          </w:tcPr>
          <w:p>
            <w:pPr>
              <w:spacing w:after="0"/>
              <w:rPr>
                <w:sz w:val="19"/>
                <w:szCs w:val="19"/>
                <w:color w:val="auto"/>
              </w:rPr>
            </w:pPr>
          </w:p>
        </w:tc>
        <w:tc>
          <w:tcPr>
            <w:tcW w:w="1000" w:type="dxa"/>
            <w:vAlign w:val="bottom"/>
            <w:gridSpan w:val="3"/>
            <w:shd w:val="clear" w:color="auto" w:fill="E5FFFF"/>
          </w:tcPr>
          <w:p>
            <w:pPr>
              <w:jc w:val="right"/>
              <w:ind w:right="60"/>
              <w:spacing w:after="0"/>
              <w:rPr>
                <w:sz w:val="20"/>
                <w:szCs w:val="20"/>
                <w:color w:val="auto"/>
              </w:rPr>
            </w:pPr>
            <w:r>
              <w:rPr>
                <w:rFonts w:ascii="Arial" w:cs="Arial" w:eastAsia="Arial" w:hAnsi="Arial"/>
                <w:sz w:val="17"/>
                <w:szCs w:val="17"/>
                <w:color w:val="auto"/>
              </w:rPr>
              <w:t>(10,520)</w:t>
            </w:r>
          </w:p>
        </w:tc>
      </w:tr>
      <w:tr>
        <w:trPr>
          <w:trHeight w:val="214"/>
        </w:trPr>
        <w:tc>
          <w:tcPr>
            <w:tcW w:w="5240" w:type="dxa"/>
            <w:vAlign w:val="bottom"/>
          </w:tcPr>
          <w:p>
            <w:pPr>
              <w:spacing w:after="0"/>
              <w:rPr>
                <w:sz w:val="20"/>
                <w:szCs w:val="20"/>
                <w:color w:val="auto"/>
              </w:rPr>
            </w:pPr>
            <w:r>
              <w:rPr>
                <w:rFonts w:ascii="Arial" w:cs="Arial" w:eastAsia="Arial" w:hAnsi="Arial"/>
                <w:sz w:val="17"/>
                <w:szCs w:val="17"/>
                <w:color w:val="auto"/>
              </w:rPr>
              <w:t>Loss arising on bond repurchase at a premium</w:t>
            </w:r>
          </w:p>
        </w:tc>
        <w:tc>
          <w:tcPr>
            <w:tcW w:w="46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(1,459)</w:t>
            </w:r>
          </w:p>
        </w:tc>
        <w:tc>
          <w:tcPr>
            <w:tcW w:w="54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r>
      <w:tr>
        <w:trPr>
          <w:trHeight w:val="214"/>
        </w:trPr>
        <w:tc>
          <w:tcPr>
            <w:tcW w:w="5240" w:type="dxa"/>
            <w:vAlign w:val="bottom"/>
            <w:shd w:val="clear" w:color="auto" w:fill="E5FFFF"/>
          </w:tcPr>
          <w:p>
            <w:pPr>
              <w:spacing w:after="0"/>
              <w:rPr>
                <w:sz w:val="20"/>
                <w:szCs w:val="20"/>
                <w:color w:val="auto"/>
              </w:rPr>
            </w:pPr>
            <w:r>
              <w:rPr>
                <w:rFonts w:ascii="Arial" w:cs="Arial" w:eastAsia="Arial" w:hAnsi="Arial"/>
                <w:sz w:val="17"/>
                <w:szCs w:val="17"/>
                <w:color w:val="auto"/>
              </w:rPr>
              <w:t>Other financial costs</w:t>
            </w:r>
          </w:p>
        </w:tc>
        <w:tc>
          <w:tcPr>
            <w:tcW w:w="460" w:type="dxa"/>
            <w:vAlign w:val="bottom"/>
            <w:shd w:val="clear" w:color="auto" w:fill="E5FFFF"/>
          </w:tcPr>
          <w:p>
            <w:pPr>
              <w:spacing w:after="0"/>
              <w:rPr>
                <w:sz w:val="18"/>
                <w:szCs w:val="18"/>
                <w:color w:val="auto"/>
              </w:rPr>
            </w:pPr>
          </w:p>
        </w:tc>
        <w:tc>
          <w:tcPr>
            <w:tcW w:w="1320" w:type="dxa"/>
            <w:vAlign w:val="bottom"/>
            <w:gridSpan w:val="2"/>
            <w:shd w:val="clear" w:color="auto" w:fill="E5FFFF"/>
          </w:tcPr>
          <w:p>
            <w:pPr>
              <w:jc w:val="right"/>
              <w:ind w:right="180"/>
              <w:spacing w:after="0"/>
              <w:rPr>
                <w:sz w:val="20"/>
                <w:szCs w:val="20"/>
                <w:color w:val="auto"/>
              </w:rPr>
            </w:pPr>
            <w:r>
              <w:rPr>
                <w:rFonts w:ascii="Arial" w:cs="Arial" w:eastAsia="Arial" w:hAnsi="Arial"/>
                <w:sz w:val="17"/>
                <w:szCs w:val="17"/>
                <w:color w:val="auto"/>
              </w:rPr>
              <w:t>(379)</w:t>
            </w:r>
          </w:p>
        </w:tc>
        <w:tc>
          <w:tcPr>
            <w:tcW w:w="880" w:type="dxa"/>
            <w:vAlign w:val="bottom"/>
            <w:shd w:val="clear" w:color="auto" w:fill="E5FFFF"/>
          </w:tcPr>
          <w:p>
            <w:pPr>
              <w:spacing w:after="0"/>
              <w:rPr>
                <w:sz w:val="18"/>
                <w:szCs w:val="18"/>
                <w:color w:val="auto"/>
              </w:rPr>
            </w:pPr>
          </w:p>
        </w:tc>
        <w:tc>
          <w:tcPr>
            <w:tcW w:w="840" w:type="dxa"/>
            <w:vAlign w:val="bottom"/>
            <w:gridSpan w:val="2"/>
            <w:shd w:val="clear" w:color="auto" w:fill="E5FFFF"/>
          </w:tcPr>
          <w:p>
            <w:pPr>
              <w:jc w:val="right"/>
              <w:ind w:right="160"/>
              <w:spacing w:after="0"/>
              <w:rPr>
                <w:sz w:val="20"/>
                <w:szCs w:val="20"/>
                <w:color w:val="auto"/>
              </w:rPr>
            </w:pPr>
            <w:r>
              <w:rPr>
                <w:rFonts w:ascii="Arial" w:cs="Arial" w:eastAsia="Arial" w:hAnsi="Arial"/>
                <w:sz w:val="17"/>
                <w:szCs w:val="17"/>
                <w:color w:val="auto"/>
              </w:rPr>
              <w:t>(438)</w:t>
            </w:r>
          </w:p>
        </w:tc>
        <w:tc>
          <w:tcPr>
            <w:tcW w:w="44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160"/>
              <w:spacing w:after="0"/>
              <w:rPr>
                <w:sz w:val="20"/>
                <w:szCs w:val="20"/>
                <w:color w:val="auto"/>
              </w:rPr>
            </w:pPr>
            <w:r>
              <w:rPr>
                <w:rFonts w:ascii="Arial" w:cs="Arial" w:eastAsia="Arial" w:hAnsi="Arial"/>
                <w:sz w:val="17"/>
                <w:szCs w:val="17"/>
                <w:color w:val="auto"/>
              </w:rPr>
              <w:t>(1,551)</w:t>
            </w:r>
          </w:p>
        </w:tc>
        <w:tc>
          <w:tcPr>
            <w:tcW w:w="540" w:type="dxa"/>
            <w:vAlign w:val="bottom"/>
            <w:shd w:val="clear" w:color="auto" w:fill="E5FFFF"/>
          </w:tcPr>
          <w:p>
            <w:pPr>
              <w:spacing w:after="0"/>
              <w:rPr>
                <w:sz w:val="18"/>
                <w:szCs w:val="18"/>
                <w:color w:val="auto"/>
              </w:rPr>
            </w:pPr>
          </w:p>
        </w:tc>
        <w:tc>
          <w:tcPr>
            <w:tcW w:w="1000" w:type="dxa"/>
            <w:vAlign w:val="bottom"/>
            <w:gridSpan w:val="3"/>
            <w:shd w:val="clear" w:color="auto" w:fill="E5FFFF"/>
          </w:tcPr>
          <w:p>
            <w:pPr>
              <w:jc w:val="right"/>
              <w:ind w:right="60"/>
              <w:spacing w:after="0"/>
              <w:rPr>
                <w:sz w:val="20"/>
                <w:szCs w:val="20"/>
                <w:color w:val="auto"/>
              </w:rPr>
            </w:pPr>
            <w:r>
              <w:rPr>
                <w:rFonts w:ascii="Arial" w:cs="Arial" w:eastAsia="Arial" w:hAnsi="Arial"/>
                <w:sz w:val="17"/>
                <w:szCs w:val="17"/>
                <w:color w:val="auto"/>
              </w:rPr>
              <w:t>(1,885)</w:t>
            </w:r>
          </w:p>
        </w:tc>
      </w:tr>
      <w:tr>
        <w:trPr>
          <w:trHeight w:val="220"/>
        </w:trPr>
        <w:tc>
          <w:tcPr>
            <w:tcW w:w="5240" w:type="dxa"/>
            <w:vAlign w:val="bottom"/>
          </w:tcPr>
          <w:p>
            <w:pPr>
              <w:spacing w:after="0"/>
              <w:rPr>
                <w:sz w:val="20"/>
                <w:szCs w:val="20"/>
                <w:color w:val="auto"/>
              </w:rPr>
            </w:pPr>
            <w:r>
              <w:rPr>
                <w:rFonts w:ascii="Arial" w:cs="Arial" w:eastAsia="Arial" w:hAnsi="Arial"/>
                <w:sz w:val="17"/>
                <w:szCs w:val="17"/>
                <w:b w:val="1"/>
                <w:bCs w:val="1"/>
                <w:color w:val="auto"/>
              </w:rPr>
              <w:t>Total</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(34,870</w:t>
            </w:r>
          </w:p>
        </w:tc>
        <w:tc>
          <w:tcPr>
            <w:tcW w:w="320" w:type="dxa"/>
            <w:vAlign w:val="bottom"/>
          </w:tcPr>
          <w:p>
            <w:pPr>
              <w:jc w:val="right"/>
              <w:ind w:right="180"/>
              <w:spacing w:after="0"/>
              <w:rPr>
                <w:sz w:val="20"/>
                <w:szCs w:val="20"/>
                <w:color w:val="auto"/>
              </w:rPr>
            </w:pPr>
            <w:r>
              <w:rPr>
                <w:rFonts w:ascii="Arial" w:cs="Arial" w:eastAsia="Arial" w:hAnsi="Arial"/>
                <w:sz w:val="16"/>
                <w:szCs w:val="16"/>
                <w:b w:val="1"/>
                <w:bCs w:val="1"/>
                <w:color w:val="auto"/>
                <w:w w:val="74"/>
              </w:rPr>
              <w:t>)</w:t>
            </w:r>
          </w:p>
        </w:tc>
        <w:tc>
          <w:tcPr>
            <w:tcW w:w="880" w:type="dxa"/>
            <w:vAlign w:val="bottom"/>
            <w:tcBorders>
              <w:top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90"/>
              </w:rPr>
              <w:t>(44,122</w:t>
            </w:r>
          </w:p>
        </w:tc>
        <w:tc>
          <w:tcPr>
            <w:tcW w:w="300" w:type="dxa"/>
            <w:vAlign w:val="bottom"/>
          </w:tcPr>
          <w:p>
            <w:pPr>
              <w:jc w:val="right"/>
              <w:ind w:right="160"/>
              <w:spacing w:after="0"/>
              <w:rPr>
                <w:sz w:val="20"/>
                <w:szCs w:val="20"/>
                <w:color w:val="auto"/>
              </w:rPr>
            </w:pPr>
            <w:r>
              <w:rPr>
                <w:rFonts w:ascii="Arial" w:cs="Arial" w:eastAsia="Arial" w:hAnsi="Arial"/>
                <w:sz w:val="16"/>
                <w:szCs w:val="16"/>
                <w:b w:val="1"/>
                <w:bCs w:val="1"/>
                <w:color w:val="auto"/>
                <w:w w:val="74"/>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(139,181</w:t>
            </w:r>
          </w:p>
        </w:tc>
        <w:tc>
          <w:tcPr>
            <w:tcW w:w="300" w:type="dxa"/>
            <w:vAlign w:val="bottom"/>
          </w:tcPr>
          <w:p>
            <w:pPr>
              <w:jc w:val="right"/>
              <w:ind w:right="160"/>
              <w:spacing w:after="0"/>
              <w:rPr>
                <w:sz w:val="20"/>
                <w:szCs w:val="20"/>
                <w:color w:val="auto"/>
              </w:rPr>
            </w:pPr>
            <w:r>
              <w:rPr>
                <w:rFonts w:ascii="Arial" w:cs="Arial" w:eastAsia="Arial" w:hAnsi="Arial"/>
                <w:sz w:val="16"/>
                <w:szCs w:val="16"/>
                <w:b w:val="1"/>
                <w:bCs w:val="1"/>
                <w:color w:val="auto"/>
                <w:w w:val="74"/>
              </w:rPr>
              <w:t>)</w:t>
            </w:r>
          </w:p>
        </w:tc>
        <w:tc>
          <w:tcPr>
            <w:tcW w:w="540" w:type="dxa"/>
            <w:vAlign w:val="bottom"/>
            <w:tcBorders>
              <w:top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(166,627</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5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9"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Loss on derivatives was $32.4 million and $6.1 million for the quarter and the year ended December 31, 2018, respectively ($8.6 million and $2.0 million gain for the quarter and the year ended December 31, 2017, respectively). The decrease in gain on derivatives in the fourth quarter of 2018, as compared to the fourth quarter of 2017, is mainly attributable to a decrease of $40.7 million in gain from mark-to-market valuation of our derivative financial instruments carried at fair value through profit or loss, derived mainly from changes in the LIBOR curve as well as modifications of the Group’s interest rate swap portfolio that includes interest rate swap agreements with maturities out to 2028, and a net decrease of $0.4 million in realized gain on derivatives. The year-on-year decrease in gain on derivatives is mainly attributable to a decrease of $18.5 million in gain from mark-to-market valuation of our derivative financial instruments carried at fair value through profit or loss, partially offset by a decrease of $6.2 million in realized loss on derivatives and the decrease of $4.4 million in recycled loss of cash flow hedges reclassified to profit or loss. An analysis of gain on derivatives is set out below:</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0" w:type="dxa"/>
            <w:vAlign w:val="bottom"/>
            <w:gridSpan w:val="3"/>
          </w:tcPr>
          <w:p>
            <w:pPr>
              <w:jc w:val="right"/>
              <w:spacing w:after="0"/>
              <w:rPr>
                <w:sz w:val="20"/>
                <w:szCs w:val="20"/>
                <w:color w:val="auto"/>
              </w:rPr>
            </w:pPr>
            <w:r>
              <w:rPr>
                <w:rFonts w:ascii="Arial" w:cs="Arial" w:eastAsia="Arial" w:hAnsi="Arial"/>
                <w:sz w:val="17"/>
                <w:szCs w:val="17"/>
                <w:b w:val="1"/>
                <w:bCs w:val="1"/>
                <w:color w:val="auto"/>
                <w:w w:val="94"/>
              </w:rPr>
              <w:t>For the three months ended</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gridSpan w:val="3"/>
          </w:tcPr>
          <w:p>
            <w:pPr>
              <w:jc w:val="right"/>
              <w:spacing w:after="0"/>
              <w:rPr>
                <w:sz w:val="20"/>
                <w:szCs w:val="20"/>
                <w:color w:val="auto"/>
              </w:rPr>
            </w:pPr>
            <w:r>
              <w:rPr>
                <w:rFonts w:ascii="Arial" w:cs="Arial" w:eastAsia="Arial" w:hAnsi="Arial"/>
                <w:sz w:val="17"/>
                <w:szCs w:val="17"/>
                <w:b w:val="1"/>
                <w:bCs w:val="1"/>
                <w:color w:val="auto"/>
              </w:rPr>
              <w:t>For the year ended</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4"/>
        </w:trPr>
        <w:tc>
          <w:tcPr>
            <w:tcW w:w="5240" w:type="dxa"/>
            <w:vAlign w:val="bottom"/>
          </w:tcPr>
          <w:p>
            <w:pPr>
              <w:spacing w:after="0"/>
              <w:rPr>
                <w:sz w:val="20"/>
                <w:szCs w:val="20"/>
                <w:color w:val="auto"/>
              </w:rPr>
            </w:pPr>
            <w:r>
              <w:rPr>
                <w:rFonts w:ascii="Arial" w:cs="Arial" w:eastAsia="Arial" w:hAnsi="Arial"/>
                <w:sz w:val="17"/>
                <w:szCs w:val="17"/>
                <w:b w:val="1"/>
                <w:bCs w:val="1"/>
                <w:i w:val="1"/>
                <w:iCs w:val="1"/>
                <w:color w:val="auto"/>
              </w:rPr>
              <w:t>(All amounts expressed in thousands of U.S. dollars)</w:t>
            </w:r>
          </w:p>
        </w:tc>
        <w:tc>
          <w:tcPr>
            <w:tcW w:w="1780" w:type="dxa"/>
            <w:vAlign w:val="bottom"/>
            <w:gridSpan w:val="3"/>
          </w:tcPr>
          <w:p>
            <w:pPr>
              <w:jc w:val="right"/>
              <w:ind w:right="560"/>
              <w:spacing w:after="0"/>
              <w:rPr>
                <w:sz w:val="20"/>
                <w:szCs w:val="20"/>
                <w:color w:val="auto"/>
              </w:rPr>
            </w:pPr>
            <w:r>
              <w:rPr>
                <w:rFonts w:ascii="Arial" w:cs="Arial" w:eastAsia="Arial" w:hAnsi="Arial"/>
                <w:sz w:val="17"/>
                <w:szCs w:val="17"/>
                <w:b w:val="1"/>
                <w:bCs w:val="1"/>
                <w:color w:val="auto"/>
              </w:rPr>
              <w:t>December 31,</w:t>
            </w:r>
          </w:p>
        </w:tc>
        <w:tc>
          <w:tcPr>
            <w:tcW w:w="1720" w:type="dxa"/>
            <w:vAlign w:val="bottom"/>
            <w:gridSpan w:val="3"/>
          </w:tcPr>
          <w:p>
            <w:pPr>
              <w:jc w:val="right"/>
              <w:ind w:right="440"/>
              <w:spacing w:after="0"/>
              <w:rPr>
                <w:sz w:val="20"/>
                <w:szCs w:val="20"/>
                <w:color w:val="auto"/>
              </w:rPr>
            </w:pPr>
            <w:r>
              <w:rPr>
                <w:rFonts w:ascii="Arial" w:cs="Arial" w:eastAsia="Arial" w:hAnsi="Arial"/>
                <w:sz w:val="17"/>
                <w:szCs w:val="17"/>
                <w:b w:val="1"/>
                <w:bCs w:val="1"/>
                <w:color w:val="auto"/>
              </w:rPr>
              <w:t>December 31,</w:t>
            </w:r>
          </w:p>
        </w:tc>
        <w:tc>
          <w:tcPr>
            <w:tcW w:w="1720" w:type="dxa"/>
            <w:vAlign w:val="bottom"/>
            <w:gridSpan w:val="3"/>
          </w:tcPr>
          <w:p>
            <w:pPr>
              <w:jc w:val="right"/>
              <w:ind w:right="520"/>
              <w:spacing w:after="0"/>
              <w:rPr>
                <w:sz w:val="20"/>
                <w:szCs w:val="20"/>
                <w:color w:val="auto"/>
              </w:rPr>
            </w:pPr>
            <w:r>
              <w:rPr>
                <w:rFonts w:ascii="Arial" w:cs="Arial" w:eastAsia="Arial" w:hAnsi="Arial"/>
                <w:sz w:val="17"/>
                <w:szCs w:val="17"/>
                <w:b w:val="1"/>
                <w:bCs w:val="1"/>
                <w:color w:val="auto"/>
              </w:rPr>
              <w:t>December 31,</w:t>
            </w:r>
          </w:p>
        </w:tc>
        <w:tc>
          <w:tcPr>
            <w:tcW w:w="1540" w:type="dxa"/>
            <w:vAlign w:val="bottom"/>
            <w:gridSpan w:val="3"/>
          </w:tcPr>
          <w:p>
            <w:pPr>
              <w:jc w:val="right"/>
              <w:ind w:right="240"/>
              <w:spacing w:after="0"/>
              <w:rPr>
                <w:sz w:val="20"/>
                <w:szCs w:val="20"/>
                <w:color w:val="auto"/>
              </w:rPr>
            </w:pPr>
            <w:r>
              <w:rPr>
                <w:rFonts w:ascii="Arial" w:cs="Arial" w:eastAsia="Arial" w:hAnsi="Arial"/>
                <w:sz w:val="17"/>
                <w:szCs w:val="17"/>
                <w:b w:val="1"/>
                <w:bCs w:val="1"/>
                <w:color w:val="auto"/>
              </w:rPr>
              <w:t>December 31,</w:t>
            </w:r>
          </w:p>
        </w:tc>
      </w:tr>
      <w:tr>
        <w:trPr>
          <w:trHeight w:val="224"/>
        </w:trPr>
        <w:tc>
          <w:tcPr>
            <w:tcW w:w="5240" w:type="dxa"/>
            <w:vAlign w:val="bottom"/>
            <w:tcBorders>
              <w:bottom w:val="single" w:sz="8" w:color="E5FF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2017</w:t>
            </w:r>
          </w:p>
        </w:tc>
        <w:tc>
          <w:tcPr>
            <w:tcW w:w="320" w:type="dxa"/>
            <w:vAlign w:val="bottom"/>
            <w:tcBorders>
              <w:bottom w:val="single" w:sz="8" w:color="E5FF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2018</w:t>
            </w:r>
          </w:p>
        </w:tc>
        <w:tc>
          <w:tcPr>
            <w:tcW w:w="540" w:type="dxa"/>
            <w:vAlign w:val="bottom"/>
            <w:tcBorders>
              <w:bottom w:val="single" w:sz="8" w:color="auto"/>
            </w:tcBorders>
          </w:tcPr>
          <w:p>
            <w:pPr>
              <w:spacing w:after="0"/>
              <w:rPr>
                <w:sz w:val="19"/>
                <w:szCs w:val="19"/>
                <w:color w:val="auto"/>
              </w:rPr>
            </w:pPr>
          </w:p>
        </w:tc>
        <w:tc>
          <w:tcPr>
            <w:tcW w:w="300" w:type="dxa"/>
            <w:vAlign w:val="bottom"/>
            <w:tcBorders>
              <w:bottom w:val="single" w:sz="8" w:color="E5FF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2017</w:t>
            </w:r>
          </w:p>
        </w:tc>
        <w:tc>
          <w:tcPr>
            <w:tcW w:w="300" w:type="dxa"/>
            <w:vAlign w:val="bottom"/>
            <w:tcBorders>
              <w:bottom w:val="single" w:sz="8" w:color="E5FF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w w:val="84"/>
              </w:rPr>
              <w:t>2018</w:t>
            </w:r>
          </w:p>
        </w:tc>
        <w:tc>
          <w:tcPr>
            <w:tcW w:w="120" w:type="dxa"/>
            <w:vAlign w:val="bottom"/>
            <w:tcBorders>
              <w:bottom w:val="single" w:sz="8" w:color="E5FFFF"/>
            </w:tcBorders>
          </w:tcPr>
          <w:p>
            <w:pPr>
              <w:spacing w:after="0"/>
              <w:rPr>
                <w:sz w:val="19"/>
                <w:szCs w:val="19"/>
                <w:color w:val="auto"/>
              </w:rPr>
            </w:pPr>
          </w:p>
        </w:tc>
      </w:tr>
      <w:tr>
        <w:trPr>
          <w:trHeight w:val="200"/>
        </w:trPr>
        <w:tc>
          <w:tcPr>
            <w:tcW w:w="5240" w:type="dxa"/>
            <w:vAlign w:val="bottom"/>
            <w:shd w:val="clear" w:color="auto" w:fill="E5FFFF"/>
          </w:tcPr>
          <w:p>
            <w:pPr>
              <w:spacing w:after="0"/>
              <w:rPr>
                <w:sz w:val="20"/>
                <w:szCs w:val="20"/>
                <w:color w:val="auto"/>
              </w:rPr>
            </w:pPr>
            <w:r>
              <w:rPr>
                <w:rFonts w:ascii="Arial" w:cs="Arial" w:eastAsia="Arial" w:hAnsi="Arial"/>
                <w:sz w:val="17"/>
                <w:szCs w:val="17"/>
                <w:b w:val="1"/>
                <w:bCs w:val="1"/>
                <w:color w:val="auto"/>
              </w:rPr>
              <w:t>Gain/(loss) on derivatives</w:t>
            </w:r>
          </w:p>
        </w:tc>
        <w:tc>
          <w:tcPr>
            <w:tcW w:w="46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5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54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r>
      <w:tr>
        <w:trPr>
          <w:trHeight w:val="214"/>
        </w:trPr>
        <w:tc>
          <w:tcPr>
            <w:tcW w:w="5240" w:type="dxa"/>
            <w:vAlign w:val="bottom"/>
          </w:tcPr>
          <w:p>
            <w:pPr>
              <w:spacing w:after="0"/>
              <w:rPr>
                <w:sz w:val="20"/>
                <w:szCs w:val="20"/>
                <w:color w:val="auto"/>
              </w:rPr>
            </w:pPr>
            <w:r>
              <w:rPr>
                <w:rFonts w:ascii="Arial" w:cs="Arial" w:eastAsia="Arial" w:hAnsi="Arial"/>
                <w:sz w:val="17"/>
                <w:szCs w:val="17"/>
                <w:color w:val="auto"/>
              </w:rPr>
              <w:t>Realized gain/(loss) on derivatives held for trading</w:t>
            </w: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7"/>
                <w:szCs w:val="17"/>
                <w:color w:val="auto"/>
              </w:rPr>
              <w:t>(1,650)</w:t>
            </w:r>
          </w:p>
        </w:tc>
        <w:tc>
          <w:tcPr>
            <w:tcW w:w="880" w:type="dxa"/>
            <w:vAlign w:val="bottom"/>
          </w:tcPr>
          <w:p>
            <w:pPr>
              <w:jc w:val="right"/>
              <w:ind w:right="454"/>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828</w:t>
            </w: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(7,842)</w:t>
            </w:r>
          </w:p>
        </w:tc>
        <w:tc>
          <w:tcPr>
            <w:tcW w:w="54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1,893</w:t>
            </w:r>
          </w:p>
        </w:tc>
        <w:tc>
          <w:tcPr>
            <w:tcW w:w="120" w:type="dxa"/>
            <w:vAlign w:val="bottom"/>
          </w:tcPr>
          <w:p>
            <w:pPr>
              <w:spacing w:after="0"/>
              <w:rPr>
                <w:sz w:val="18"/>
                <w:szCs w:val="18"/>
                <w:color w:val="auto"/>
              </w:rPr>
            </w:pPr>
          </w:p>
        </w:tc>
      </w:tr>
      <w:tr>
        <w:trPr>
          <w:trHeight w:val="204"/>
        </w:trPr>
        <w:tc>
          <w:tcPr>
            <w:tcW w:w="5240" w:type="dxa"/>
            <w:vAlign w:val="bottom"/>
            <w:shd w:val="clear" w:color="auto" w:fill="E5FFFF"/>
          </w:tcPr>
          <w:p>
            <w:pPr>
              <w:spacing w:after="0"/>
              <w:rPr>
                <w:sz w:val="20"/>
                <w:szCs w:val="20"/>
                <w:color w:val="auto"/>
              </w:rPr>
            </w:pPr>
            <w:r>
              <w:rPr>
                <w:rFonts w:ascii="Arial" w:cs="Arial" w:eastAsia="Arial" w:hAnsi="Arial"/>
                <w:sz w:val="17"/>
                <w:szCs w:val="17"/>
                <w:color w:val="auto"/>
              </w:rPr>
              <w:t>Realized (loss)/gain on forward foreign exchange contracts held for</w:t>
            </w:r>
          </w:p>
        </w:tc>
        <w:tc>
          <w:tcPr>
            <w:tcW w:w="46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5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54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r>
      <w:tr>
        <w:trPr>
          <w:trHeight w:val="224"/>
        </w:trPr>
        <w:tc>
          <w:tcPr>
            <w:tcW w:w="5240" w:type="dxa"/>
            <w:vAlign w:val="bottom"/>
            <w:shd w:val="clear" w:color="auto" w:fill="E5FFFF"/>
          </w:tcPr>
          <w:p>
            <w:pPr>
              <w:ind w:left="180"/>
              <w:spacing w:after="0"/>
              <w:rPr>
                <w:sz w:val="20"/>
                <w:szCs w:val="20"/>
                <w:color w:val="auto"/>
              </w:rPr>
            </w:pPr>
            <w:r>
              <w:rPr>
                <w:rFonts w:ascii="Arial" w:cs="Arial" w:eastAsia="Arial" w:hAnsi="Arial"/>
                <w:sz w:val="17"/>
                <w:szCs w:val="17"/>
                <w:color w:val="auto"/>
              </w:rPr>
              <w:t>trading</w:t>
            </w:r>
          </w:p>
        </w:tc>
        <w:tc>
          <w:tcPr>
            <w:tcW w:w="460" w:type="dxa"/>
            <w:vAlign w:val="bottom"/>
            <w:shd w:val="clear" w:color="auto" w:fill="E5FFFF"/>
          </w:tcPr>
          <w:p>
            <w:pPr>
              <w:spacing w:after="0"/>
              <w:rPr>
                <w:sz w:val="19"/>
                <w:szCs w:val="19"/>
                <w:color w:val="auto"/>
              </w:rPr>
            </w:pPr>
          </w:p>
        </w:tc>
        <w:tc>
          <w:tcPr>
            <w:tcW w:w="1320" w:type="dxa"/>
            <w:vAlign w:val="bottom"/>
            <w:gridSpan w:val="2"/>
            <w:shd w:val="clear" w:color="auto" w:fill="E5FFFF"/>
          </w:tcPr>
          <w:p>
            <w:pPr>
              <w:jc w:val="right"/>
              <w:ind w:right="320"/>
              <w:spacing w:after="0"/>
              <w:rPr>
                <w:sz w:val="20"/>
                <w:szCs w:val="20"/>
                <w:color w:val="auto"/>
              </w:rPr>
            </w:pPr>
            <w:r>
              <w:rPr>
                <w:rFonts w:ascii="Arial" w:cs="Arial" w:eastAsia="Arial" w:hAnsi="Arial"/>
                <w:sz w:val="17"/>
                <w:szCs w:val="17"/>
                <w:color w:val="auto"/>
              </w:rPr>
              <w:t>1,789</w:t>
            </w:r>
          </w:p>
        </w:tc>
        <w:tc>
          <w:tcPr>
            <w:tcW w:w="880" w:type="dxa"/>
            <w:vAlign w:val="bottom"/>
            <w:shd w:val="clear" w:color="auto" w:fill="E5FFFF"/>
          </w:tcPr>
          <w:p>
            <w:pPr>
              <w:spacing w:after="0"/>
              <w:rPr>
                <w:sz w:val="19"/>
                <w:szCs w:val="19"/>
                <w:color w:val="auto"/>
              </w:rPr>
            </w:pPr>
          </w:p>
        </w:tc>
        <w:tc>
          <w:tcPr>
            <w:tcW w:w="840" w:type="dxa"/>
            <w:vAlign w:val="bottom"/>
            <w:gridSpan w:val="2"/>
            <w:shd w:val="clear" w:color="auto" w:fill="E5FFFF"/>
          </w:tcPr>
          <w:p>
            <w:pPr>
              <w:jc w:val="right"/>
              <w:ind w:right="160"/>
              <w:spacing w:after="0"/>
              <w:rPr>
                <w:sz w:val="20"/>
                <w:szCs w:val="20"/>
                <w:color w:val="auto"/>
              </w:rPr>
            </w:pPr>
            <w:r>
              <w:rPr>
                <w:rFonts w:ascii="Arial" w:cs="Arial" w:eastAsia="Arial" w:hAnsi="Arial"/>
                <w:sz w:val="17"/>
                <w:szCs w:val="17"/>
                <w:color w:val="auto"/>
              </w:rPr>
              <w:t>(1,122)</w:t>
            </w:r>
          </w:p>
        </w:tc>
        <w:tc>
          <w:tcPr>
            <w:tcW w:w="440" w:type="dxa"/>
            <w:vAlign w:val="bottom"/>
            <w:shd w:val="clear" w:color="auto" w:fill="E5FFFF"/>
          </w:tcPr>
          <w:p>
            <w:pPr>
              <w:spacing w:after="0"/>
              <w:rPr>
                <w:sz w:val="19"/>
                <w:szCs w:val="19"/>
                <w:color w:val="auto"/>
              </w:rPr>
            </w:pPr>
          </w:p>
        </w:tc>
        <w:tc>
          <w:tcPr>
            <w:tcW w:w="980" w:type="dxa"/>
            <w:vAlign w:val="bottom"/>
            <w:shd w:val="clear" w:color="auto" w:fill="E5FFFF"/>
          </w:tcPr>
          <w:p>
            <w:pPr>
              <w:jc w:val="right"/>
              <w:spacing w:after="0"/>
              <w:rPr>
                <w:sz w:val="20"/>
                <w:szCs w:val="20"/>
                <w:color w:val="auto"/>
              </w:rPr>
            </w:pPr>
            <w:r>
              <w:rPr>
                <w:rFonts w:ascii="Arial" w:cs="Arial" w:eastAsia="Arial" w:hAnsi="Arial"/>
                <w:sz w:val="17"/>
                <w:szCs w:val="17"/>
                <w:color w:val="auto"/>
              </w:rPr>
              <w:t>3,730</w:t>
            </w:r>
          </w:p>
        </w:tc>
        <w:tc>
          <w:tcPr>
            <w:tcW w:w="300" w:type="dxa"/>
            <w:vAlign w:val="bottom"/>
            <w:shd w:val="clear" w:color="auto" w:fill="E5FFFF"/>
          </w:tcPr>
          <w:p>
            <w:pPr>
              <w:spacing w:after="0"/>
              <w:rPr>
                <w:sz w:val="19"/>
                <w:szCs w:val="19"/>
                <w:color w:val="auto"/>
              </w:rPr>
            </w:pPr>
          </w:p>
        </w:tc>
        <w:tc>
          <w:tcPr>
            <w:tcW w:w="540" w:type="dxa"/>
            <w:vAlign w:val="bottom"/>
            <w:shd w:val="clear" w:color="auto" w:fill="E5FFFF"/>
          </w:tcPr>
          <w:p>
            <w:pPr>
              <w:spacing w:after="0"/>
              <w:rPr>
                <w:sz w:val="19"/>
                <w:szCs w:val="19"/>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7"/>
                <w:szCs w:val="17"/>
                <w:color w:val="auto"/>
              </w:rPr>
              <w:t>241</w:t>
            </w:r>
          </w:p>
        </w:tc>
        <w:tc>
          <w:tcPr>
            <w:tcW w:w="120" w:type="dxa"/>
            <w:vAlign w:val="bottom"/>
            <w:shd w:val="clear" w:color="auto" w:fill="E5FFFF"/>
          </w:tcPr>
          <w:p>
            <w:pPr>
              <w:spacing w:after="0"/>
              <w:rPr>
                <w:sz w:val="19"/>
                <w:szCs w:val="19"/>
                <w:color w:val="auto"/>
              </w:rPr>
            </w:pPr>
          </w:p>
        </w:tc>
      </w:tr>
      <w:tr>
        <w:trPr>
          <w:trHeight w:val="204"/>
        </w:trPr>
        <w:tc>
          <w:tcPr>
            <w:tcW w:w="5240" w:type="dxa"/>
            <w:vAlign w:val="bottom"/>
          </w:tcPr>
          <w:p>
            <w:pPr>
              <w:spacing w:after="0"/>
              <w:rPr>
                <w:sz w:val="20"/>
                <w:szCs w:val="20"/>
                <w:color w:val="auto"/>
              </w:rPr>
            </w:pPr>
            <w:r>
              <w:rPr>
                <w:rFonts w:ascii="Arial" w:cs="Arial" w:eastAsia="Arial" w:hAnsi="Arial"/>
                <w:sz w:val="17"/>
                <w:szCs w:val="17"/>
                <w:color w:val="auto"/>
              </w:rPr>
              <w:t>Unrealized gain/(loss) on derivative financial instruments held for</w:t>
            </w: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5240" w:type="dxa"/>
            <w:vAlign w:val="bottom"/>
          </w:tcPr>
          <w:p>
            <w:pPr>
              <w:ind w:left="180"/>
              <w:spacing w:after="0"/>
              <w:rPr>
                <w:sz w:val="20"/>
                <w:szCs w:val="20"/>
                <w:color w:val="auto"/>
              </w:rPr>
            </w:pPr>
            <w:r>
              <w:rPr>
                <w:rFonts w:ascii="Arial" w:cs="Arial" w:eastAsia="Arial" w:hAnsi="Arial"/>
                <w:sz w:val="17"/>
                <w:szCs w:val="17"/>
                <w:color w:val="auto"/>
              </w:rPr>
              <w:t>trading</w:t>
            </w:r>
          </w:p>
        </w:tc>
        <w:tc>
          <w:tcPr>
            <w:tcW w:w="46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7"/>
                <w:szCs w:val="17"/>
                <w:color w:val="auto"/>
              </w:rPr>
              <w:t>8,536</w:t>
            </w:r>
          </w:p>
        </w:tc>
        <w:tc>
          <w:tcPr>
            <w:tcW w:w="8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w w:val="91"/>
              </w:rPr>
              <w:t>(32,132)</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10,570</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(7,922)</w:t>
            </w:r>
          </w:p>
        </w:tc>
      </w:tr>
      <w:tr>
        <w:trPr>
          <w:trHeight w:val="221"/>
        </w:trPr>
        <w:tc>
          <w:tcPr>
            <w:tcW w:w="5240" w:type="dxa"/>
            <w:vAlign w:val="bottom"/>
            <w:shd w:val="clear" w:color="auto" w:fill="E5FFFF"/>
          </w:tcPr>
          <w:p>
            <w:pPr>
              <w:spacing w:after="0"/>
              <w:rPr>
                <w:sz w:val="20"/>
                <w:szCs w:val="20"/>
                <w:color w:val="auto"/>
              </w:rPr>
            </w:pPr>
            <w:r>
              <w:rPr>
                <w:rFonts w:ascii="Arial" w:cs="Arial" w:eastAsia="Arial" w:hAnsi="Arial"/>
                <w:sz w:val="17"/>
                <w:szCs w:val="17"/>
                <w:color w:val="auto"/>
              </w:rPr>
              <w:t>Recycled loss of cash flow hedges reclassified to profit or loss</w:t>
            </w:r>
          </w:p>
        </w:tc>
        <w:tc>
          <w:tcPr>
            <w:tcW w:w="460" w:type="dxa"/>
            <w:vAlign w:val="bottom"/>
            <w:shd w:val="clear" w:color="auto" w:fill="E5FFFF"/>
          </w:tcPr>
          <w:p>
            <w:pPr>
              <w:spacing w:after="0"/>
              <w:rPr>
                <w:sz w:val="19"/>
                <w:szCs w:val="19"/>
                <w:color w:val="auto"/>
              </w:rPr>
            </w:pPr>
          </w:p>
        </w:tc>
        <w:tc>
          <w:tcPr>
            <w:tcW w:w="1320" w:type="dxa"/>
            <w:vAlign w:val="bottom"/>
            <w:gridSpan w:val="2"/>
            <w:shd w:val="clear" w:color="auto" w:fill="E5FFFF"/>
          </w:tcPr>
          <w:p>
            <w:pPr>
              <w:jc w:val="right"/>
              <w:ind w:right="320"/>
              <w:spacing w:after="0"/>
              <w:rPr>
                <w:sz w:val="20"/>
                <w:szCs w:val="20"/>
                <w:color w:val="auto"/>
              </w:rPr>
            </w:pPr>
            <w:r>
              <w:rPr>
                <w:rFonts w:ascii="Arial" w:cs="Arial" w:eastAsia="Arial" w:hAnsi="Arial"/>
                <w:sz w:val="17"/>
                <w:szCs w:val="17"/>
                <w:color w:val="auto"/>
              </w:rPr>
              <w:t>—</w:t>
            </w:r>
          </w:p>
        </w:tc>
        <w:tc>
          <w:tcPr>
            <w:tcW w:w="880" w:type="dxa"/>
            <w:vAlign w:val="bottom"/>
            <w:shd w:val="clear" w:color="auto" w:fill="E5FFFF"/>
          </w:tcPr>
          <w:p>
            <w:pPr>
              <w:spacing w:after="0"/>
              <w:rPr>
                <w:sz w:val="19"/>
                <w:szCs w:val="19"/>
                <w:color w:val="auto"/>
              </w:rPr>
            </w:pPr>
          </w:p>
        </w:tc>
        <w:tc>
          <w:tcPr>
            <w:tcW w:w="840" w:type="dxa"/>
            <w:vAlign w:val="bottom"/>
            <w:gridSpan w:val="2"/>
            <w:shd w:val="clear" w:color="auto" w:fill="E5FFFF"/>
          </w:tcPr>
          <w:p>
            <w:pPr>
              <w:jc w:val="right"/>
              <w:ind w:right="220"/>
              <w:spacing w:after="0"/>
              <w:rPr>
                <w:sz w:val="20"/>
                <w:szCs w:val="20"/>
                <w:color w:val="auto"/>
              </w:rPr>
            </w:pPr>
            <w:r>
              <w:rPr>
                <w:rFonts w:ascii="Arial" w:cs="Arial" w:eastAsia="Arial" w:hAnsi="Arial"/>
                <w:sz w:val="17"/>
                <w:szCs w:val="17"/>
                <w:color w:val="auto"/>
              </w:rPr>
              <w:t>—</w:t>
            </w:r>
          </w:p>
        </w:tc>
        <w:tc>
          <w:tcPr>
            <w:tcW w:w="440" w:type="dxa"/>
            <w:vAlign w:val="bottom"/>
            <w:shd w:val="clear" w:color="auto" w:fill="E5FFFF"/>
          </w:tcPr>
          <w:p>
            <w:pPr>
              <w:spacing w:after="0"/>
              <w:rPr>
                <w:sz w:val="19"/>
                <w:szCs w:val="19"/>
                <w:color w:val="auto"/>
              </w:rPr>
            </w:pPr>
          </w:p>
        </w:tc>
        <w:tc>
          <w:tcPr>
            <w:tcW w:w="1280" w:type="dxa"/>
            <w:vAlign w:val="bottom"/>
            <w:gridSpan w:val="2"/>
            <w:shd w:val="clear" w:color="auto" w:fill="E5FFFF"/>
          </w:tcPr>
          <w:p>
            <w:pPr>
              <w:jc w:val="right"/>
              <w:ind w:right="240"/>
              <w:spacing w:after="0"/>
              <w:rPr>
                <w:sz w:val="20"/>
                <w:szCs w:val="20"/>
                <w:color w:val="auto"/>
              </w:rPr>
            </w:pPr>
            <w:r>
              <w:rPr>
                <w:rFonts w:ascii="Arial" w:cs="Arial" w:eastAsia="Arial" w:hAnsi="Arial"/>
                <w:sz w:val="17"/>
                <w:szCs w:val="17"/>
                <w:color w:val="auto"/>
              </w:rPr>
              <w:t>(4,368)</w:t>
            </w:r>
          </w:p>
        </w:tc>
        <w:tc>
          <w:tcPr>
            <w:tcW w:w="540" w:type="dxa"/>
            <w:vAlign w:val="bottom"/>
            <w:shd w:val="clear" w:color="auto" w:fill="E5FFFF"/>
          </w:tcPr>
          <w:p>
            <w:pPr>
              <w:spacing w:after="0"/>
              <w:rPr>
                <w:sz w:val="19"/>
                <w:szCs w:val="19"/>
                <w:color w:val="auto"/>
              </w:rPr>
            </w:pPr>
          </w:p>
        </w:tc>
        <w:tc>
          <w:tcPr>
            <w:tcW w:w="1000" w:type="dxa"/>
            <w:vAlign w:val="bottom"/>
            <w:gridSpan w:val="2"/>
            <w:shd w:val="clear" w:color="auto" w:fill="E5FFFF"/>
          </w:tcPr>
          <w:p>
            <w:pPr>
              <w:jc w:val="right"/>
              <w:ind w:right="40"/>
              <w:spacing w:after="0"/>
              <w:rPr>
                <w:sz w:val="20"/>
                <w:szCs w:val="20"/>
                <w:color w:val="auto"/>
              </w:rPr>
            </w:pPr>
            <w:r>
              <w:rPr>
                <w:rFonts w:ascii="Arial" w:cs="Arial" w:eastAsia="Arial" w:hAnsi="Arial"/>
                <w:sz w:val="17"/>
                <w:szCs w:val="17"/>
                <w:color w:val="auto"/>
              </w:rPr>
              <w:t>—</w:t>
            </w:r>
          </w:p>
        </w:tc>
      </w:tr>
      <w:tr>
        <w:trPr>
          <w:trHeight w:val="214"/>
        </w:trPr>
        <w:tc>
          <w:tcPr>
            <w:tcW w:w="5240" w:type="dxa"/>
            <w:vAlign w:val="bottom"/>
          </w:tcPr>
          <w:p>
            <w:pPr>
              <w:spacing w:after="0"/>
              <w:rPr>
                <w:sz w:val="20"/>
                <w:szCs w:val="20"/>
                <w:color w:val="auto"/>
              </w:rPr>
            </w:pPr>
            <w:r>
              <w:rPr>
                <w:rFonts w:ascii="Arial" w:cs="Arial" w:eastAsia="Arial" w:hAnsi="Arial"/>
                <w:sz w:val="17"/>
                <w:szCs w:val="17"/>
                <w:color w:val="auto"/>
              </w:rPr>
              <w:t>Ineffective portion of cash flow hedges</w:t>
            </w:r>
          </w:p>
        </w:tc>
        <w:tc>
          <w:tcPr>
            <w:tcW w:w="46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7"/>
                <w:szCs w:val="17"/>
                <w:color w:val="auto"/>
              </w:rPr>
              <w:t>(65)</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43</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(65)</w:t>
            </w:r>
          </w:p>
        </w:tc>
        <w:tc>
          <w:tcPr>
            <w:tcW w:w="5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(289)</w:t>
            </w:r>
          </w:p>
        </w:tc>
      </w:tr>
      <w:tr>
        <w:trPr>
          <w:trHeight w:val="220"/>
        </w:trPr>
        <w:tc>
          <w:tcPr>
            <w:tcW w:w="524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7"/>
                <w:szCs w:val="17"/>
                <w:b w:val="1"/>
                <w:bCs w:val="1"/>
                <w:color w:val="auto"/>
              </w:rPr>
              <w:t>Total</w:t>
            </w:r>
          </w:p>
        </w:tc>
        <w:tc>
          <w:tcPr>
            <w:tcW w:w="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8,610</w:t>
            </w:r>
          </w:p>
        </w:tc>
        <w:tc>
          <w:tcPr>
            <w:tcW w:w="320" w:type="dxa"/>
            <w:vAlign w:val="bottom"/>
            <w:tcBorders>
              <w:top w:val="single" w:sz="8" w:color="E5FFFF"/>
              <w:bottom w:val="single" w:sz="8" w:color="E5FFFF"/>
            </w:tcBorders>
            <w:shd w:val="clear" w:color="auto" w:fill="E5FFFF"/>
          </w:tcPr>
          <w:p>
            <w:pPr>
              <w:spacing w:after="0"/>
              <w:rPr>
                <w:sz w:val="19"/>
                <w:szCs w:val="19"/>
                <w:color w:val="auto"/>
              </w:rPr>
            </w:pPr>
          </w:p>
        </w:tc>
        <w:tc>
          <w:tcPr>
            <w:tcW w:w="880" w:type="dxa"/>
            <w:vAlign w:val="bottom"/>
            <w:tcBorders>
              <w:top w:val="single" w:sz="8" w:color="auto"/>
              <w:bottom w:val="single" w:sz="8" w:color="auto"/>
            </w:tcBorders>
            <w:shd w:val="clear" w:color="auto" w:fill="E5FFFF"/>
          </w:tcPr>
          <w:p>
            <w:pPr>
              <w:jc w:val="right"/>
              <w:ind w:right="454"/>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w w:val="90"/>
              </w:rPr>
              <w:t>(32,383</w:t>
            </w:r>
          </w:p>
        </w:tc>
        <w:tc>
          <w:tcPr>
            <w:tcW w:w="300" w:type="dxa"/>
            <w:vAlign w:val="bottom"/>
            <w:tcBorders>
              <w:top w:val="single" w:sz="8" w:color="E5FFFF"/>
              <w:bottom w:val="single" w:sz="8" w:color="E5FFFF"/>
            </w:tcBorders>
            <w:shd w:val="clear" w:color="auto" w:fill="E5FFFF"/>
          </w:tcPr>
          <w:p>
            <w:pPr>
              <w:jc w:val="right"/>
              <w:ind w:right="160"/>
              <w:spacing w:after="0"/>
              <w:rPr>
                <w:sz w:val="20"/>
                <w:szCs w:val="20"/>
                <w:color w:val="auto"/>
              </w:rPr>
            </w:pPr>
            <w:r>
              <w:rPr>
                <w:rFonts w:ascii="Arial" w:cs="Arial" w:eastAsia="Arial" w:hAnsi="Arial"/>
                <w:sz w:val="16"/>
                <w:szCs w:val="16"/>
                <w:b w:val="1"/>
                <w:bCs w:val="1"/>
                <w:color w:val="auto"/>
                <w:w w:val="74"/>
              </w:rPr>
              <w:t>)</w:t>
            </w:r>
          </w:p>
        </w:tc>
        <w:tc>
          <w:tcPr>
            <w:tcW w:w="4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2,025</w:t>
            </w:r>
          </w:p>
        </w:tc>
        <w:tc>
          <w:tcPr>
            <w:tcW w:w="300" w:type="dxa"/>
            <w:vAlign w:val="bottom"/>
            <w:tcBorders>
              <w:top w:val="single" w:sz="8" w:color="E5FFFF"/>
              <w:bottom w:val="single" w:sz="8" w:color="E5FFFF"/>
            </w:tcBorders>
            <w:shd w:val="clear" w:color="auto" w:fill="E5FFFF"/>
          </w:tcPr>
          <w:p>
            <w:pPr>
              <w:spacing w:after="0"/>
              <w:rPr>
                <w:sz w:val="19"/>
                <w:szCs w:val="19"/>
                <w:color w:val="auto"/>
              </w:rPr>
            </w:pPr>
          </w:p>
        </w:tc>
        <w:tc>
          <w:tcPr>
            <w:tcW w:w="540" w:type="dxa"/>
            <w:vAlign w:val="bottom"/>
            <w:tcBorders>
              <w:top w:val="single" w:sz="8" w:color="auto"/>
              <w:bottom w:val="single" w:sz="8" w:color="auto"/>
            </w:tcBorders>
            <w:shd w:val="clear" w:color="auto" w:fill="E5FFFF"/>
          </w:tcPr>
          <w:p>
            <w:pPr>
              <w:jc w:val="right"/>
              <w:ind w:right="94"/>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(6,077</w:t>
            </w:r>
          </w:p>
        </w:tc>
        <w:tc>
          <w:tcPr>
            <w:tcW w:w="120" w:type="dxa"/>
            <w:vAlign w:val="bottom"/>
            <w:tcBorders>
              <w:top w:val="single" w:sz="8" w:color="E5FFFF"/>
              <w:bottom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5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9" w:lineRule="exact"/>
        <w:rPr>
          <w:sz w:val="20"/>
          <w:szCs w:val="20"/>
          <w:color w:val="auto"/>
        </w:rPr>
      </w:pPr>
    </w:p>
    <w:p>
      <w:pPr>
        <w:ind w:right="420"/>
        <w:spacing w:after="0" w:line="275" w:lineRule="auto"/>
        <w:rPr>
          <w:sz w:val="20"/>
          <w:szCs w:val="20"/>
          <w:color w:val="auto"/>
        </w:rPr>
      </w:pPr>
      <w:r>
        <w:rPr>
          <w:rFonts w:ascii="Arial" w:cs="Arial" w:eastAsia="Arial" w:hAnsi="Arial"/>
          <w:sz w:val="17"/>
          <w:szCs w:val="17"/>
          <w:color w:val="auto"/>
        </w:rPr>
        <w:t>There was a profit of $30.4 million and $126.4 million for the quarter and the year ended December 31, 2018, respectively ($29.7 million and $84.2 million profit for the quarter and the year ended December 31, 2017, respectively). The increase in profit was mainly attributable to the increase in profit from operations due to the factors mentioned above, partially offset by the decrease in gain on derivatives and the increase in financial costs.</w:t>
      </w:r>
    </w:p>
    <w:p>
      <w:pPr>
        <w:spacing w:after="0" w:line="196" w:lineRule="exact"/>
        <w:rPr>
          <w:sz w:val="20"/>
          <w:szCs w:val="20"/>
          <w:color w:val="auto"/>
        </w:rPr>
      </w:pPr>
    </w:p>
    <w:p>
      <w:pPr>
        <w:ind w:right="260"/>
        <w:spacing w:after="0" w:line="297" w:lineRule="auto"/>
        <w:rPr>
          <w:sz w:val="20"/>
          <w:szCs w:val="20"/>
          <w:color w:val="auto"/>
        </w:rPr>
      </w:pPr>
      <w:r>
        <w:rPr>
          <w:rFonts w:ascii="Arial" w:cs="Arial" w:eastAsia="Arial" w:hAnsi="Arial"/>
          <w:sz w:val="15"/>
          <w:szCs w:val="15"/>
          <w:color w:val="auto"/>
        </w:rPr>
        <w:t>Adjusted Profit</w:t>
      </w:r>
      <w:r>
        <w:rPr>
          <w:rFonts w:ascii="Arial" w:cs="Arial" w:eastAsia="Arial" w:hAnsi="Arial"/>
          <w:sz w:val="19"/>
          <w:szCs w:val="19"/>
          <w:color w:val="auto"/>
          <w:vertAlign w:val="superscript"/>
        </w:rPr>
        <w:t>(1)</w:t>
      </w:r>
      <w:r>
        <w:rPr>
          <w:rFonts w:ascii="Arial" w:cs="Arial" w:eastAsia="Arial" w:hAnsi="Arial"/>
          <w:sz w:val="15"/>
          <w:szCs w:val="15"/>
          <w:color w:val="auto"/>
        </w:rPr>
        <w:t xml:space="preserve"> was $62.5 million and $134.8 million for the quarter and the year ended December 31, 2018, respectively ($21.4 million and $78.7 million for the quarter and the year ended December 31, 2017, respectively) adjusted for the effects of the non-cash losses on derivatives and the net foreign exchange losses/(gains).</w:t>
      </w:r>
    </w:p>
    <w:p>
      <w:pPr>
        <w:spacing w:after="0" w:line="174"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Profit attributable to the owners of GasLog was $13.8 million and $47.7 million for the quarter and the year ended December 31, 2018, respectively ($8.9 million and $15.5 million profit for the quarter and the year ended December 31, 2017, respectively). The increase in profit attributable to the owners of GasLog in the fourth quarter of 2018, as compared to the fourth quarter of 2017, resulted mainly from the respective movements in profit mentioned above and the decreased amount allocated to third parties following the decreased Partnership’s profit. The year-on-year increase in profit attributable to the owners of GasLog resulted mainly from the respective movements in profit mentioned above, partially offset by the increased amount allocated to third parties as a result of the issuances under the GasLog Partners’ ATM Programme, the preference unit issuances in January 2018 and November 2018 and the sale of three vessels to GasLog Partners.</w:t>
      </w:r>
    </w:p>
    <w:p>
      <w:pPr>
        <w:spacing w:after="0" w:line="189" w:lineRule="exact"/>
        <w:rPr>
          <w:sz w:val="20"/>
          <w:szCs w:val="20"/>
          <w:color w:val="auto"/>
        </w:rPr>
      </w:pPr>
    </w:p>
    <w:p>
      <w:pPr>
        <w:ind w:right="40"/>
        <w:spacing w:after="0" w:line="221" w:lineRule="auto"/>
        <w:rPr>
          <w:sz w:val="20"/>
          <w:szCs w:val="20"/>
          <w:color w:val="auto"/>
        </w:rPr>
      </w:pPr>
      <w:r>
        <w:rPr>
          <w:rFonts w:ascii="Arial" w:cs="Arial" w:eastAsia="Arial" w:hAnsi="Arial"/>
          <w:sz w:val="17"/>
          <w:szCs w:val="17"/>
          <w:color w:val="auto"/>
        </w:rPr>
        <w:t>EBITDA</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was $145.0 million and $447.5 million for the quarter and the year ended December 31, 2018, respectively ($89.7 million and $355.9 million for the quarter and the year ended December 31, 2017, respectively). The increase in EBITDA</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in the fourth quarter of 2018 as compared to the same quarter of 2017 was driven by the increase in revenues and improved net pool performance reflecting the significant increase in LNG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646670" cy="311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218" w:right="120" w:bottom="637" w:gutter="0" w:footer="0" w:header="0"/>
        </w:sectPr>
      </w:pPr>
    </w:p>
    <w:bookmarkStart w:id="8" w:name="page9"/>
    <w:bookmarkEnd w:id="8"/>
    <w:p>
      <w:pPr>
        <w:ind w:left="6" w:right="420"/>
        <w:spacing w:after="0" w:line="317" w:lineRule="auto"/>
        <w:rPr>
          <w:sz w:val="20"/>
          <w:szCs w:val="20"/>
          <w:color w:val="auto"/>
        </w:rPr>
      </w:pPr>
      <w:r>
        <w:rPr>
          <w:rFonts w:ascii="Arial" w:cs="Arial" w:eastAsia="Arial" w:hAnsi="Arial"/>
          <w:sz w:val="15"/>
          <w:szCs w:val="15"/>
          <w:color w:val="auto"/>
        </w:rPr>
        <w:t>shipping spot rates, as well as the decrease in vessels operating and supervision costs and voyages expenses. The year-on-year increase in EBITDA</w:t>
      </w:r>
      <w:r>
        <w:rPr>
          <w:rFonts w:ascii="Arial" w:cs="Arial" w:eastAsia="Arial" w:hAnsi="Arial"/>
          <w:sz w:val="19"/>
          <w:szCs w:val="19"/>
          <w:color w:val="auto"/>
          <w:vertAlign w:val="superscript"/>
        </w:rPr>
        <w:t>(1)</w:t>
      </w:r>
      <w:r>
        <w:rPr>
          <w:rFonts w:ascii="Arial" w:cs="Arial" w:eastAsia="Arial" w:hAnsi="Arial"/>
          <w:sz w:val="15"/>
          <w:szCs w:val="15"/>
          <w:color w:val="auto"/>
        </w:rPr>
        <w:t xml:space="preserve"> was driven by the increase in revenues and net pool performance, partially offset by the increase in vessel operating expenses and voyage expenses and commissions as discussed above.</w:t>
      </w:r>
    </w:p>
    <w:p>
      <w:pPr>
        <w:spacing w:after="0" w:line="154" w:lineRule="exact"/>
        <w:rPr>
          <w:sz w:val="20"/>
          <w:szCs w:val="20"/>
          <w:color w:val="auto"/>
        </w:rPr>
      </w:pPr>
    </w:p>
    <w:p>
      <w:pPr>
        <w:ind w:left="6" w:right="380"/>
        <w:spacing w:after="0" w:line="231" w:lineRule="auto"/>
        <w:rPr>
          <w:sz w:val="20"/>
          <w:szCs w:val="20"/>
          <w:color w:val="auto"/>
        </w:rPr>
      </w:pPr>
      <w:r>
        <w:rPr>
          <w:rFonts w:ascii="Arial" w:cs="Arial" w:eastAsia="Arial" w:hAnsi="Arial"/>
          <w:sz w:val="17"/>
          <w:szCs w:val="17"/>
          <w:color w:val="auto"/>
        </w:rPr>
        <w:t>Adjusted EBITDA</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was $145.0 million and $447.7 million for the quarter and the year ended December 31, 2018, respectively ($89.7 million and $356.0 million for the quarter and the year ended December 31, 2017, respectively).</w:t>
      </w:r>
    </w:p>
    <w:p>
      <w:pPr>
        <w:spacing w:after="0" w:line="227" w:lineRule="exact"/>
        <w:rPr>
          <w:sz w:val="20"/>
          <w:szCs w:val="20"/>
          <w:color w:val="auto"/>
        </w:rPr>
      </w:pPr>
    </w:p>
    <w:p>
      <w:pPr>
        <w:jc w:val="both"/>
        <w:ind w:left="6"/>
        <w:spacing w:after="0" w:line="275" w:lineRule="auto"/>
        <w:rPr>
          <w:sz w:val="20"/>
          <w:szCs w:val="20"/>
          <w:color w:val="auto"/>
        </w:rPr>
      </w:pPr>
      <w:r>
        <w:rPr>
          <w:rFonts w:ascii="Arial" w:cs="Arial" w:eastAsia="Arial" w:hAnsi="Arial"/>
          <w:sz w:val="17"/>
          <w:szCs w:val="17"/>
          <w:color w:val="auto"/>
        </w:rPr>
        <w:t>Earnings per share was $0.14 and $0.47 for the quarter and the year ended December 31, 2018, respectively (earnings per share of $0.08 and $0.07 for the quarter and the year ended December 31, 2017, respectively). The increase in earnings per share is mainly attributable to the respective movements in profit attributable to the owners of GasLog discussed above.</w:t>
      </w:r>
    </w:p>
    <w:p>
      <w:pPr>
        <w:spacing w:after="0" w:line="196" w:lineRule="exact"/>
        <w:rPr>
          <w:sz w:val="20"/>
          <w:szCs w:val="20"/>
          <w:color w:val="auto"/>
        </w:rPr>
      </w:pPr>
    </w:p>
    <w:p>
      <w:pPr>
        <w:jc w:val="both"/>
        <w:ind w:left="6"/>
        <w:spacing w:after="0" w:line="297" w:lineRule="auto"/>
        <w:rPr>
          <w:sz w:val="20"/>
          <w:szCs w:val="20"/>
          <w:color w:val="auto"/>
        </w:rPr>
      </w:pPr>
      <w:r>
        <w:rPr>
          <w:rFonts w:ascii="Arial" w:cs="Arial" w:eastAsia="Arial" w:hAnsi="Arial"/>
          <w:sz w:val="15"/>
          <w:szCs w:val="15"/>
          <w:color w:val="auto"/>
        </w:rPr>
        <w:t>Adjusted Earnings per share</w:t>
      </w:r>
      <w:r>
        <w:rPr>
          <w:rFonts w:ascii="Arial" w:cs="Arial" w:eastAsia="Arial" w:hAnsi="Arial"/>
          <w:sz w:val="19"/>
          <w:szCs w:val="19"/>
          <w:color w:val="auto"/>
          <w:vertAlign w:val="superscript"/>
        </w:rPr>
        <w:t>(1)</w:t>
      </w:r>
      <w:r>
        <w:rPr>
          <w:rFonts w:ascii="Arial" w:cs="Arial" w:eastAsia="Arial" w:hAnsi="Arial"/>
          <w:sz w:val="15"/>
          <w:szCs w:val="15"/>
          <w:color w:val="auto"/>
        </w:rPr>
        <w:t xml:space="preserve"> was $0.54 and $0.57 for the quarter and the year ended December 31, 2018, respectively (a loss of $0.02 and $0.00 for the quarter and the year ended December 31, 2017, respectively), adjusted for the effects of the non-cash (gains)/losses on derivative financial instruments and the net foreign exchange losses/(gains).</w:t>
      </w:r>
    </w:p>
    <w:p>
      <w:pPr>
        <w:spacing w:after="0" w:line="165" w:lineRule="exact"/>
        <w:rPr>
          <w:sz w:val="20"/>
          <w:szCs w:val="20"/>
          <w:color w:val="auto"/>
        </w:rPr>
      </w:pPr>
    </w:p>
    <w:p>
      <w:pPr>
        <w:jc w:val="both"/>
        <w:ind w:left="126" w:right="100" w:hanging="126"/>
        <w:spacing w:after="0"/>
        <w:tabs>
          <w:tab w:leader="none" w:pos="154" w:val="left"/>
        </w:tabs>
        <w:numPr>
          <w:ilvl w:val="0"/>
          <w:numId w:val="3"/>
        </w:numPr>
        <w:rPr>
          <w:rFonts w:ascii="Arial" w:cs="Arial" w:eastAsia="Arial" w:hAnsi="Arial"/>
          <w:sz w:val="18"/>
          <w:szCs w:val="18"/>
          <w:color w:val="auto"/>
          <w:vertAlign w:val="superscript"/>
        </w:rPr>
      </w:pPr>
      <w:r>
        <w:rPr>
          <w:rFonts w:ascii="Arial" w:cs="Arial" w:eastAsia="Arial" w:hAnsi="Arial"/>
          <w:sz w:val="12"/>
          <w:szCs w:val="12"/>
          <w:color w:val="auto"/>
        </w:rPr>
        <w:t>Adjusted Profit, EBITDA, Adjusted EBITDA and Adjusted EPS are non-GAAP financial measures and should not be used in isolation or as a substitute for GasLog’s financial results presented in accordance with IFRS. For definitions and reconciliations of these measurements to the most directly comparable financial measures calculated and presented in accordance with IFRS, please refer to Exhibit II at the end of this press release.</w:t>
      </w:r>
    </w:p>
    <w:p>
      <w:pPr>
        <w:spacing w:after="0" w:line="357" w:lineRule="exact"/>
        <w:rPr>
          <w:sz w:val="20"/>
          <w:szCs w:val="20"/>
          <w:color w:val="auto"/>
        </w:rPr>
      </w:pPr>
    </w:p>
    <w:p>
      <w:pPr>
        <w:ind w:left="6"/>
        <w:spacing w:after="0"/>
        <w:rPr>
          <w:sz w:val="20"/>
          <w:szCs w:val="20"/>
          <w:color w:val="auto"/>
        </w:rPr>
      </w:pPr>
      <w:r>
        <w:rPr>
          <w:rFonts w:ascii="Arial" w:cs="Arial" w:eastAsia="Arial" w:hAnsi="Arial"/>
          <w:sz w:val="17"/>
          <w:szCs w:val="17"/>
          <w:b w:val="1"/>
          <w:bCs w:val="1"/>
          <w:u w:val="single" w:color="auto"/>
          <w:color w:val="auto"/>
        </w:rPr>
        <w:t>Contracted Charter Revenues and Days from Time Charters</w:t>
      </w:r>
    </w:p>
    <w:p>
      <w:pPr>
        <w:spacing w:after="0" w:line="253" w:lineRule="exact"/>
        <w:rPr>
          <w:sz w:val="20"/>
          <w:szCs w:val="20"/>
          <w:color w:val="auto"/>
        </w:rPr>
      </w:pPr>
    </w:p>
    <w:p>
      <w:pPr>
        <w:ind w:left="6"/>
        <w:spacing w:after="0" w:line="288" w:lineRule="auto"/>
        <w:rPr>
          <w:sz w:val="20"/>
          <w:szCs w:val="20"/>
          <w:color w:val="auto"/>
        </w:rPr>
      </w:pPr>
      <w:r>
        <w:rPr>
          <w:rFonts w:ascii="Arial" w:cs="Arial" w:eastAsia="Arial" w:hAnsi="Arial"/>
          <w:sz w:val="17"/>
          <w:szCs w:val="17"/>
          <w:color w:val="auto"/>
        </w:rPr>
        <w:t>The following table summarizes GasLog’s (including the vessels contributed or sold to GasLog Partners) contracted charter revenues and vessel utilization as of December 31, 2018:</w:t>
      </w:r>
    </w:p>
    <w:p>
      <w:pPr>
        <w:spacing w:after="0" w:line="181" w:lineRule="exact"/>
        <w:rPr>
          <w:sz w:val="20"/>
          <w:szCs w:val="20"/>
          <w:color w:val="auto"/>
        </w:rPr>
      </w:pPr>
    </w:p>
    <w:tbl>
      <w:tblPr>
        <w:tblLayout w:type="fixed"/>
        <w:tblInd w:w="6" w:type="dxa"/>
        <w:tblCellMar>
          <w:top w:w="0" w:type="dxa"/>
          <w:left w:w="0" w:type="dxa"/>
          <w:bottom w:w="0" w:type="dxa"/>
          <w:right w:w="0" w:type="dxa"/>
        </w:tblCellMar>
      </w:tblPr>
      <w:tr>
        <w:trPr>
          <w:trHeight w:val="224"/>
        </w:trPr>
        <w:tc>
          <w:tcPr>
            <w:tcW w:w="4280" w:type="dxa"/>
            <w:vAlign w:val="bottom"/>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For the Year Ending December 31,</w:t>
            </w:r>
          </w:p>
        </w:tc>
        <w:tc>
          <w:tcPr>
            <w:tcW w:w="1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4"/>
        </w:trPr>
        <w:tc>
          <w:tcPr>
            <w:tcW w:w="4280" w:type="dxa"/>
            <w:vAlign w:val="bottom"/>
          </w:tcPr>
          <w:p>
            <w:pPr>
              <w:spacing w:after="0"/>
              <w:rPr>
                <w:sz w:val="18"/>
                <w:szCs w:val="18"/>
                <w:color w:val="auto"/>
              </w:rPr>
            </w:pPr>
          </w:p>
        </w:tc>
        <w:tc>
          <w:tcPr>
            <w:tcW w:w="1460" w:type="dxa"/>
            <w:vAlign w:val="bottom"/>
            <w:tcBorders>
              <w:bottom w:val="single" w:sz="8" w:color="auto"/>
            </w:tcBorders>
          </w:tcPr>
          <w:p>
            <w:pPr>
              <w:jc w:val="right"/>
              <w:ind w:right="614"/>
              <w:spacing w:after="0"/>
              <w:rPr>
                <w:sz w:val="20"/>
                <w:szCs w:val="20"/>
                <w:color w:val="auto"/>
              </w:rPr>
            </w:pPr>
            <w:r>
              <w:rPr>
                <w:rFonts w:ascii="Arial" w:cs="Arial" w:eastAsia="Arial" w:hAnsi="Arial"/>
                <w:sz w:val="17"/>
                <w:szCs w:val="17"/>
                <w:b w:val="1"/>
                <w:bCs w:val="1"/>
                <w:color w:val="auto"/>
              </w:rPr>
              <w:t>2019</w:t>
            </w:r>
          </w:p>
        </w:tc>
        <w:tc>
          <w:tcPr>
            <w:tcW w:w="1440" w:type="dxa"/>
            <w:vAlign w:val="bottom"/>
            <w:tcBorders>
              <w:bottom w:val="single" w:sz="8" w:color="auto"/>
            </w:tcBorders>
          </w:tcPr>
          <w:p>
            <w:pPr>
              <w:jc w:val="right"/>
              <w:ind w:right="654"/>
              <w:spacing w:after="0"/>
              <w:rPr>
                <w:sz w:val="20"/>
                <w:szCs w:val="20"/>
                <w:color w:val="auto"/>
              </w:rPr>
            </w:pPr>
            <w:r>
              <w:rPr>
                <w:rFonts w:ascii="Arial" w:cs="Arial" w:eastAsia="Arial" w:hAnsi="Arial"/>
                <w:sz w:val="17"/>
                <w:szCs w:val="17"/>
                <w:b w:val="1"/>
                <w:bCs w:val="1"/>
                <w:color w:val="auto"/>
              </w:rPr>
              <w:t>2020</w:t>
            </w: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2021</w:t>
            </w: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2022</w:t>
            </w:r>
          </w:p>
        </w:tc>
        <w:tc>
          <w:tcPr>
            <w:tcW w:w="138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w w:val="99"/>
              </w:rPr>
              <w:t>2023 - 2029</w:t>
            </w:r>
          </w:p>
        </w:tc>
        <w:tc>
          <w:tcPr>
            <w:tcW w:w="108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Total</w:t>
            </w:r>
          </w:p>
        </w:tc>
        <w:tc>
          <w:tcPr>
            <w:tcW w:w="120" w:type="dxa"/>
            <w:vAlign w:val="bottom"/>
          </w:tcPr>
          <w:p>
            <w:pPr>
              <w:spacing w:after="0"/>
              <w:rPr>
                <w:sz w:val="18"/>
                <w:szCs w:val="18"/>
                <w:color w:val="auto"/>
              </w:rPr>
            </w:pPr>
          </w:p>
        </w:tc>
      </w:tr>
      <w:tr>
        <w:trPr>
          <w:trHeight w:val="208"/>
        </w:trPr>
        <w:tc>
          <w:tcPr>
            <w:tcW w:w="4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060" w:type="dxa"/>
            <w:vAlign w:val="bottom"/>
            <w:gridSpan w:val="4"/>
          </w:tcPr>
          <w:p>
            <w:pPr>
              <w:jc w:val="right"/>
              <w:ind w:right="574"/>
              <w:spacing w:after="0"/>
              <w:rPr>
                <w:sz w:val="20"/>
                <w:szCs w:val="20"/>
                <w:color w:val="auto"/>
              </w:rPr>
            </w:pPr>
            <w:r>
              <w:rPr>
                <w:rFonts w:ascii="Arial" w:cs="Arial" w:eastAsia="Arial" w:hAnsi="Arial"/>
                <w:sz w:val="17"/>
                <w:szCs w:val="17"/>
                <w:b w:val="1"/>
                <w:bCs w:val="1"/>
                <w:color w:val="auto"/>
                <w:w w:val="94"/>
              </w:rPr>
              <w:t>(in millions of U.S. dollars, except days and percentages)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4"/>
        </w:trPr>
        <w:tc>
          <w:tcPr>
            <w:tcW w:w="4280" w:type="dxa"/>
            <w:vAlign w:val="bottom"/>
            <w:shd w:val="clear" w:color="auto" w:fill="E5FFFF"/>
          </w:tcPr>
          <w:p>
            <w:pPr>
              <w:ind w:left="60"/>
              <w:spacing w:after="0" w:line="213" w:lineRule="exact"/>
              <w:rPr>
                <w:sz w:val="20"/>
                <w:szCs w:val="20"/>
                <w:color w:val="auto"/>
              </w:rPr>
            </w:pPr>
            <w:r>
              <w:rPr>
                <w:rFonts w:ascii="Arial" w:cs="Arial" w:eastAsia="Arial" w:hAnsi="Arial"/>
                <w:sz w:val="17"/>
                <w:szCs w:val="17"/>
                <w:color w:val="auto"/>
              </w:rPr>
              <w:t>Contracted time charter revenues</w:t>
            </w:r>
            <w:r>
              <w:rPr>
                <w:rFonts w:ascii="Arial" w:cs="Arial" w:eastAsia="Arial" w:hAnsi="Arial"/>
                <w:sz w:val="22"/>
                <w:szCs w:val="22"/>
                <w:color w:val="auto"/>
                <w:vertAlign w:val="superscript"/>
              </w:rPr>
              <w:t>(1)</w:t>
            </w:r>
          </w:p>
        </w:tc>
        <w:tc>
          <w:tcPr>
            <w:tcW w:w="1460" w:type="dxa"/>
            <w:vAlign w:val="bottom"/>
            <w:shd w:val="clear" w:color="auto" w:fill="E5FFFF"/>
          </w:tcPr>
          <w:p>
            <w:pPr>
              <w:jc w:val="right"/>
              <w:ind w:right="174"/>
              <w:spacing w:after="0"/>
              <w:rPr>
                <w:sz w:val="20"/>
                <w:szCs w:val="20"/>
                <w:color w:val="auto"/>
              </w:rPr>
            </w:pPr>
            <w:r>
              <w:rPr>
                <w:rFonts w:ascii="Arial" w:cs="Arial" w:eastAsia="Arial" w:hAnsi="Arial"/>
                <w:sz w:val="17"/>
                <w:szCs w:val="17"/>
                <w:color w:val="auto"/>
              </w:rPr>
              <w:t>$548.1</w:t>
            </w:r>
          </w:p>
        </w:tc>
        <w:tc>
          <w:tcPr>
            <w:tcW w:w="1440" w:type="dxa"/>
            <w:vAlign w:val="bottom"/>
            <w:shd w:val="clear" w:color="auto" w:fill="E5FFFF"/>
          </w:tcPr>
          <w:p>
            <w:pPr>
              <w:jc w:val="right"/>
              <w:ind w:right="234"/>
              <w:spacing w:after="0"/>
              <w:rPr>
                <w:sz w:val="20"/>
                <w:szCs w:val="20"/>
                <w:color w:val="auto"/>
              </w:rPr>
            </w:pPr>
            <w:r>
              <w:rPr>
                <w:rFonts w:ascii="Arial" w:cs="Arial" w:eastAsia="Arial" w:hAnsi="Arial"/>
                <w:sz w:val="17"/>
                <w:szCs w:val="17"/>
                <w:color w:val="auto"/>
              </w:rPr>
              <w:t>$480.9</w:t>
            </w:r>
          </w:p>
        </w:tc>
        <w:tc>
          <w:tcPr>
            <w:tcW w:w="1260" w:type="dxa"/>
            <w:vAlign w:val="bottom"/>
            <w:shd w:val="clear" w:color="auto" w:fill="E5FFFF"/>
          </w:tcPr>
          <w:p>
            <w:pPr>
              <w:jc w:val="right"/>
              <w:ind w:right="94"/>
              <w:spacing w:after="0"/>
              <w:rPr>
                <w:sz w:val="20"/>
                <w:szCs w:val="20"/>
                <w:color w:val="auto"/>
              </w:rPr>
            </w:pPr>
            <w:r>
              <w:rPr>
                <w:rFonts w:ascii="Arial" w:cs="Arial" w:eastAsia="Arial" w:hAnsi="Arial"/>
                <w:sz w:val="17"/>
                <w:szCs w:val="17"/>
                <w:color w:val="auto"/>
              </w:rPr>
              <w:t>$459.6</w:t>
            </w:r>
          </w:p>
        </w:tc>
        <w:tc>
          <w:tcPr>
            <w:tcW w:w="980" w:type="dxa"/>
            <w:vAlign w:val="bottom"/>
            <w:shd w:val="clear" w:color="auto" w:fill="E5FFFF"/>
          </w:tcPr>
          <w:p>
            <w:pPr>
              <w:jc w:val="right"/>
              <w:ind w:right="194"/>
              <w:spacing w:after="0"/>
              <w:rPr>
                <w:sz w:val="20"/>
                <w:szCs w:val="20"/>
                <w:color w:val="auto"/>
              </w:rPr>
            </w:pPr>
            <w:r>
              <w:rPr>
                <w:rFonts w:ascii="Arial" w:cs="Arial" w:eastAsia="Arial" w:hAnsi="Arial"/>
                <w:sz w:val="17"/>
                <w:szCs w:val="17"/>
                <w:color w:val="auto"/>
              </w:rPr>
              <w:t>$453.7</w:t>
            </w:r>
          </w:p>
        </w:tc>
        <w:tc>
          <w:tcPr>
            <w:tcW w:w="1380" w:type="dxa"/>
            <w:vAlign w:val="bottom"/>
            <w:shd w:val="clear" w:color="auto" w:fill="E5FFFF"/>
          </w:tcPr>
          <w:p>
            <w:pPr>
              <w:jc w:val="right"/>
              <w:ind w:right="214"/>
              <w:spacing w:after="0"/>
              <w:rPr>
                <w:sz w:val="20"/>
                <w:szCs w:val="20"/>
                <w:color w:val="auto"/>
              </w:rPr>
            </w:pPr>
            <w:r>
              <w:rPr>
                <w:rFonts w:ascii="Arial" w:cs="Arial" w:eastAsia="Arial" w:hAnsi="Arial"/>
                <w:sz w:val="17"/>
                <w:szCs w:val="17"/>
                <w:color w:val="auto"/>
              </w:rPr>
              <w:t>$1,681.5</w:t>
            </w:r>
          </w:p>
        </w:tc>
        <w:tc>
          <w:tcPr>
            <w:tcW w:w="1080" w:type="dxa"/>
            <w:vAlign w:val="bottom"/>
            <w:shd w:val="clear" w:color="auto" w:fill="E5FFFF"/>
          </w:tcPr>
          <w:p>
            <w:pPr>
              <w:jc w:val="right"/>
              <w:spacing w:after="0"/>
              <w:rPr>
                <w:sz w:val="20"/>
                <w:szCs w:val="20"/>
                <w:color w:val="auto"/>
              </w:rPr>
            </w:pPr>
            <w:r>
              <w:rPr>
                <w:rFonts w:ascii="Arial" w:cs="Arial" w:eastAsia="Arial" w:hAnsi="Arial"/>
                <w:sz w:val="17"/>
                <w:szCs w:val="17"/>
                <w:color w:val="auto"/>
              </w:rPr>
              <w:t>$3,623.8</w:t>
            </w:r>
          </w:p>
        </w:tc>
        <w:tc>
          <w:tcPr>
            <w:tcW w:w="120" w:type="dxa"/>
            <w:vAlign w:val="bottom"/>
            <w:shd w:val="clear" w:color="auto" w:fill="E5FFFF"/>
          </w:tcPr>
          <w:p>
            <w:pPr>
              <w:spacing w:after="0"/>
              <w:rPr>
                <w:sz w:val="18"/>
                <w:szCs w:val="18"/>
                <w:color w:val="auto"/>
              </w:rPr>
            </w:pPr>
          </w:p>
        </w:tc>
      </w:tr>
      <w:tr>
        <w:trPr>
          <w:trHeight w:val="214"/>
        </w:trPr>
        <w:tc>
          <w:tcPr>
            <w:tcW w:w="4280" w:type="dxa"/>
            <w:vAlign w:val="bottom"/>
          </w:tcPr>
          <w:p>
            <w:pPr>
              <w:ind w:left="60"/>
              <w:spacing w:after="0" w:line="213" w:lineRule="exact"/>
              <w:rPr>
                <w:sz w:val="20"/>
                <w:szCs w:val="20"/>
                <w:color w:val="auto"/>
              </w:rPr>
            </w:pPr>
            <w:r>
              <w:rPr>
                <w:rFonts w:ascii="Arial" w:cs="Arial" w:eastAsia="Arial" w:hAnsi="Arial"/>
                <w:sz w:val="17"/>
                <w:szCs w:val="17"/>
                <w:color w:val="auto"/>
              </w:rPr>
              <w:t>Total contracted days</w:t>
            </w:r>
            <w:r>
              <w:rPr>
                <w:rFonts w:ascii="Arial" w:cs="Arial" w:eastAsia="Arial" w:hAnsi="Arial"/>
                <w:sz w:val="22"/>
                <w:szCs w:val="22"/>
                <w:color w:val="auto"/>
                <w:vertAlign w:val="superscript"/>
              </w:rPr>
              <w:t>(1)</w:t>
            </w:r>
          </w:p>
        </w:tc>
        <w:tc>
          <w:tcPr>
            <w:tcW w:w="1460" w:type="dxa"/>
            <w:vAlign w:val="bottom"/>
          </w:tcPr>
          <w:p>
            <w:pPr>
              <w:jc w:val="right"/>
              <w:ind w:right="174"/>
              <w:spacing w:after="0"/>
              <w:rPr>
                <w:sz w:val="20"/>
                <w:szCs w:val="20"/>
                <w:color w:val="auto"/>
              </w:rPr>
            </w:pPr>
            <w:r>
              <w:rPr>
                <w:rFonts w:ascii="Arial" w:cs="Arial" w:eastAsia="Arial" w:hAnsi="Arial"/>
                <w:sz w:val="17"/>
                <w:szCs w:val="17"/>
                <w:color w:val="auto"/>
              </w:rPr>
              <w:t>7,429</w:t>
            </w:r>
          </w:p>
        </w:tc>
        <w:tc>
          <w:tcPr>
            <w:tcW w:w="1440" w:type="dxa"/>
            <w:vAlign w:val="bottom"/>
          </w:tcPr>
          <w:p>
            <w:pPr>
              <w:jc w:val="right"/>
              <w:ind w:right="234"/>
              <w:spacing w:after="0"/>
              <w:rPr>
                <w:sz w:val="20"/>
                <w:szCs w:val="20"/>
                <w:color w:val="auto"/>
              </w:rPr>
            </w:pPr>
            <w:r>
              <w:rPr>
                <w:rFonts w:ascii="Arial" w:cs="Arial" w:eastAsia="Arial" w:hAnsi="Arial"/>
                <w:sz w:val="17"/>
                <w:szCs w:val="17"/>
                <w:color w:val="auto"/>
              </w:rPr>
              <w:t>6,565</w:t>
            </w:r>
          </w:p>
        </w:tc>
        <w:tc>
          <w:tcPr>
            <w:tcW w:w="1260" w:type="dxa"/>
            <w:vAlign w:val="bottom"/>
          </w:tcPr>
          <w:p>
            <w:pPr>
              <w:jc w:val="right"/>
              <w:ind w:right="94"/>
              <w:spacing w:after="0"/>
              <w:rPr>
                <w:sz w:val="20"/>
                <w:szCs w:val="20"/>
                <w:color w:val="auto"/>
              </w:rPr>
            </w:pPr>
            <w:r>
              <w:rPr>
                <w:rFonts w:ascii="Arial" w:cs="Arial" w:eastAsia="Arial" w:hAnsi="Arial"/>
                <w:sz w:val="17"/>
                <w:szCs w:val="17"/>
                <w:color w:val="auto"/>
              </w:rPr>
              <w:t>6,029</w:t>
            </w:r>
          </w:p>
        </w:tc>
        <w:tc>
          <w:tcPr>
            <w:tcW w:w="980" w:type="dxa"/>
            <w:vAlign w:val="bottom"/>
          </w:tcPr>
          <w:p>
            <w:pPr>
              <w:jc w:val="right"/>
              <w:ind w:right="194"/>
              <w:spacing w:after="0"/>
              <w:rPr>
                <w:sz w:val="20"/>
                <w:szCs w:val="20"/>
                <w:color w:val="auto"/>
              </w:rPr>
            </w:pPr>
            <w:r>
              <w:rPr>
                <w:rFonts w:ascii="Arial" w:cs="Arial" w:eastAsia="Arial" w:hAnsi="Arial"/>
                <w:sz w:val="17"/>
                <w:szCs w:val="17"/>
                <w:color w:val="auto"/>
              </w:rPr>
              <w:t>5,840</w:t>
            </w:r>
          </w:p>
        </w:tc>
        <w:tc>
          <w:tcPr>
            <w:tcW w:w="1380" w:type="dxa"/>
            <w:vAlign w:val="bottom"/>
          </w:tcPr>
          <w:p>
            <w:pPr>
              <w:jc w:val="right"/>
              <w:ind w:right="214"/>
              <w:spacing w:after="0"/>
              <w:rPr>
                <w:sz w:val="20"/>
                <w:szCs w:val="20"/>
                <w:color w:val="auto"/>
              </w:rPr>
            </w:pPr>
            <w:r>
              <w:rPr>
                <w:rFonts w:ascii="Arial" w:cs="Arial" w:eastAsia="Arial" w:hAnsi="Arial"/>
                <w:sz w:val="17"/>
                <w:szCs w:val="17"/>
                <w:color w:val="auto"/>
              </w:rPr>
              <w:t>21,967</w:t>
            </w:r>
          </w:p>
        </w:tc>
        <w:tc>
          <w:tcPr>
            <w:tcW w:w="1080" w:type="dxa"/>
            <w:vAlign w:val="bottom"/>
          </w:tcPr>
          <w:p>
            <w:pPr>
              <w:jc w:val="right"/>
              <w:spacing w:after="0"/>
              <w:rPr>
                <w:sz w:val="20"/>
                <w:szCs w:val="20"/>
                <w:color w:val="auto"/>
              </w:rPr>
            </w:pPr>
            <w:r>
              <w:rPr>
                <w:rFonts w:ascii="Arial" w:cs="Arial" w:eastAsia="Arial" w:hAnsi="Arial"/>
                <w:sz w:val="17"/>
                <w:szCs w:val="17"/>
                <w:color w:val="auto"/>
              </w:rPr>
              <w:t>47,830</w:t>
            </w:r>
          </w:p>
        </w:tc>
        <w:tc>
          <w:tcPr>
            <w:tcW w:w="120" w:type="dxa"/>
            <w:vAlign w:val="bottom"/>
          </w:tcPr>
          <w:p>
            <w:pPr>
              <w:spacing w:after="0"/>
              <w:rPr>
                <w:sz w:val="18"/>
                <w:szCs w:val="18"/>
                <w:color w:val="auto"/>
              </w:rPr>
            </w:pPr>
          </w:p>
        </w:tc>
      </w:tr>
      <w:tr>
        <w:trPr>
          <w:trHeight w:val="214"/>
        </w:trPr>
        <w:tc>
          <w:tcPr>
            <w:tcW w:w="4280" w:type="dxa"/>
            <w:vAlign w:val="bottom"/>
            <w:shd w:val="clear" w:color="auto" w:fill="E5FFFF"/>
          </w:tcPr>
          <w:p>
            <w:pPr>
              <w:ind w:left="60"/>
              <w:spacing w:after="0" w:line="213" w:lineRule="exact"/>
              <w:rPr>
                <w:sz w:val="20"/>
                <w:szCs w:val="20"/>
                <w:color w:val="auto"/>
              </w:rPr>
            </w:pPr>
            <w:r>
              <w:rPr>
                <w:rFonts w:ascii="Arial" w:cs="Arial" w:eastAsia="Arial" w:hAnsi="Arial"/>
                <w:sz w:val="17"/>
                <w:szCs w:val="17"/>
                <w:color w:val="auto"/>
              </w:rPr>
              <w:t>Total available days</w:t>
            </w:r>
            <w:r>
              <w:rPr>
                <w:rFonts w:ascii="Arial" w:cs="Arial" w:eastAsia="Arial" w:hAnsi="Arial"/>
                <w:sz w:val="22"/>
                <w:szCs w:val="22"/>
                <w:color w:val="auto"/>
                <w:vertAlign w:val="superscript"/>
              </w:rPr>
              <w:t>(2)</w:t>
            </w:r>
          </w:p>
        </w:tc>
        <w:tc>
          <w:tcPr>
            <w:tcW w:w="1460" w:type="dxa"/>
            <w:vAlign w:val="bottom"/>
            <w:shd w:val="clear" w:color="auto" w:fill="E5FFFF"/>
          </w:tcPr>
          <w:p>
            <w:pPr>
              <w:jc w:val="right"/>
              <w:ind w:right="174"/>
              <w:spacing w:after="0"/>
              <w:rPr>
                <w:sz w:val="20"/>
                <w:szCs w:val="20"/>
                <w:color w:val="auto"/>
              </w:rPr>
            </w:pPr>
            <w:r>
              <w:rPr>
                <w:rFonts w:ascii="Arial" w:cs="Arial" w:eastAsia="Arial" w:hAnsi="Arial"/>
                <w:sz w:val="17"/>
                <w:szCs w:val="17"/>
                <w:color w:val="auto"/>
              </w:rPr>
              <w:t>9,874</w:t>
            </w:r>
          </w:p>
        </w:tc>
        <w:tc>
          <w:tcPr>
            <w:tcW w:w="1440" w:type="dxa"/>
            <w:vAlign w:val="bottom"/>
            <w:shd w:val="clear" w:color="auto" w:fill="E5FFFF"/>
          </w:tcPr>
          <w:p>
            <w:pPr>
              <w:jc w:val="right"/>
              <w:ind w:right="234"/>
              <w:spacing w:after="0"/>
              <w:rPr>
                <w:sz w:val="20"/>
                <w:szCs w:val="20"/>
                <w:color w:val="auto"/>
              </w:rPr>
            </w:pPr>
            <w:r>
              <w:rPr>
                <w:rFonts w:ascii="Arial" w:cs="Arial" w:eastAsia="Arial" w:hAnsi="Arial"/>
                <w:sz w:val="17"/>
                <w:szCs w:val="17"/>
                <w:color w:val="auto"/>
              </w:rPr>
              <w:t>10,697</w:t>
            </w:r>
          </w:p>
        </w:tc>
        <w:tc>
          <w:tcPr>
            <w:tcW w:w="1260" w:type="dxa"/>
            <w:vAlign w:val="bottom"/>
            <w:shd w:val="clear" w:color="auto" w:fill="E5FFFF"/>
          </w:tcPr>
          <w:p>
            <w:pPr>
              <w:jc w:val="right"/>
              <w:ind w:right="94"/>
              <w:spacing w:after="0"/>
              <w:rPr>
                <w:sz w:val="20"/>
                <w:szCs w:val="20"/>
                <w:color w:val="auto"/>
              </w:rPr>
            </w:pPr>
            <w:r>
              <w:rPr>
                <w:rFonts w:ascii="Arial" w:cs="Arial" w:eastAsia="Arial" w:hAnsi="Arial"/>
                <w:sz w:val="17"/>
                <w:szCs w:val="17"/>
                <w:color w:val="auto"/>
              </w:rPr>
              <w:t>12,202</w:t>
            </w:r>
          </w:p>
        </w:tc>
        <w:tc>
          <w:tcPr>
            <w:tcW w:w="980" w:type="dxa"/>
            <w:vAlign w:val="bottom"/>
            <w:shd w:val="clear" w:color="auto" w:fill="E5FFFF"/>
          </w:tcPr>
          <w:p>
            <w:pPr>
              <w:jc w:val="right"/>
              <w:ind w:right="194"/>
              <w:spacing w:after="0"/>
              <w:rPr>
                <w:sz w:val="20"/>
                <w:szCs w:val="20"/>
                <w:color w:val="auto"/>
              </w:rPr>
            </w:pPr>
            <w:r>
              <w:rPr>
                <w:rFonts w:ascii="Arial" w:cs="Arial" w:eastAsia="Arial" w:hAnsi="Arial"/>
                <w:sz w:val="17"/>
                <w:szCs w:val="17"/>
                <w:color w:val="auto"/>
              </w:rPr>
              <w:t>12,775</w:t>
            </w:r>
          </w:p>
        </w:tc>
        <w:tc>
          <w:tcPr>
            <w:tcW w:w="1380" w:type="dxa"/>
            <w:vAlign w:val="bottom"/>
            <w:shd w:val="clear" w:color="auto" w:fill="E5FFFF"/>
          </w:tcPr>
          <w:p>
            <w:pPr>
              <w:jc w:val="right"/>
              <w:ind w:right="214"/>
              <w:spacing w:after="0"/>
              <w:rPr>
                <w:sz w:val="20"/>
                <w:szCs w:val="20"/>
                <w:color w:val="auto"/>
              </w:rPr>
            </w:pPr>
            <w:r>
              <w:rPr>
                <w:rFonts w:ascii="Arial" w:cs="Arial" w:eastAsia="Arial" w:hAnsi="Arial"/>
                <w:sz w:val="17"/>
                <w:szCs w:val="17"/>
                <w:color w:val="auto"/>
              </w:rPr>
              <w:t>88,085</w:t>
            </w:r>
          </w:p>
        </w:tc>
        <w:tc>
          <w:tcPr>
            <w:tcW w:w="108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133,633</w:t>
            </w:r>
          </w:p>
        </w:tc>
        <w:tc>
          <w:tcPr>
            <w:tcW w:w="120" w:type="dxa"/>
            <w:vAlign w:val="bottom"/>
            <w:shd w:val="clear" w:color="auto" w:fill="E5FFFF"/>
          </w:tcPr>
          <w:p>
            <w:pPr>
              <w:spacing w:after="0"/>
              <w:rPr>
                <w:sz w:val="18"/>
                <w:szCs w:val="18"/>
                <w:color w:val="auto"/>
              </w:rPr>
            </w:pPr>
          </w:p>
        </w:tc>
      </w:tr>
      <w:tr>
        <w:trPr>
          <w:trHeight w:val="214"/>
        </w:trPr>
        <w:tc>
          <w:tcPr>
            <w:tcW w:w="4280" w:type="dxa"/>
            <w:vAlign w:val="bottom"/>
          </w:tcPr>
          <w:p>
            <w:pPr>
              <w:ind w:left="60"/>
              <w:spacing w:after="0" w:line="213" w:lineRule="exact"/>
              <w:rPr>
                <w:sz w:val="20"/>
                <w:szCs w:val="20"/>
                <w:color w:val="auto"/>
              </w:rPr>
            </w:pPr>
            <w:r>
              <w:rPr>
                <w:rFonts w:ascii="Arial" w:cs="Arial" w:eastAsia="Arial" w:hAnsi="Arial"/>
                <w:sz w:val="17"/>
                <w:szCs w:val="17"/>
                <w:color w:val="auto"/>
              </w:rPr>
              <w:t>Total unfixed days</w:t>
            </w:r>
            <w:r>
              <w:rPr>
                <w:rFonts w:ascii="Arial" w:cs="Arial" w:eastAsia="Arial" w:hAnsi="Arial"/>
                <w:sz w:val="22"/>
                <w:szCs w:val="22"/>
                <w:color w:val="auto"/>
                <w:vertAlign w:val="superscript"/>
              </w:rPr>
              <w:t>(3)</w:t>
            </w:r>
          </w:p>
        </w:tc>
        <w:tc>
          <w:tcPr>
            <w:tcW w:w="1460" w:type="dxa"/>
            <w:vAlign w:val="bottom"/>
          </w:tcPr>
          <w:p>
            <w:pPr>
              <w:jc w:val="right"/>
              <w:ind w:right="174"/>
              <w:spacing w:after="0"/>
              <w:rPr>
                <w:sz w:val="20"/>
                <w:szCs w:val="20"/>
                <w:color w:val="auto"/>
              </w:rPr>
            </w:pPr>
            <w:r>
              <w:rPr>
                <w:rFonts w:ascii="Arial" w:cs="Arial" w:eastAsia="Arial" w:hAnsi="Arial"/>
                <w:sz w:val="17"/>
                <w:szCs w:val="17"/>
                <w:color w:val="auto"/>
              </w:rPr>
              <w:t>2,445</w:t>
            </w:r>
          </w:p>
        </w:tc>
        <w:tc>
          <w:tcPr>
            <w:tcW w:w="1440" w:type="dxa"/>
            <w:vAlign w:val="bottom"/>
          </w:tcPr>
          <w:p>
            <w:pPr>
              <w:jc w:val="right"/>
              <w:ind w:right="234"/>
              <w:spacing w:after="0"/>
              <w:rPr>
                <w:sz w:val="20"/>
                <w:szCs w:val="20"/>
                <w:color w:val="auto"/>
              </w:rPr>
            </w:pPr>
            <w:r>
              <w:rPr>
                <w:rFonts w:ascii="Arial" w:cs="Arial" w:eastAsia="Arial" w:hAnsi="Arial"/>
                <w:sz w:val="17"/>
                <w:szCs w:val="17"/>
                <w:color w:val="auto"/>
              </w:rPr>
              <w:t>4,132</w:t>
            </w:r>
          </w:p>
        </w:tc>
        <w:tc>
          <w:tcPr>
            <w:tcW w:w="1260" w:type="dxa"/>
            <w:vAlign w:val="bottom"/>
          </w:tcPr>
          <w:p>
            <w:pPr>
              <w:jc w:val="right"/>
              <w:ind w:right="94"/>
              <w:spacing w:after="0"/>
              <w:rPr>
                <w:sz w:val="20"/>
                <w:szCs w:val="20"/>
                <w:color w:val="auto"/>
              </w:rPr>
            </w:pPr>
            <w:r>
              <w:rPr>
                <w:rFonts w:ascii="Arial" w:cs="Arial" w:eastAsia="Arial" w:hAnsi="Arial"/>
                <w:sz w:val="17"/>
                <w:szCs w:val="17"/>
                <w:color w:val="auto"/>
              </w:rPr>
              <w:t>6,173</w:t>
            </w:r>
          </w:p>
        </w:tc>
        <w:tc>
          <w:tcPr>
            <w:tcW w:w="980" w:type="dxa"/>
            <w:vAlign w:val="bottom"/>
          </w:tcPr>
          <w:p>
            <w:pPr>
              <w:jc w:val="right"/>
              <w:ind w:right="194"/>
              <w:spacing w:after="0"/>
              <w:rPr>
                <w:sz w:val="20"/>
                <w:szCs w:val="20"/>
                <w:color w:val="auto"/>
              </w:rPr>
            </w:pPr>
            <w:r>
              <w:rPr>
                <w:rFonts w:ascii="Arial" w:cs="Arial" w:eastAsia="Arial" w:hAnsi="Arial"/>
                <w:sz w:val="17"/>
                <w:szCs w:val="17"/>
                <w:color w:val="auto"/>
              </w:rPr>
              <w:t>6,935</w:t>
            </w:r>
          </w:p>
        </w:tc>
        <w:tc>
          <w:tcPr>
            <w:tcW w:w="1380" w:type="dxa"/>
            <w:vAlign w:val="bottom"/>
          </w:tcPr>
          <w:p>
            <w:pPr>
              <w:jc w:val="right"/>
              <w:ind w:right="214"/>
              <w:spacing w:after="0"/>
              <w:rPr>
                <w:sz w:val="20"/>
                <w:szCs w:val="20"/>
                <w:color w:val="auto"/>
              </w:rPr>
            </w:pPr>
            <w:r>
              <w:rPr>
                <w:rFonts w:ascii="Arial" w:cs="Arial" w:eastAsia="Arial" w:hAnsi="Arial"/>
                <w:sz w:val="17"/>
                <w:szCs w:val="17"/>
                <w:color w:val="auto"/>
              </w:rPr>
              <w:t>66,118</w:t>
            </w:r>
          </w:p>
        </w:tc>
        <w:tc>
          <w:tcPr>
            <w:tcW w:w="1080" w:type="dxa"/>
            <w:vAlign w:val="bottom"/>
          </w:tcPr>
          <w:p>
            <w:pPr>
              <w:jc w:val="right"/>
              <w:spacing w:after="0"/>
              <w:rPr>
                <w:sz w:val="20"/>
                <w:szCs w:val="20"/>
                <w:color w:val="auto"/>
              </w:rPr>
            </w:pPr>
            <w:r>
              <w:rPr>
                <w:rFonts w:ascii="Arial" w:cs="Arial" w:eastAsia="Arial" w:hAnsi="Arial"/>
                <w:sz w:val="17"/>
                <w:szCs w:val="17"/>
                <w:color w:val="auto"/>
              </w:rPr>
              <w:t>85,803</w:t>
            </w:r>
          </w:p>
        </w:tc>
        <w:tc>
          <w:tcPr>
            <w:tcW w:w="120" w:type="dxa"/>
            <w:vAlign w:val="bottom"/>
          </w:tcPr>
          <w:p>
            <w:pPr>
              <w:spacing w:after="0"/>
              <w:rPr>
                <w:sz w:val="18"/>
                <w:szCs w:val="18"/>
                <w:color w:val="auto"/>
              </w:rPr>
            </w:pPr>
          </w:p>
        </w:tc>
      </w:tr>
      <w:tr>
        <w:trPr>
          <w:trHeight w:val="214"/>
        </w:trPr>
        <w:tc>
          <w:tcPr>
            <w:tcW w:w="4280" w:type="dxa"/>
            <w:vAlign w:val="bottom"/>
            <w:shd w:val="clear" w:color="auto" w:fill="E5FFFF"/>
          </w:tcPr>
          <w:p>
            <w:pPr>
              <w:ind w:left="60"/>
              <w:spacing w:after="0"/>
              <w:rPr>
                <w:sz w:val="20"/>
                <w:szCs w:val="20"/>
                <w:color w:val="auto"/>
              </w:rPr>
            </w:pPr>
            <w:r>
              <w:rPr>
                <w:rFonts w:ascii="Arial" w:cs="Arial" w:eastAsia="Arial" w:hAnsi="Arial"/>
                <w:sz w:val="17"/>
                <w:szCs w:val="17"/>
                <w:color w:val="auto"/>
              </w:rPr>
              <w:t>Percentage of total contracted days/total available days</w:t>
            </w:r>
          </w:p>
        </w:tc>
        <w:tc>
          <w:tcPr>
            <w:tcW w:w="1460" w:type="dxa"/>
            <w:vAlign w:val="bottom"/>
            <w:shd w:val="clear" w:color="auto" w:fill="E5FFFF"/>
          </w:tcPr>
          <w:p>
            <w:pPr>
              <w:jc w:val="right"/>
              <w:ind w:right="174"/>
              <w:spacing w:after="0"/>
              <w:rPr>
                <w:sz w:val="20"/>
                <w:szCs w:val="20"/>
                <w:color w:val="auto"/>
              </w:rPr>
            </w:pPr>
            <w:r>
              <w:rPr>
                <w:rFonts w:ascii="Arial" w:cs="Arial" w:eastAsia="Arial" w:hAnsi="Arial"/>
                <w:sz w:val="17"/>
                <w:szCs w:val="17"/>
                <w:color w:val="auto"/>
              </w:rPr>
              <w:t>75.2%</w:t>
            </w:r>
          </w:p>
        </w:tc>
        <w:tc>
          <w:tcPr>
            <w:tcW w:w="1440" w:type="dxa"/>
            <w:vAlign w:val="bottom"/>
            <w:shd w:val="clear" w:color="auto" w:fill="E5FFFF"/>
          </w:tcPr>
          <w:p>
            <w:pPr>
              <w:jc w:val="right"/>
              <w:ind w:right="234"/>
              <w:spacing w:after="0"/>
              <w:rPr>
                <w:sz w:val="20"/>
                <w:szCs w:val="20"/>
                <w:color w:val="auto"/>
              </w:rPr>
            </w:pPr>
            <w:r>
              <w:rPr>
                <w:rFonts w:ascii="Arial" w:cs="Arial" w:eastAsia="Arial" w:hAnsi="Arial"/>
                <w:sz w:val="17"/>
                <w:szCs w:val="17"/>
                <w:color w:val="auto"/>
              </w:rPr>
              <w:t>61.4%</w:t>
            </w:r>
          </w:p>
        </w:tc>
        <w:tc>
          <w:tcPr>
            <w:tcW w:w="1260" w:type="dxa"/>
            <w:vAlign w:val="bottom"/>
            <w:shd w:val="clear" w:color="auto" w:fill="E5FFFF"/>
          </w:tcPr>
          <w:p>
            <w:pPr>
              <w:jc w:val="right"/>
              <w:ind w:right="94"/>
              <w:spacing w:after="0"/>
              <w:rPr>
                <w:sz w:val="20"/>
                <w:szCs w:val="20"/>
                <w:color w:val="auto"/>
              </w:rPr>
            </w:pPr>
            <w:r>
              <w:rPr>
                <w:rFonts w:ascii="Arial" w:cs="Arial" w:eastAsia="Arial" w:hAnsi="Arial"/>
                <w:sz w:val="17"/>
                <w:szCs w:val="17"/>
                <w:color w:val="auto"/>
              </w:rPr>
              <w:t>49.4%</w:t>
            </w:r>
          </w:p>
        </w:tc>
        <w:tc>
          <w:tcPr>
            <w:tcW w:w="980" w:type="dxa"/>
            <w:vAlign w:val="bottom"/>
            <w:shd w:val="clear" w:color="auto" w:fill="E5FFFF"/>
          </w:tcPr>
          <w:p>
            <w:pPr>
              <w:jc w:val="right"/>
              <w:ind w:right="194"/>
              <w:spacing w:after="0"/>
              <w:rPr>
                <w:sz w:val="20"/>
                <w:szCs w:val="20"/>
                <w:color w:val="auto"/>
              </w:rPr>
            </w:pPr>
            <w:r>
              <w:rPr>
                <w:rFonts w:ascii="Arial" w:cs="Arial" w:eastAsia="Arial" w:hAnsi="Arial"/>
                <w:sz w:val="17"/>
                <w:szCs w:val="17"/>
                <w:color w:val="auto"/>
              </w:rPr>
              <w:t>45.7%</w:t>
            </w:r>
          </w:p>
        </w:tc>
        <w:tc>
          <w:tcPr>
            <w:tcW w:w="1380" w:type="dxa"/>
            <w:vAlign w:val="bottom"/>
            <w:shd w:val="clear" w:color="auto" w:fill="E5FFFF"/>
          </w:tcPr>
          <w:p>
            <w:pPr>
              <w:jc w:val="right"/>
              <w:ind w:right="214"/>
              <w:spacing w:after="0"/>
              <w:rPr>
                <w:sz w:val="20"/>
                <w:szCs w:val="20"/>
                <w:color w:val="auto"/>
              </w:rPr>
            </w:pPr>
            <w:r>
              <w:rPr>
                <w:rFonts w:ascii="Arial" w:cs="Arial" w:eastAsia="Arial" w:hAnsi="Arial"/>
                <w:sz w:val="17"/>
                <w:szCs w:val="17"/>
                <w:color w:val="auto"/>
              </w:rPr>
              <w:t>24.9%</w:t>
            </w:r>
          </w:p>
        </w:tc>
        <w:tc>
          <w:tcPr>
            <w:tcW w:w="1080" w:type="dxa"/>
            <w:vAlign w:val="bottom"/>
            <w:shd w:val="clear" w:color="auto" w:fill="E5FFFF"/>
          </w:tcPr>
          <w:p>
            <w:pPr>
              <w:jc w:val="right"/>
              <w:spacing w:after="0"/>
              <w:rPr>
                <w:sz w:val="20"/>
                <w:szCs w:val="20"/>
                <w:color w:val="auto"/>
              </w:rPr>
            </w:pPr>
            <w:r>
              <w:rPr>
                <w:rFonts w:ascii="Arial" w:cs="Arial" w:eastAsia="Arial" w:hAnsi="Arial"/>
                <w:sz w:val="17"/>
                <w:szCs w:val="17"/>
                <w:color w:val="auto"/>
              </w:rPr>
              <w:t>35.8%</w:t>
            </w:r>
          </w:p>
        </w:tc>
        <w:tc>
          <w:tcPr>
            <w:tcW w:w="120" w:type="dxa"/>
            <w:vAlign w:val="bottom"/>
            <w:shd w:val="clear" w:color="auto" w:fill="E5FFFF"/>
          </w:tcPr>
          <w:p>
            <w:pPr>
              <w:spacing w:after="0"/>
              <w:rPr>
                <w:sz w:val="18"/>
                <w:szCs w:val="18"/>
                <w:color w:val="auto"/>
              </w:rPr>
            </w:pPr>
          </w:p>
        </w:tc>
      </w:tr>
    </w:tbl>
    <w:p>
      <w:pPr>
        <w:spacing w:after="0" w:line="147" w:lineRule="exact"/>
        <w:rPr>
          <w:sz w:val="20"/>
          <w:szCs w:val="20"/>
          <w:color w:val="auto"/>
        </w:rPr>
      </w:pPr>
    </w:p>
    <w:p>
      <w:pPr>
        <w:ind w:left="686" w:right="100" w:hanging="686"/>
        <w:spacing w:after="0" w:line="267" w:lineRule="auto"/>
        <w:tabs>
          <w:tab w:leader="none" w:pos="676"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 xml:space="preserve">Reflects time charter revenues and contracted days for six of our wholly owned vessels, the 13 of the 14 vessels owned by the Partnership, the bareboat vessel and seven of our nine newbuildings on order for which we have secured time charters. Does not include charter revenues for the vessels operating in the spot/short-term market under the Cool Pool agreement, the two newbuild vessels without charters and the </w:t>
      </w:r>
      <w:r>
        <w:rPr>
          <w:rFonts w:ascii="Arial" w:cs="Arial" w:eastAsia="Arial" w:hAnsi="Arial"/>
          <w:sz w:val="16"/>
          <w:szCs w:val="16"/>
          <w:i w:val="1"/>
          <w:iCs w:val="1"/>
          <w:color w:val="auto"/>
        </w:rPr>
        <w:t>Methane Nile Eagle</w:t>
      </w:r>
      <w:r>
        <w:rPr>
          <w:rFonts w:ascii="Arial" w:cs="Arial" w:eastAsia="Arial" w:hAnsi="Arial"/>
          <w:sz w:val="16"/>
          <w:szCs w:val="16"/>
          <w:color w:val="auto"/>
        </w:rPr>
        <w:t>, in which we hold a 25.0% minority interest. Contracted revenue calculations assume: (a) 365 revenue days per annum, with 30 off-hire days when the vessel undergoes scheduled dry-docking (every five years); (b) all LNG carriers on order are delivered on schedule; and (c) no exercise of any option to extend the terms of charters. Revenue calculations for such charters include an estimate of the amount of the operating cost component and the management fee component.</w:t>
      </w:r>
    </w:p>
    <w:p>
      <w:pPr>
        <w:spacing w:after="0" w:line="206" w:lineRule="exact"/>
        <w:rPr>
          <w:rFonts w:ascii="Arial" w:cs="Arial" w:eastAsia="Arial" w:hAnsi="Arial"/>
          <w:sz w:val="22"/>
          <w:szCs w:val="22"/>
          <w:color w:val="auto"/>
          <w:vertAlign w:val="superscript"/>
        </w:rPr>
      </w:pPr>
    </w:p>
    <w:p>
      <w:pPr>
        <w:ind w:left="686" w:right="260" w:hanging="686"/>
        <w:spacing w:after="0" w:line="224" w:lineRule="auto"/>
        <w:tabs>
          <w:tab w:leader="none" w:pos="676" w:val="left"/>
        </w:tabs>
        <w:numPr>
          <w:ilvl w:val="0"/>
          <w:numId w:val="4"/>
        </w:numPr>
        <w:rPr>
          <w:rFonts w:ascii="Arial" w:cs="Arial" w:eastAsia="Arial" w:hAnsi="Arial"/>
          <w:sz w:val="23"/>
          <w:szCs w:val="23"/>
          <w:color w:val="auto"/>
          <w:vertAlign w:val="superscript"/>
        </w:rPr>
      </w:pPr>
      <w:r>
        <w:rPr>
          <w:rFonts w:ascii="Arial" w:cs="Arial" w:eastAsia="Arial" w:hAnsi="Arial"/>
          <w:sz w:val="17"/>
          <w:szCs w:val="17"/>
          <w:color w:val="auto"/>
        </w:rPr>
        <w:t>Available days represent total calendar days after deducting 30 off-hire days when the vessel undergoes scheduled dry-docking. The available days for the vessels operating in the spot/short-term market are included.</w:t>
      </w:r>
    </w:p>
    <w:p>
      <w:pPr>
        <w:spacing w:after="0" w:line="226" w:lineRule="exact"/>
        <w:rPr>
          <w:rFonts w:ascii="Arial" w:cs="Arial" w:eastAsia="Arial" w:hAnsi="Arial"/>
          <w:sz w:val="23"/>
          <w:szCs w:val="23"/>
          <w:color w:val="auto"/>
          <w:vertAlign w:val="superscript"/>
        </w:rPr>
      </w:pPr>
    </w:p>
    <w:p>
      <w:pPr>
        <w:ind w:left="686" w:right="200" w:hanging="686"/>
        <w:spacing w:after="0" w:line="224" w:lineRule="auto"/>
        <w:tabs>
          <w:tab w:leader="none" w:pos="676" w:val="left"/>
        </w:tabs>
        <w:numPr>
          <w:ilvl w:val="0"/>
          <w:numId w:val="4"/>
        </w:numPr>
        <w:rPr>
          <w:rFonts w:ascii="Arial" w:cs="Arial" w:eastAsia="Arial" w:hAnsi="Arial"/>
          <w:sz w:val="23"/>
          <w:szCs w:val="23"/>
          <w:color w:val="auto"/>
          <w:vertAlign w:val="superscript"/>
        </w:rPr>
      </w:pPr>
      <w:r>
        <w:rPr>
          <w:rFonts w:ascii="Arial" w:cs="Arial" w:eastAsia="Arial" w:hAnsi="Arial"/>
          <w:sz w:val="17"/>
          <w:szCs w:val="17"/>
          <w:color w:val="auto"/>
        </w:rPr>
        <w:t>Represents available days for ships after the expiration of existing charters (assuming charterers do not exercise any option to extend the terms of the charters) and the available days for the vessels operating in the spot/short-term market and the two uncommitted newbuild vessels.</w:t>
      </w:r>
    </w:p>
    <w:p>
      <w:pPr>
        <w:spacing w:after="0" w:line="227" w:lineRule="exact"/>
        <w:rPr>
          <w:sz w:val="20"/>
          <w:szCs w:val="20"/>
          <w:color w:val="auto"/>
        </w:rPr>
      </w:pPr>
    </w:p>
    <w:p>
      <w:pPr>
        <w:ind w:left="6" w:right="60" w:firstLine="376"/>
        <w:spacing w:after="0" w:line="301" w:lineRule="auto"/>
        <w:rPr>
          <w:sz w:val="20"/>
          <w:szCs w:val="20"/>
          <w:color w:val="auto"/>
        </w:rPr>
      </w:pPr>
      <w:r>
        <w:rPr>
          <w:rFonts w:ascii="Arial" w:cs="Arial" w:eastAsia="Arial" w:hAnsi="Arial"/>
          <w:sz w:val="15"/>
          <w:szCs w:val="15"/>
          <w:color w:val="auto"/>
        </w:rPr>
        <w:t>Other than the assumptions reflected in the footnotes to the table, including our assumption that our newbuildings are delivered on schedule, the table does not reflect events occurring after December 31, 2018. The table reflects only our contracted charter revenues for the ships in our owned fleet and bareboat fleet for which we have secured time charters and it does not reflect the costs or expenses we will incur in fulfilling our obligations under the charters, nor does it include other revenues we may earn, such as revenues for technical management of customer-owned ships. In particular, the table does not reflect any revenues from the six vessels that are operating in the Cool Pool, any additional ships we may acquire in the future, nor does it reflect the options under our time charters that permit our charterers to extend the time charter terms for successive multi-year periods. The entry into time charter contracts for the six vessels that are operating in the Cool Pool and any additional ships we may acquire, or the exercise of options extending the terms of our existing charters, would result in an increase in the number of contracted days and the contracted revenue for our fleet in the future. Although the contracted charter revenues are based on contracted charter hire rate provisions, they reflect certain assumptions, including assumptions relating to the service elements of revenues. We consider the assumptions to be reasonable as of the date of this report, but if these assumptions prove to be incorrect, our actual time charter revenues could differ from those reflected in the table. Furthermore, any contract is subject to various risks, including performance by the counterparties or an early termination of the contract pursuant to its terms. If the charterers are unable or unwilling to make charter payments to us, or if we agree to renegotiate charter terms at the request of a charterer or if contracts are prematurely terminated for any reason, we would be exposed to prevailing market conditions at the time and our results of operations and financial condition may be materially adversely affected. Please see the disclosure under the heading “Risk Factors” in our Annual Report on Form 20-F filed with the SEC on February 28, 2018. For these reasons, the contracted charter revenue information presented above is not fact and should not be relied upon as being necessarily indicative of future results and readers are cautioned not to place undue reliance on this information. Neither the Company’s independent auditors, nor any other independent accountants, have compiled, examined or performed any procedures with respect to the information presented in the table, nor have they expressed any opinion or any other form of assurance on such information or its achievability and assume no responsibility for, and disclaim any association with, the information in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195580</wp:posOffset>
            </wp:positionV>
            <wp:extent cx="7646670" cy="311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6"/>
          </w:cols>
          <w:pgMar w:left="114" w:top="230" w:right="120"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u w:val="single" w:color="auto"/>
          <w:color w:val="auto"/>
        </w:rPr>
        <w:t>Liquidity and Capital Resources</w:t>
      </w:r>
    </w:p>
    <w:p>
      <w:pPr>
        <w:spacing w:after="0" w:line="253"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As of December 31, 2018, GasLog had $342.6 million of cash and cash equivalents, of which $121.9 million was held in time deposits and the remaining balance in current accounts. Moreover, as of December 31, 2018, GasLog had $25.0 million held in time deposits with an initial duration of more than three months but less than a year that have been classified as short-term investments.</w:t>
      </w:r>
    </w:p>
    <w:p>
      <w:pPr>
        <w:spacing w:after="0" w:line="198"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 xml:space="preserve">As of December 31, 2018, GasLog had an aggregate of $2.8 billion of indebtedness outstanding under its credit facilities and bond agreements, of which $520.6 million was repayable within one year, and a $206.1 million finance lease liability related to the sale and leaseback of the </w:t>
      </w:r>
      <w:r>
        <w:rPr>
          <w:rFonts w:ascii="Arial" w:cs="Arial" w:eastAsia="Arial" w:hAnsi="Arial"/>
          <w:sz w:val="17"/>
          <w:szCs w:val="17"/>
          <w:i w:val="1"/>
          <w:iCs w:val="1"/>
          <w:color w:val="auto"/>
        </w:rPr>
        <w:t>Methane Julia Louise,</w:t>
      </w:r>
      <w:r>
        <w:rPr>
          <w:rFonts w:ascii="Arial" w:cs="Arial" w:eastAsia="Arial" w:hAnsi="Arial"/>
          <w:sz w:val="17"/>
          <w:szCs w:val="17"/>
          <w:color w:val="auto"/>
        </w:rPr>
        <w:t xml:space="preserve"> of which $6.7 million was repayable within one year.</w:t>
      </w:r>
    </w:p>
    <w:p>
      <w:pPr>
        <w:spacing w:after="0" w:line="198" w:lineRule="exact"/>
        <w:rPr>
          <w:sz w:val="20"/>
          <w:szCs w:val="20"/>
          <w:color w:val="auto"/>
        </w:rPr>
      </w:pPr>
    </w:p>
    <w:p>
      <w:pPr>
        <w:ind w:right="160"/>
        <w:spacing w:after="0" w:line="288" w:lineRule="auto"/>
        <w:rPr>
          <w:sz w:val="20"/>
          <w:szCs w:val="20"/>
          <w:color w:val="auto"/>
        </w:rPr>
      </w:pPr>
      <w:r>
        <w:rPr>
          <w:rFonts w:ascii="Arial" w:cs="Arial" w:eastAsia="Arial" w:hAnsi="Arial"/>
          <w:sz w:val="17"/>
          <w:szCs w:val="17"/>
          <w:color w:val="auto"/>
        </w:rPr>
        <w:t>As of December 31, 2018, there was undrawn available capacity of $100.0 million under the revolving credit facility of the credit agreement of up to $1.1 billion entered into on July 19, 2016 (the “Legacy Facility Refinancing”).</w:t>
      </w:r>
    </w:p>
    <w:p>
      <w:pPr>
        <w:spacing w:after="0" w:line="187"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As of December 31, 2018, the total remaining balance of the contract prices of the nine LNG carriers on order was $1.6 billion which GasLog expects to be funded with the $165.8 million undrawn capacity under the financing agreement entered into on October 16, 2015, as well as cash balances, cash from operations, borrowings under new debt agreements and proceeds from the issuance of new equity, if any.</w:t>
      </w:r>
    </w:p>
    <w:p>
      <w:pPr>
        <w:spacing w:after="0" w:line="198" w:lineRule="exact"/>
        <w:rPr>
          <w:sz w:val="20"/>
          <w:szCs w:val="20"/>
          <w:color w:val="auto"/>
        </w:rPr>
      </w:pPr>
    </w:p>
    <w:p>
      <w:pPr>
        <w:jc w:val="both"/>
        <w:ind w:right="280"/>
        <w:spacing w:after="0" w:line="271" w:lineRule="auto"/>
        <w:rPr>
          <w:sz w:val="20"/>
          <w:szCs w:val="20"/>
          <w:color w:val="auto"/>
        </w:rPr>
      </w:pPr>
      <w:r>
        <w:rPr>
          <w:rFonts w:ascii="Arial" w:cs="Arial" w:eastAsia="Arial" w:hAnsi="Arial"/>
          <w:sz w:val="17"/>
          <w:szCs w:val="17"/>
          <w:color w:val="auto"/>
        </w:rPr>
        <w:t>As of December 31, 2018, GasLog’s current assets totaled $438.9 million, while current liabilities totaled $669.4 million, resulting in a negative working capital position of $230.5 million. Current liabilities include $360.0 million from the outstanding indebtedness of GAS-three Ltd., GAS-four Ltd., GAS-five Ltd., GAS-sixteen Ltd. and GAS-seventeen Ltd., due in November 2019. GasLog Partners is currently in active discussions with a number of banks for this refinancing, which are expected to be completed during the first half of 2019.</w:t>
      </w:r>
    </w:p>
    <w:p>
      <w:pPr>
        <w:spacing w:after="0" w:line="201" w:lineRule="exact"/>
        <w:rPr>
          <w:sz w:val="20"/>
          <w:szCs w:val="20"/>
          <w:color w:val="auto"/>
        </w:rPr>
      </w:pPr>
    </w:p>
    <w:p>
      <w:pPr>
        <w:ind w:right="40"/>
        <w:spacing w:after="0" w:line="288" w:lineRule="auto"/>
        <w:rPr>
          <w:sz w:val="20"/>
          <w:szCs w:val="20"/>
          <w:color w:val="auto"/>
        </w:rPr>
      </w:pPr>
      <w:r>
        <w:rPr>
          <w:rFonts w:ascii="Arial" w:cs="Arial" w:eastAsia="Arial" w:hAnsi="Arial"/>
          <w:sz w:val="17"/>
          <w:szCs w:val="17"/>
          <w:color w:val="auto"/>
        </w:rPr>
        <w:t>As of December 31, 2018, GasLog maintains a total interest rate swap notional amount at $1.2 billion. GasLog has hedged 47.9% of its expected floating interest rate exposure on its outstanding debt (excluding the finance lease liability) as of December 31, 2018.</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Our Fleet</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Owned Fleet</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information about our wholly owned vessels and their associated time charters as of February 14, 2019:</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3"/>
              </w:rPr>
              <w:t>Cargo</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4"/>
        </w:trPr>
        <w:tc>
          <w:tcPr>
            <w:tcW w:w="3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140"/>
              <w:spacing w:after="0"/>
              <w:rPr>
                <w:sz w:val="20"/>
                <w:szCs w:val="20"/>
                <w:color w:val="auto"/>
              </w:rPr>
            </w:pPr>
            <w:r>
              <w:rPr>
                <w:rFonts w:ascii="Arial" w:cs="Arial" w:eastAsia="Arial" w:hAnsi="Arial"/>
                <w:sz w:val="17"/>
                <w:szCs w:val="17"/>
                <w:b w:val="1"/>
                <w:bCs w:val="1"/>
                <w:color w:val="auto"/>
              </w:rPr>
              <w:t>Year</w:t>
            </w:r>
          </w:p>
        </w:tc>
        <w:tc>
          <w:tcPr>
            <w:tcW w:w="114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3"/>
              </w:rPr>
              <w:t>Capacity</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5"/>
              </w:rPr>
              <w:t>Charter</w:t>
            </w:r>
          </w:p>
        </w:tc>
        <w:tc>
          <w:tcPr>
            <w:tcW w:w="1200" w:type="dxa"/>
            <w:vAlign w:val="bottom"/>
          </w:tcPr>
          <w:p>
            <w:pPr>
              <w:ind w:left="280"/>
              <w:spacing w:after="0"/>
              <w:rPr>
                <w:sz w:val="20"/>
                <w:szCs w:val="20"/>
                <w:color w:val="auto"/>
              </w:rPr>
            </w:pPr>
            <w:r>
              <w:rPr>
                <w:rFonts w:ascii="Arial" w:cs="Arial" w:eastAsia="Arial" w:hAnsi="Arial"/>
                <w:sz w:val="17"/>
                <w:szCs w:val="17"/>
                <w:b w:val="1"/>
                <w:bCs w:val="1"/>
                <w:color w:val="auto"/>
              </w:rPr>
              <w:t>Optional</w:t>
            </w:r>
          </w:p>
        </w:tc>
      </w:tr>
      <w:tr>
        <w:trPr>
          <w:trHeight w:val="230"/>
        </w:trPr>
        <w:tc>
          <w:tcPr>
            <w:tcW w:w="300" w:type="dxa"/>
            <w:vAlign w:val="bottom"/>
          </w:tcPr>
          <w:p>
            <w:pPr>
              <w:spacing w:after="0"/>
              <w:rPr>
                <w:sz w:val="19"/>
                <w:szCs w:val="19"/>
                <w:color w:val="auto"/>
              </w:rPr>
            </w:pPr>
          </w:p>
        </w:tc>
        <w:tc>
          <w:tcPr>
            <w:tcW w:w="2960" w:type="dxa"/>
            <w:vAlign w:val="bottom"/>
            <w:gridSpan w:val="2"/>
          </w:tcPr>
          <w:p>
            <w:pPr>
              <w:ind w:left="800"/>
              <w:spacing w:after="0"/>
              <w:rPr>
                <w:sz w:val="20"/>
                <w:szCs w:val="20"/>
                <w:color w:val="auto"/>
              </w:rPr>
            </w:pPr>
            <w:r>
              <w:rPr>
                <w:rFonts w:ascii="Arial" w:cs="Arial" w:eastAsia="Arial" w:hAnsi="Arial"/>
                <w:sz w:val="17"/>
                <w:szCs w:val="17"/>
                <w:b w:val="1"/>
                <w:bCs w:val="1"/>
                <w:color w:val="auto"/>
              </w:rPr>
              <w:t>Vessel Name</w:t>
            </w:r>
          </w:p>
        </w:tc>
        <w:tc>
          <w:tcPr>
            <w:tcW w:w="740" w:type="dxa"/>
            <w:vAlign w:val="bottom"/>
            <w:gridSpan w:val="2"/>
          </w:tcPr>
          <w:p>
            <w:pPr>
              <w:ind w:left="120"/>
              <w:spacing w:after="0"/>
              <w:rPr>
                <w:sz w:val="20"/>
                <w:szCs w:val="20"/>
                <w:color w:val="auto"/>
              </w:rPr>
            </w:pPr>
            <w:r>
              <w:rPr>
                <w:rFonts w:ascii="Arial" w:cs="Arial" w:eastAsia="Arial" w:hAnsi="Arial"/>
                <w:sz w:val="17"/>
                <w:szCs w:val="17"/>
                <w:b w:val="1"/>
                <w:bCs w:val="1"/>
                <w:color w:val="auto"/>
              </w:rPr>
              <w:t>Built</w:t>
            </w:r>
          </w:p>
        </w:tc>
        <w:tc>
          <w:tcPr>
            <w:tcW w:w="114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0"/>
              </w:rPr>
              <w:t>(cbm)</w:t>
            </w:r>
          </w:p>
        </w:tc>
        <w:tc>
          <w:tcPr>
            <w:tcW w:w="168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4"/>
              </w:rPr>
              <w:t>Charterer</w:t>
            </w:r>
          </w:p>
        </w:tc>
        <w:tc>
          <w:tcPr>
            <w:tcW w:w="124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0"/>
              </w:rPr>
              <w:t>Propulsion</w:t>
            </w:r>
          </w:p>
        </w:tc>
        <w:tc>
          <w:tcPr>
            <w:tcW w:w="2740" w:type="dxa"/>
            <w:vAlign w:val="bottom"/>
            <w:gridSpan w:val="2"/>
          </w:tcPr>
          <w:p>
            <w:pPr>
              <w:jc w:val="center"/>
              <w:ind w:right="120"/>
              <w:spacing w:after="0" w:line="229" w:lineRule="exact"/>
              <w:rPr>
                <w:sz w:val="20"/>
                <w:szCs w:val="20"/>
                <w:color w:val="auto"/>
              </w:rPr>
            </w:pPr>
            <w:r>
              <w:rPr>
                <w:rFonts w:ascii="Arial" w:cs="Arial" w:eastAsia="Arial" w:hAnsi="Arial"/>
                <w:sz w:val="17"/>
                <w:szCs w:val="17"/>
                <w:b w:val="1"/>
                <w:bCs w:val="1"/>
                <w:color w:val="auto"/>
                <w:w w:val="92"/>
              </w:rPr>
              <w:t>Expiration</w:t>
            </w:r>
            <w:r>
              <w:rPr>
                <w:rFonts w:ascii="Arial" w:cs="Arial" w:eastAsia="Arial" w:hAnsi="Arial"/>
                <w:sz w:val="22"/>
                <w:szCs w:val="22"/>
                <w:b w:val="1"/>
                <w:bCs w:val="1"/>
                <w:color w:val="auto"/>
                <w:w w:val="92"/>
                <w:vertAlign w:val="superscript"/>
              </w:rPr>
              <w:t>(1)</w:t>
            </w:r>
          </w:p>
        </w:tc>
        <w:tc>
          <w:tcPr>
            <w:tcW w:w="1200" w:type="dxa"/>
            <w:vAlign w:val="bottom"/>
          </w:tcPr>
          <w:p>
            <w:pPr>
              <w:ind w:left="300"/>
              <w:spacing w:after="0" w:line="229" w:lineRule="exact"/>
              <w:rPr>
                <w:sz w:val="20"/>
                <w:szCs w:val="20"/>
                <w:color w:val="auto"/>
              </w:rPr>
            </w:pPr>
            <w:r>
              <w:rPr>
                <w:rFonts w:ascii="Arial" w:cs="Arial" w:eastAsia="Arial" w:hAnsi="Arial"/>
                <w:sz w:val="17"/>
                <w:szCs w:val="17"/>
                <w:b w:val="1"/>
                <w:bCs w:val="1"/>
                <w:color w:val="auto"/>
              </w:rPr>
              <w:t>Period</w:t>
            </w:r>
            <w:r>
              <w:rPr>
                <w:rFonts w:ascii="Arial" w:cs="Arial" w:eastAsia="Arial" w:hAnsi="Arial"/>
                <w:sz w:val="22"/>
                <w:szCs w:val="22"/>
                <w:b w:val="1"/>
                <w:bCs w:val="1"/>
                <w:color w:val="auto"/>
                <w:vertAlign w:val="superscript"/>
              </w:rPr>
              <w:t>(2)</w:t>
            </w:r>
          </w:p>
        </w:tc>
      </w:tr>
      <w:tr>
        <w:trPr>
          <w:trHeight w:val="208"/>
        </w:trPr>
        <w:tc>
          <w:tcPr>
            <w:tcW w:w="30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7"/>
                <w:szCs w:val="17"/>
                <w:b w:val="1"/>
                <w:bCs w:val="1"/>
                <w:color w:val="auto"/>
              </w:rPr>
              <w:t>1</w:t>
            </w:r>
          </w:p>
        </w:tc>
        <w:tc>
          <w:tcPr>
            <w:tcW w:w="2840" w:type="dxa"/>
            <w:vAlign w:val="bottom"/>
            <w:tcBorders>
              <w:top w:val="single" w:sz="8" w:color="auto"/>
            </w:tcBorders>
            <w:shd w:val="clear" w:color="auto" w:fill="E5FFFF"/>
          </w:tcPr>
          <w:p>
            <w:pPr>
              <w:ind w:left="140"/>
              <w:spacing w:after="0"/>
              <w:rPr>
                <w:sz w:val="20"/>
                <w:szCs w:val="20"/>
                <w:color w:val="auto"/>
              </w:rPr>
            </w:pPr>
            <w:r>
              <w:rPr>
                <w:rFonts w:ascii="Arial" w:cs="Arial" w:eastAsia="Arial" w:hAnsi="Arial"/>
                <w:sz w:val="17"/>
                <w:szCs w:val="17"/>
                <w:i w:val="1"/>
                <w:iCs w:val="1"/>
                <w:color w:val="auto"/>
              </w:rPr>
              <w:t>Methane Lydon Volney</w:t>
            </w:r>
          </w:p>
        </w:tc>
        <w:tc>
          <w:tcPr>
            <w:tcW w:w="120" w:type="dxa"/>
            <w:vAlign w:val="bottom"/>
            <w:tcBorders>
              <w:top w:val="single" w:sz="8" w:color="E5FFFF"/>
            </w:tcBorders>
            <w:shd w:val="clear" w:color="auto" w:fill="E5FFFF"/>
          </w:tcPr>
          <w:p>
            <w:pPr>
              <w:spacing w:after="0"/>
              <w:rPr>
                <w:sz w:val="18"/>
                <w:szCs w:val="18"/>
                <w:color w:val="auto"/>
              </w:rPr>
            </w:pPr>
          </w:p>
        </w:tc>
        <w:tc>
          <w:tcPr>
            <w:tcW w:w="620" w:type="dxa"/>
            <w:vAlign w:val="bottom"/>
            <w:tcBorders>
              <w:top w:val="single" w:sz="8" w:color="auto"/>
            </w:tcBorders>
            <w:shd w:val="clear" w:color="auto" w:fill="E5FFFF"/>
          </w:tcPr>
          <w:p>
            <w:pPr>
              <w:ind w:left="140"/>
              <w:spacing w:after="0"/>
              <w:rPr>
                <w:sz w:val="20"/>
                <w:szCs w:val="20"/>
                <w:color w:val="auto"/>
              </w:rPr>
            </w:pPr>
            <w:r>
              <w:rPr>
                <w:rFonts w:ascii="Arial" w:cs="Arial" w:eastAsia="Arial" w:hAnsi="Arial"/>
                <w:sz w:val="17"/>
                <w:szCs w:val="17"/>
                <w:color w:val="auto"/>
              </w:rPr>
              <w:t>2006</w:t>
            </w:r>
          </w:p>
        </w:tc>
        <w:tc>
          <w:tcPr>
            <w:tcW w:w="120" w:type="dxa"/>
            <w:vAlign w:val="bottom"/>
            <w:tcBorders>
              <w:top w:val="single" w:sz="8" w:color="E5FFFF"/>
            </w:tcBorders>
            <w:shd w:val="clear" w:color="auto" w:fill="E5FFFF"/>
          </w:tcPr>
          <w:p>
            <w:pPr>
              <w:spacing w:after="0"/>
              <w:rPr>
                <w:sz w:val="18"/>
                <w:szCs w:val="18"/>
                <w:color w:val="auto"/>
              </w:rPr>
            </w:pPr>
          </w:p>
        </w:tc>
        <w:tc>
          <w:tcPr>
            <w:tcW w:w="10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7"/>
                <w:szCs w:val="17"/>
                <w:color w:val="auto"/>
                <w:w w:val="91"/>
              </w:rPr>
              <w:t>145,000</w:t>
            </w:r>
          </w:p>
        </w:tc>
        <w:tc>
          <w:tcPr>
            <w:tcW w:w="120" w:type="dxa"/>
            <w:vAlign w:val="bottom"/>
            <w:tcBorders>
              <w:top w:val="single" w:sz="8" w:color="E5FFFF"/>
            </w:tcBorders>
            <w:shd w:val="clear" w:color="auto" w:fill="E5FFFF"/>
          </w:tcPr>
          <w:p>
            <w:pPr>
              <w:spacing w:after="0"/>
              <w:rPr>
                <w:sz w:val="18"/>
                <w:szCs w:val="18"/>
                <w:color w:val="auto"/>
              </w:rPr>
            </w:pPr>
          </w:p>
        </w:tc>
        <w:tc>
          <w:tcPr>
            <w:tcW w:w="15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7"/>
                <w:szCs w:val="17"/>
                <w:color w:val="auto"/>
                <w:w w:val="95"/>
              </w:rPr>
              <w:t>Shell</w:t>
            </w:r>
          </w:p>
        </w:tc>
        <w:tc>
          <w:tcPr>
            <w:tcW w:w="120" w:type="dxa"/>
            <w:vAlign w:val="bottom"/>
            <w:tcBorders>
              <w:top w:val="single" w:sz="8" w:color="E5FFFF"/>
            </w:tcBorders>
            <w:shd w:val="clear" w:color="auto" w:fill="E5FFFF"/>
          </w:tcPr>
          <w:p>
            <w:pPr>
              <w:spacing w:after="0"/>
              <w:rPr>
                <w:sz w:val="18"/>
                <w:szCs w:val="18"/>
                <w:color w:val="auto"/>
              </w:rPr>
            </w:pPr>
          </w:p>
        </w:tc>
        <w:tc>
          <w:tcPr>
            <w:tcW w:w="11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7"/>
                <w:szCs w:val="17"/>
                <w:color w:val="auto"/>
                <w:w w:val="85"/>
              </w:rPr>
              <w:t>Steam</w:t>
            </w:r>
          </w:p>
        </w:tc>
        <w:tc>
          <w:tcPr>
            <w:tcW w:w="120" w:type="dxa"/>
            <w:vAlign w:val="bottom"/>
            <w:tcBorders>
              <w:top w:val="single" w:sz="8" w:color="E5FFFF"/>
            </w:tcBorders>
            <w:shd w:val="clear" w:color="auto" w:fill="E5FFFF"/>
          </w:tcPr>
          <w:p>
            <w:pPr>
              <w:spacing w:after="0"/>
              <w:rPr>
                <w:sz w:val="18"/>
                <w:szCs w:val="18"/>
                <w:color w:val="auto"/>
              </w:rPr>
            </w:pPr>
          </w:p>
        </w:tc>
        <w:tc>
          <w:tcPr>
            <w:tcW w:w="26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7"/>
                <w:szCs w:val="17"/>
                <w:color w:val="auto"/>
                <w:w w:val="91"/>
              </w:rPr>
              <w:t>October 2020</w:t>
            </w:r>
          </w:p>
        </w:tc>
        <w:tc>
          <w:tcPr>
            <w:tcW w:w="120" w:type="dxa"/>
            <w:vAlign w:val="bottom"/>
            <w:tcBorders>
              <w:top w:val="single" w:sz="8" w:color="E5FFFF"/>
            </w:tcBorders>
            <w:shd w:val="clear" w:color="auto" w:fill="E5FFFF"/>
          </w:tcPr>
          <w:p>
            <w:pPr>
              <w:spacing w:after="0"/>
              <w:rPr>
                <w:sz w:val="18"/>
                <w:szCs w:val="18"/>
                <w:color w:val="auto"/>
              </w:rPr>
            </w:pPr>
          </w:p>
        </w:tc>
        <w:tc>
          <w:tcPr>
            <w:tcW w:w="12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7"/>
                <w:szCs w:val="17"/>
                <w:color w:val="auto"/>
                <w:w w:val="93"/>
              </w:rPr>
              <w:t>—</w:t>
            </w:r>
          </w:p>
        </w:tc>
      </w:tr>
      <w:tr>
        <w:trPr>
          <w:trHeight w:val="214"/>
        </w:trPr>
        <w:tc>
          <w:tcPr>
            <w:tcW w:w="300" w:type="dxa"/>
            <w:vAlign w:val="bottom"/>
          </w:tcPr>
          <w:p>
            <w:pPr>
              <w:spacing w:after="0"/>
              <w:rPr>
                <w:sz w:val="20"/>
                <w:szCs w:val="20"/>
                <w:color w:val="auto"/>
              </w:rPr>
            </w:pPr>
            <w:r>
              <w:rPr>
                <w:rFonts w:ascii="Arial" w:cs="Arial" w:eastAsia="Arial" w:hAnsi="Arial"/>
                <w:sz w:val="17"/>
                <w:szCs w:val="17"/>
                <w:b w:val="1"/>
                <w:bCs w:val="1"/>
                <w:color w:val="auto"/>
              </w:rPr>
              <w:t>2</w:t>
            </w:r>
          </w:p>
        </w:tc>
        <w:tc>
          <w:tcPr>
            <w:tcW w:w="2960" w:type="dxa"/>
            <w:vAlign w:val="bottom"/>
            <w:gridSpan w:val="2"/>
          </w:tcPr>
          <w:p>
            <w:pPr>
              <w:ind w:left="140"/>
              <w:spacing w:after="0"/>
              <w:rPr>
                <w:sz w:val="20"/>
                <w:szCs w:val="20"/>
                <w:color w:val="auto"/>
              </w:rPr>
            </w:pPr>
            <w:r>
              <w:rPr>
                <w:rFonts w:ascii="Arial" w:cs="Arial" w:eastAsia="Arial" w:hAnsi="Arial"/>
                <w:sz w:val="17"/>
                <w:szCs w:val="17"/>
                <w:i w:val="1"/>
                <w:iCs w:val="1"/>
                <w:color w:val="auto"/>
              </w:rPr>
              <w:t>GasLog Savannah</w:t>
            </w:r>
          </w:p>
        </w:tc>
        <w:tc>
          <w:tcPr>
            <w:tcW w:w="620" w:type="dxa"/>
            <w:vAlign w:val="bottom"/>
          </w:tcPr>
          <w:p>
            <w:pPr>
              <w:ind w:left="140"/>
              <w:spacing w:after="0"/>
              <w:rPr>
                <w:sz w:val="20"/>
                <w:szCs w:val="20"/>
                <w:color w:val="auto"/>
              </w:rPr>
            </w:pPr>
            <w:r>
              <w:rPr>
                <w:rFonts w:ascii="Arial" w:cs="Arial" w:eastAsia="Arial" w:hAnsi="Arial"/>
                <w:sz w:val="17"/>
                <w:szCs w:val="17"/>
                <w:color w:val="auto"/>
              </w:rPr>
              <w:t>2010</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w w:val="91"/>
              </w:rPr>
              <w:t>155,000</w:t>
            </w:r>
          </w:p>
        </w:tc>
        <w:tc>
          <w:tcPr>
            <w:tcW w:w="120" w:type="dxa"/>
            <w:vAlign w:val="bottom"/>
          </w:tcPr>
          <w:p>
            <w:pPr>
              <w:spacing w:after="0"/>
              <w:rPr>
                <w:sz w:val="18"/>
                <w:szCs w:val="18"/>
                <w:color w:val="auto"/>
              </w:rPr>
            </w:pPr>
          </w:p>
        </w:tc>
        <w:tc>
          <w:tcPr>
            <w:tcW w:w="1680" w:type="dxa"/>
            <w:vAlign w:val="bottom"/>
            <w:gridSpan w:val="2"/>
          </w:tcPr>
          <w:p>
            <w:pPr>
              <w:jc w:val="center"/>
              <w:ind w:right="120"/>
              <w:spacing w:after="0" w:line="213" w:lineRule="exact"/>
              <w:rPr>
                <w:sz w:val="20"/>
                <w:szCs w:val="20"/>
                <w:color w:val="auto"/>
              </w:rPr>
            </w:pPr>
            <w:r>
              <w:rPr>
                <w:rFonts w:ascii="Arial" w:cs="Arial" w:eastAsia="Arial" w:hAnsi="Arial"/>
                <w:sz w:val="17"/>
                <w:szCs w:val="17"/>
                <w:color w:val="auto"/>
                <w:w w:val="90"/>
              </w:rPr>
              <w:t xml:space="preserve">Spot Market </w:t>
            </w:r>
            <w:r>
              <w:rPr>
                <w:rFonts w:ascii="Arial" w:cs="Arial" w:eastAsia="Arial" w:hAnsi="Arial"/>
                <w:sz w:val="22"/>
                <w:szCs w:val="22"/>
                <w:color w:val="auto"/>
                <w:w w:val="90"/>
                <w:vertAlign w:val="superscript"/>
              </w:rPr>
              <w:t>(3)</w:t>
            </w:r>
          </w:p>
        </w:tc>
        <w:tc>
          <w:tcPr>
            <w:tcW w:w="1240" w:type="dxa"/>
            <w:vAlign w:val="bottom"/>
            <w:gridSpan w:val="2"/>
          </w:tcPr>
          <w:p>
            <w:pPr>
              <w:jc w:val="center"/>
              <w:ind w:right="140"/>
              <w:spacing w:after="0"/>
              <w:rPr>
                <w:sz w:val="20"/>
                <w:szCs w:val="20"/>
                <w:color w:val="auto"/>
              </w:rPr>
            </w:pPr>
            <w:r>
              <w:rPr>
                <w:rFonts w:ascii="Arial" w:cs="Arial" w:eastAsia="Arial" w:hAnsi="Arial"/>
                <w:sz w:val="17"/>
                <w:szCs w:val="17"/>
                <w:color w:val="auto"/>
                <w:w w:val="94"/>
              </w:rPr>
              <w:t>TFDE</w:t>
            </w:r>
          </w:p>
        </w:tc>
        <w:tc>
          <w:tcPr>
            <w:tcW w:w="2740" w:type="dxa"/>
            <w:vAlign w:val="bottom"/>
            <w:gridSpan w:val="2"/>
          </w:tcPr>
          <w:p>
            <w:pPr>
              <w:jc w:val="center"/>
              <w:ind w:right="120"/>
              <w:spacing w:after="0"/>
              <w:rPr>
                <w:sz w:val="20"/>
                <w:szCs w:val="20"/>
                <w:color w:val="auto"/>
              </w:rPr>
            </w:pPr>
            <w:r>
              <w:rPr>
                <w:rFonts w:ascii="Arial" w:cs="Arial" w:eastAsia="Arial" w:hAnsi="Arial"/>
                <w:sz w:val="17"/>
                <w:szCs w:val="17"/>
                <w:color w:val="auto"/>
              </w:rPr>
              <w:t>—</w:t>
            </w:r>
          </w:p>
        </w:tc>
        <w:tc>
          <w:tcPr>
            <w:tcW w:w="120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14"/>
        </w:trPr>
        <w:tc>
          <w:tcPr>
            <w:tcW w:w="300" w:type="dxa"/>
            <w:vAlign w:val="bottom"/>
            <w:shd w:val="clear" w:color="auto" w:fill="E5FFFF"/>
          </w:tcPr>
          <w:p>
            <w:pPr>
              <w:spacing w:after="0"/>
              <w:rPr>
                <w:sz w:val="20"/>
                <w:szCs w:val="20"/>
                <w:color w:val="auto"/>
              </w:rPr>
            </w:pPr>
            <w:r>
              <w:rPr>
                <w:rFonts w:ascii="Arial" w:cs="Arial" w:eastAsia="Arial" w:hAnsi="Arial"/>
                <w:sz w:val="17"/>
                <w:szCs w:val="17"/>
                <w:b w:val="1"/>
                <w:bCs w:val="1"/>
                <w:color w:val="auto"/>
              </w:rPr>
              <w:t>3</w:t>
            </w:r>
          </w:p>
        </w:tc>
        <w:tc>
          <w:tcPr>
            <w:tcW w:w="2960" w:type="dxa"/>
            <w:vAlign w:val="bottom"/>
            <w:gridSpan w:val="2"/>
            <w:shd w:val="clear" w:color="auto" w:fill="E5FFFF"/>
          </w:tcPr>
          <w:p>
            <w:pPr>
              <w:ind w:left="140"/>
              <w:spacing w:after="0"/>
              <w:rPr>
                <w:sz w:val="20"/>
                <w:szCs w:val="20"/>
                <w:color w:val="auto"/>
              </w:rPr>
            </w:pPr>
            <w:r>
              <w:rPr>
                <w:rFonts w:ascii="Arial" w:cs="Arial" w:eastAsia="Arial" w:hAnsi="Arial"/>
                <w:sz w:val="17"/>
                <w:szCs w:val="17"/>
                <w:i w:val="1"/>
                <w:iCs w:val="1"/>
                <w:color w:val="auto"/>
              </w:rPr>
              <w:t>GasLog Singapore</w:t>
            </w:r>
          </w:p>
        </w:tc>
        <w:tc>
          <w:tcPr>
            <w:tcW w:w="620" w:type="dxa"/>
            <w:vAlign w:val="bottom"/>
            <w:shd w:val="clear" w:color="auto" w:fill="E5FFFF"/>
          </w:tcPr>
          <w:p>
            <w:pPr>
              <w:ind w:left="140"/>
              <w:spacing w:after="0"/>
              <w:rPr>
                <w:sz w:val="20"/>
                <w:szCs w:val="20"/>
                <w:color w:val="auto"/>
              </w:rPr>
            </w:pPr>
            <w:r>
              <w:rPr>
                <w:rFonts w:ascii="Arial" w:cs="Arial" w:eastAsia="Arial" w:hAnsi="Arial"/>
                <w:sz w:val="17"/>
                <w:szCs w:val="17"/>
                <w:color w:val="auto"/>
              </w:rPr>
              <w:t>2010</w:t>
            </w:r>
          </w:p>
        </w:tc>
        <w:tc>
          <w:tcPr>
            <w:tcW w:w="120" w:type="dxa"/>
            <w:vAlign w:val="bottom"/>
            <w:shd w:val="clear" w:color="auto" w:fill="E5FFFF"/>
          </w:tcPr>
          <w:p>
            <w:pPr>
              <w:spacing w:after="0"/>
              <w:rPr>
                <w:sz w:val="18"/>
                <w:szCs w:val="18"/>
                <w:color w:val="auto"/>
              </w:rPr>
            </w:pPr>
          </w:p>
        </w:tc>
        <w:tc>
          <w:tcPr>
            <w:tcW w:w="102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91"/>
              </w:rPr>
              <w:t>155,000</w:t>
            </w:r>
          </w:p>
        </w:tc>
        <w:tc>
          <w:tcPr>
            <w:tcW w:w="120" w:type="dxa"/>
            <w:vAlign w:val="bottom"/>
            <w:shd w:val="clear" w:color="auto" w:fill="E5FFFF"/>
          </w:tcPr>
          <w:p>
            <w:pPr>
              <w:spacing w:after="0"/>
              <w:rPr>
                <w:sz w:val="18"/>
                <w:szCs w:val="18"/>
                <w:color w:val="auto"/>
              </w:rPr>
            </w:pPr>
          </w:p>
        </w:tc>
        <w:tc>
          <w:tcPr>
            <w:tcW w:w="1680" w:type="dxa"/>
            <w:vAlign w:val="bottom"/>
            <w:gridSpan w:val="2"/>
            <w:shd w:val="clear" w:color="auto" w:fill="E5FFFF"/>
          </w:tcPr>
          <w:p>
            <w:pPr>
              <w:jc w:val="center"/>
              <w:ind w:right="120"/>
              <w:spacing w:after="0" w:line="213" w:lineRule="exact"/>
              <w:rPr>
                <w:sz w:val="20"/>
                <w:szCs w:val="20"/>
                <w:color w:val="auto"/>
              </w:rPr>
            </w:pPr>
            <w:r>
              <w:rPr>
                <w:rFonts w:ascii="Arial" w:cs="Arial" w:eastAsia="Arial" w:hAnsi="Arial"/>
                <w:sz w:val="17"/>
                <w:szCs w:val="17"/>
                <w:color w:val="auto"/>
                <w:w w:val="90"/>
              </w:rPr>
              <w:t xml:space="preserve">Spot Market </w:t>
            </w:r>
            <w:r>
              <w:rPr>
                <w:rFonts w:ascii="Arial" w:cs="Arial" w:eastAsia="Arial" w:hAnsi="Arial"/>
                <w:sz w:val="22"/>
                <w:szCs w:val="22"/>
                <w:color w:val="auto"/>
                <w:w w:val="90"/>
                <w:vertAlign w:val="superscript"/>
              </w:rPr>
              <w:t>(3)</w:t>
            </w:r>
          </w:p>
        </w:tc>
        <w:tc>
          <w:tcPr>
            <w:tcW w:w="1240" w:type="dxa"/>
            <w:vAlign w:val="bottom"/>
            <w:gridSpan w:val="2"/>
            <w:shd w:val="clear" w:color="auto" w:fill="E5FFFF"/>
          </w:tcPr>
          <w:p>
            <w:pPr>
              <w:jc w:val="center"/>
              <w:ind w:right="140"/>
              <w:spacing w:after="0"/>
              <w:rPr>
                <w:sz w:val="20"/>
                <w:szCs w:val="20"/>
                <w:color w:val="auto"/>
              </w:rPr>
            </w:pPr>
            <w:r>
              <w:rPr>
                <w:rFonts w:ascii="Arial" w:cs="Arial" w:eastAsia="Arial" w:hAnsi="Arial"/>
                <w:sz w:val="17"/>
                <w:szCs w:val="17"/>
                <w:color w:val="auto"/>
                <w:w w:val="94"/>
              </w:rPr>
              <w:t>TFDE</w:t>
            </w:r>
          </w:p>
        </w:tc>
        <w:tc>
          <w:tcPr>
            <w:tcW w:w="2740" w:type="dxa"/>
            <w:vAlign w:val="bottom"/>
            <w:gridSpan w:val="2"/>
            <w:shd w:val="clear" w:color="auto" w:fill="E5FFFF"/>
          </w:tcPr>
          <w:p>
            <w:pPr>
              <w:jc w:val="center"/>
              <w:ind w:right="120"/>
              <w:spacing w:after="0"/>
              <w:rPr>
                <w:sz w:val="20"/>
                <w:szCs w:val="20"/>
                <w:color w:val="auto"/>
              </w:rPr>
            </w:pPr>
            <w:r>
              <w:rPr>
                <w:rFonts w:ascii="Arial" w:cs="Arial" w:eastAsia="Arial" w:hAnsi="Arial"/>
                <w:sz w:val="17"/>
                <w:szCs w:val="17"/>
                <w:color w:val="auto"/>
              </w:rPr>
              <w:t>—</w:t>
            </w:r>
          </w:p>
        </w:tc>
        <w:tc>
          <w:tcPr>
            <w:tcW w:w="120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93"/>
              </w:rPr>
              <w:t>—</w:t>
            </w:r>
          </w:p>
        </w:tc>
      </w:tr>
      <w:tr>
        <w:trPr>
          <w:trHeight w:val="214"/>
        </w:trPr>
        <w:tc>
          <w:tcPr>
            <w:tcW w:w="300" w:type="dxa"/>
            <w:vAlign w:val="bottom"/>
          </w:tcPr>
          <w:p>
            <w:pPr>
              <w:spacing w:after="0"/>
              <w:rPr>
                <w:sz w:val="20"/>
                <w:szCs w:val="20"/>
                <w:color w:val="auto"/>
              </w:rPr>
            </w:pPr>
            <w:r>
              <w:rPr>
                <w:rFonts w:ascii="Arial" w:cs="Arial" w:eastAsia="Arial" w:hAnsi="Arial"/>
                <w:sz w:val="17"/>
                <w:szCs w:val="17"/>
                <w:b w:val="1"/>
                <w:bCs w:val="1"/>
                <w:color w:val="auto"/>
              </w:rPr>
              <w:t>4</w:t>
            </w:r>
          </w:p>
        </w:tc>
        <w:tc>
          <w:tcPr>
            <w:tcW w:w="2960" w:type="dxa"/>
            <w:vAlign w:val="bottom"/>
            <w:gridSpan w:val="2"/>
          </w:tcPr>
          <w:p>
            <w:pPr>
              <w:ind w:left="140"/>
              <w:spacing w:after="0"/>
              <w:rPr>
                <w:sz w:val="20"/>
                <w:szCs w:val="20"/>
                <w:color w:val="auto"/>
              </w:rPr>
            </w:pPr>
            <w:r>
              <w:rPr>
                <w:rFonts w:ascii="Arial" w:cs="Arial" w:eastAsia="Arial" w:hAnsi="Arial"/>
                <w:sz w:val="17"/>
                <w:szCs w:val="17"/>
                <w:i w:val="1"/>
                <w:iCs w:val="1"/>
                <w:color w:val="auto"/>
              </w:rPr>
              <w:t>GasLog Chelsea</w:t>
            </w:r>
          </w:p>
        </w:tc>
        <w:tc>
          <w:tcPr>
            <w:tcW w:w="620" w:type="dxa"/>
            <w:vAlign w:val="bottom"/>
          </w:tcPr>
          <w:p>
            <w:pPr>
              <w:ind w:left="140"/>
              <w:spacing w:after="0"/>
              <w:rPr>
                <w:sz w:val="20"/>
                <w:szCs w:val="20"/>
                <w:color w:val="auto"/>
              </w:rPr>
            </w:pPr>
            <w:r>
              <w:rPr>
                <w:rFonts w:ascii="Arial" w:cs="Arial" w:eastAsia="Arial" w:hAnsi="Arial"/>
                <w:sz w:val="17"/>
                <w:szCs w:val="17"/>
                <w:color w:val="auto"/>
              </w:rPr>
              <w:t>2010</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w w:val="91"/>
              </w:rPr>
              <w:t>153,600</w:t>
            </w:r>
          </w:p>
        </w:tc>
        <w:tc>
          <w:tcPr>
            <w:tcW w:w="120" w:type="dxa"/>
            <w:vAlign w:val="bottom"/>
          </w:tcPr>
          <w:p>
            <w:pPr>
              <w:spacing w:after="0"/>
              <w:rPr>
                <w:sz w:val="18"/>
                <w:szCs w:val="18"/>
                <w:color w:val="auto"/>
              </w:rPr>
            </w:pPr>
          </w:p>
        </w:tc>
        <w:tc>
          <w:tcPr>
            <w:tcW w:w="1680" w:type="dxa"/>
            <w:vAlign w:val="bottom"/>
            <w:gridSpan w:val="2"/>
          </w:tcPr>
          <w:p>
            <w:pPr>
              <w:jc w:val="center"/>
              <w:ind w:right="120"/>
              <w:spacing w:after="0" w:line="213" w:lineRule="exact"/>
              <w:rPr>
                <w:sz w:val="20"/>
                <w:szCs w:val="20"/>
                <w:color w:val="auto"/>
              </w:rPr>
            </w:pPr>
            <w:r>
              <w:rPr>
                <w:rFonts w:ascii="Arial" w:cs="Arial" w:eastAsia="Arial" w:hAnsi="Arial"/>
                <w:sz w:val="17"/>
                <w:szCs w:val="17"/>
                <w:color w:val="auto"/>
                <w:w w:val="90"/>
              </w:rPr>
              <w:t xml:space="preserve">Spot Market </w:t>
            </w:r>
            <w:r>
              <w:rPr>
                <w:rFonts w:ascii="Arial" w:cs="Arial" w:eastAsia="Arial" w:hAnsi="Arial"/>
                <w:sz w:val="22"/>
                <w:szCs w:val="22"/>
                <w:color w:val="auto"/>
                <w:w w:val="90"/>
                <w:vertAlign w:val="superscript"/>
              </w:rPr>
              <w:t>(3)</w:t>
            </w:r>
          </w:p>
        </w:tc>
        <w:tc>
          <w:tcPr>
            <w:tcW w:w="1240" w:type="dxa"/>
            <w:vAlign w:val="bottom"/>
            <w:gridSpan w:val="2"/>
          </w:tcPr>
          <w:p>
            <w:pPr>
              <w:jc w:val="center"/>
              <w:ind w:right="140"/>
              <w:spacing w:after="0"/>
              <w:rPr>
                <w:sz w:val="20"/>
                <w:szCs w:val="20"/>
                <w:color w:val="auto"/>
              </w:rPr>
            </w:pPr>
            <w:r>
              <w:rPr>
                <w:rFonts w:ascii="Arial" w:cs="Arial" w:eastAsia="Arial" w:hAnsi="Arial"/>
                <w:sz w:val="17"/>
                <w:szCs w:val="17"/>
                <w:color w:val="auto"/>
                <w:w w:val="94"/>
              </w:rPr>
              <w:t>TFDE</w:t>
            </w:r>
          </w:p>
        </w:tc>
        <w:tc>
          <w:tcPr>
            <w:tcW w:w="2740" w:type="dxa"/>
            <w:vAlign w:val="bottom"/>
            <w:gridSpan w:val="2"/>
          </w:tcPr>
          <w:p>
            <w:pPr>
              <w:jc w:val="center"/>
              <w:ind w:right="120"/>
              <w:spacing w:after="0"/>
              <w:rPr>
                <w:sz w:val="20"/>
                <w:szCs w:val="20"/>
                <w:color w:val="auto"/>
              </w:rPr>
            </w:pPr>
            <w:r>
              <w:rPr>
                <w:rFonts w:ascii="Arial" w:cs="Arial" w:eastAsia="Arial" w:hAnsi="Arial"/>
                <w:sz w:val="17"/>
                <w:szCs w:val="17"/>
                <w:color w:val="auto"/>
              </w:rPr>
              <w:t>—</w:t>
            </w:r>
          </w:p>
        </w:tc>
        <w:tc>
          <w:tcPr>
            <w:tcW w:w="120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14"/>
        </w:trPr>
        <w:tc>
          <w:tcPr>
            <w:tcW w:w="300" w:type="dxa"/>
            <w:vAlign w:val="bottom"/>
            <w:shd w:val="clear" w:color="auto" w:fill="E5FFFF"/>
          </w:tcPr>
          <w:p>
            <w:pPr>
              <w:spacing w:after="0"/>
              <w:rPr>
                <w:sz w:val="20"/>
                <w:szCs w:val="20"/>
                <w:color w:val="auto"/>
              </w:rPr>
            </w:pPr>
            <w:r>
              <w:rPr>
                <w:rFonts w:ascii="Arial" w:cs="Arial" w:eastAsia="Arial" w:hAnsi="Arial"/>
                <w:sz w:val="17"/>
                <w:szCs w:val="17"/>
                <w:b w:val="1"/>
                <w:bCs w:val="1"/>
                <w:color w:val="auto"/>
              </w:rPr>
              <w:t>5</w:t>
            </w:r>
          </w:p>
        </w:tc>
        <w:tc>
          <w:tcPr>
            <w:tcW w:w="2960" w:type="dxa"/>
            <w:vAlign w:val="bottom"/>
            <w:gridSpan w:val="2"/>
            <w:shd w:val="clear" w:color="auto" w:fill="E5FFFF"/>
          </w:tcPr>
          <w:p>
            <w:pPr>
              <w:ind w:left="140"/>
              <w:spacing w:after="0" w:line="213" w:lineRule="exact"/>
              <w:rPr>
                <w:sz w:val="20"/>
                <w:szCs w:val="20"/>
                <w:color w:val="auto"/>
              </w:rPr>
            </w:pPr>
            <w:r>
              <w:rPr>
                <w:rFonts w:ascii="Arial" w:cs="Arial" w:eastAsia="Arial" w:hAnsi="Arial"/>
                <w:sz w:val="17"/>
                <w:szCs w:val="17"/>
                <w:i w:val="1"/>
                <w:iCs w:val="1"/>
                <w:color w:val="auto"/>
              </w:rPr>
              <w:t>GasLog Skagen</w:t>
            </w:r>
            <w:r>
              <w:rPr>
                <w:rFonts w:ascii="Arial" w:cs="Arial" w:eastAsia="Arial" w:hAnsi="Arial"/>
                <w:sz w:val="22"/>
                <w:szCs w:val="22"/>
                <w:color w:val="auto"/>
                <w:vertAlign w:val="superscript"/>
              </w:rPr>
              <w:t>(4)</w:t>
            </w:r>
          </w:p>
        </w:tc>
        <w:tc>
          <w:tcPr>
            <w:tcW w:w="620" w:type="dxa"/>
            <w:vAlign w:val="bottom"/>
            <w:shd w:val="clear" w:color="auto" w:fill="E5FFFF"/>
          </w:tcPr>
          <w:p>
            <w:pPr>
              <w:ind w:left="140"/>
              <w:spacing w:after="0"/>
              <w:rPr>
                <w:sz w:val="20"/>
                <w:szCs w:val="20"/>
                <w:color w:val="auto"/>
              </w:rPr>
            </w:pPr>
            <w:r>
              <w:rPr>
                <w:rFonts w:ascii="Arial" w:cs="Arial" w:eastAsia="Arial" w:hAnsi="Arial"/>
                <w:sz w:val="17"/>
                <w:szCs w:val="17"/>
                <w:color w:val="auto"/>
              </w:rPr>
              <w:t>2013</w:t>
            </w:r>
          </w:p>
        </w:tc>
        <w:tc>
          <w:tcPr>
            <w:tcW w:w="120" w:type="dxa"/>
            <w:vAlign w:val="bottom"/>
            <w:shd w:val="clear" w:color="auto" w:fill="E5FFFF"/>
          </w:tcPr>
          <w:p>
            <w:pPr>
              <w:spacing w:after="0"/>
              <w:rPr>
                <w:sz w:val="18"/>
                <w:szCs w:val="18"/>
                <w:color w:val="auto"/>
              </w:rPr>
            </w:pPr>
          </w:p>
        </w:tc>
        <w:tc>
          <w:tcPr>
            <w:tcW w:w="102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91"/>
              </w:rPr>
              <w:t>155,000</w:t>
            </w:r>
          </w:p>
        </w:tc>
        <w:tc>
          <w:tcPr>
            <w:tcW w:w="120" w:type="dxa"/>
            <w:vAlign w:val="bottom"/>
            <w:shd w:val="clear" w:color="auto" w:fill="E5FFFF"/>
          </w:tcPr>
          <w:p>
            <w:pPr>
              <w:spacing w:after="0"/>
              <w:rPr>
                <w:sz w:val="18"/>
                <w:szCs w:val="18"/>
                <w:color w:val="auto"/>
              </w:rPr>
            </w:pPr>
          </w:p>
        </w:tc>
        <w:tc>
          <w:tcPr>
            <w:tcW w:w="1680" w:type="dxa"/>
            <w:vAlign w:val="bottom"/>
            <w:gridSpan w:val="2"/>
            <w:shd w:val="clear" w:color="auto" w:fill="E5FFFF"/>
          </w:tcPr>
          <w:p>
            <w:pPr>
              <w:jc w:val="center"/>
              <w:ind w:right="120"/>
              <w:spacing w:after="0" w:line="213" w:lineRule="exact"/>
              <w:rPr>
                <w:sz w:val="20"/>
                <w:szCs w:val="20"/>
                <w:color w:val="auto"/>
              </w:rPr>
            </w:pPr>
            <w:r>
              <w:rPr>
                <w:rFonts w:ascii="Arial" w:cs="Arial" w:eastAsia="Arial" w:hAnsi="Arial"/>
                <w:sz w:val="17"/>
                <w:szCs w:val="17"/>
                <w:color w:val="auto"/>
                <w:w w:val="90"/>
              </w:rPr>
              <w:t xml:space="preserve">Spot Market </w:t>
            </w:r>
            <w:r>
              <w:rPr>
                <w:rFonts w:ascii="Arial" w:cs="Arial" w:eastAsia="Arial" w:hAnsi="Arial"/>
                <w:sz w:val="22"/>
                <w:szCs w:val="22"/>
                <w:color w:val="auto"/>
                <w:w w:val="90"/>
                <w:vertAlign w:val="superscript"/>
              </w:rPr>
              <w:t>(3)</w:t>
            </w:r>
          </w:p>
        </w:tc>
        <w:tc>
          <w:tcPr>
            <w:tcW w:w="1240" w:type="dxa"/>
            <w:vAlign w:val="bottom"/>
            <w:gridSpan w:val="2"/>
            <w:shd w:val="clear" w:color="auto" w:fill="E5FFFF"/>
          </w:tcPr>
          <w:p>
            <w:pPr>
              <w:jc w:val="center"/>
              <w:ind w:right="140"/>
              <w:spacing w:after="0"/>
              <w:rPr>
                <w:sz w:val="20"/>
                <w:szCs w:val="20"/>
                <w:color w:val="auto"/>
              </w:rPr>
            </w:pPr>
            <w:r>
              <w:rPr>
                <w:rFonts w:ascii="Arial" w:cs="Arial" w:eastAsia="Arial" w:hAnsi="Arial"/>
                <w:sz w:val="17"/>
                <w:szCs w:val="17"/>
                <w:color w:val="auto"/>
                <w:w w:val="94"/>
              </w:rPr>
              <w:t>TFDE</w:t>
            </w:r>
          </w:p>
        </w:tc>
        <w:tc>
          <w:tcPr>
            <w:tcW w:w="2740" w:type="dxa"/>
            <w:vAlign w:val="bottom"/>
            <w:gridSpan w:val="2"/>
            <w:shd w:val="clear" w:color="auto" w:fill="E5FFFF"/>
          </w:tcPr>
          <w:p>
            <w:pPr>
              <w:jc w:val="center"/>
              <w:ind w:right="120"/>
              <w:spacing w:after="0"/>
              <w:rPr>
                <w:sz w:val="20"/>
                <w:szCs w:val="20"/>
                <w:color w:val="auto"/>
              </w:rPr>
            </w:pPr>
            <w:r>
              <w:rPr>
                <w:rFonts w:ascii="Arial" w:cs="Arial" w:eastAsia="Arial" w:hAnsi="Arial"/>
                <w:sz w:val="17"/>
                <w:szCs w:val="17"/>
                <w:color w:val="auto"/>
              </w:rPr>
              <w:t>—</w:t>
            </w:r>
          </w:p>
        </w:tc>
        <w:tc>
          <w:tcPr>
            <w:tcW w:w="120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93"/>
              </w:rPr>
              <w:t>—</w:t>
            </w:r>
          </w:p>
        </w:tc>
      </w:tr>
      <w:tr>
        <w:trPr>
          <w:trHeight w:val="214"/>
        </w:trPr>
        <w:tc>
          <w:tcPr>
            <w:tcW w:w="300" w:type="dxa"/>
            <w:vAlign w:val="bottom"/>
          </w:tcPr>
          <w:p>
            <w:pPr>
              <w:spacing w:after="0"/>
              <w:rPr>
                <w:sz w:val="20"/>
                <w:szCs w:val="20"/>
                <w:color w:val="auto"/>
              </w:rPr>
            </w:pPr>
            <w:r>
              <w:rPr>
                <w:rFonts w:ascii="Arial" w:cs="Arial" w:eastAsia="Arial" w:hAnsi="Arial"/>
                <w:sz w:val="17"/>
                <w:szCs w:val="17"/>
                <w:b w:val="1"/>
                <w:bCs w:val="1"/>
                <w:color w:val="auto"/>
              </w:rPr>
              <w:t>6</w:t>
            </w:r>
          </w:p>
        </w:tc>
        <w:tc>
          <w:tcPr>
            <w:tcW w:w="2960" w:type="dxa"/>
            <w:vAlign w:val="bottom"/>
            <w:gridSpan w:val="2"/>
          </w:tcPr>
          <w:p>
            <w:pPr>
              <w:ind w:left="140"/>
              <w:spacing w:after="0" w:line="213" w:lineRule="exact"/>
              <w:rPr>
                <w:sz w:val="20"/>
                <w:szCs w:val="20"/>
                <w:color w:val="auto"/>
              </w:rPr>
            </w:pPr>
            <w:r>
              <w:rPr>
                <w:rFonts w:ascii="Arial" w:cs="Arial" w:eastAsia="Arial" w:hAnsi="Arial"/>
                <w:sz w:val="17"/>
                <w:szCs w:val="17"/>
                <w:i w:val="1"/>
                <w:iCs w:val="1"/>
                <w:color w:val="auto"/>
              </w:rPr>
              <w:t>GasLog Saratoga</w:t>
            </w:r>
            <w:r>
              <w:rPr>
                <w:rFonts w:ascii="Arial" w:cs="Arial" w:eastAsia="Arial" w:hAnsi="Arial"/>
                <w:sz w:val="22"/>
                <w:szCs w:val="22"/>
                <w:color w:val="auto"/>
                <w:vertAlign w:val="superscript"/>
              </w:rPr>
              <w:t>(4)</w:t>
            </w:r>
          </w:p>
        </w:tc>
        <w:tc>
          <w:tcPr>
            <w:tcW w:w="620" w:type="dxa"/>
            <w:vAlign w:val="bottom"/>
          </w:tcPr>
          <w:p>
            <w:pPr>
              <w:ind w:left="140"/>
              <w:spacing w:after="0"/>
              <w:rPr>
                <w:sz w:val="20"/>
                <w:szCs w:val="20"/>
                <w:color w:val="auto"/>
              </w:rPr>
            </w:pPr>
            <w:r>
              <w:rPr>
                <w:rFonts w:ascii="Arial" w:cs="Arial" w:eastAsia="Arial" w:hAnsi="Arial"/>
                <w:sz w:val="17"/>
                <w:szCs w:val="17"/>
                <w:color w:val="auto"/>
              </w:rPr>
              <w:t>2014</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w w:val="91"/>
              </w:rPr>
              <w:t>155,000</w:t>
            </w:r>
          </w:p>
        </w:tc>
        <w:tc>
          <w:tcPr>
            <w:tcW w:w="12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7"/>
                <w:szCs w:val="17"/>
                <w:color w:val="auto"/>
                <w:w w:val="95"/>
              </w:rPr>
              <w:t>Shell</w:t>
            </w:r>
          </w:p>
        </w:tc>
        <w:tc>
          <w:tcPr>
            <w:tcW w:w="1240" w:type="dxa"/>
            <w:vAlign w:val="bottom"/>
            <w:gridSpan w:val="2"/>
          </w:tcPr>
          <w:p>
            <w:pPr>
              <w:jc w:val="center"/>
              <w:ind w:right="140"/>
              <w:spacing w:after="0"/>
              <w:rPr>
                <w:sz w:val="20"/>
                <w:szCs w:val="20"/>
                <w:color w:val="auto"/>
              </w:rPr>
            </w:pPr>
            <w:r>
              <w:rPr>
                <w:rFonts w:ascii="Arial" w:cs="Arial" w:eastAsia="Arial" w:hAnsi="Arial"/>
                <w:sz w:val="17"/>
                <w:szCs w:val="17"/>
                <w:color w:val="auto"/>
                <w:w w:val="94"/>
              </w:rPr>
              <w:t>TFDE</w:t>
            </w:r>
          </w:p>
        </w:tc>
        <w:tc>
          <w:tcPr>
            <w:tcW w:w="2740" w:type="dxa"/>
            <w:vAlign w:val="bottom"/>
            <w:gridSpan w:val="2"/>
          </w:tcPr>
          <w:p>
            <w:pPr>
              <w:jc w:val="center"/>
              <w:ind w:right="120"/>
              <w:spacing w:after="0"/>
              <w:rPr>
                <w:sz w:val="20"/>
                <w:szCs w:val="20"/>
                <w:color w:val="auto"/>
              </w:rPr>
            </w:pPr>
            <w:r>
              <w:rPr>
                <w:rFonts w:ascii="Arial" w:cs="Arial" w:eastAsia="Arial" w:hAnsi="Arial"/>
                <w:sz w:val="17"/>
                <w:szCs w:val="17"/>
                <w:color w:val="auto"/>
                <w:w w:val="87"/>
              </w:rPr>
              <w:t>September 2019</w:t>
            </w:r>
          </w:p>
        </w:tc>
        <w:tc>
          <w:tcPr>
            <w:tcW w:w="120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14"/>
        </w:trPr>
        <w:tc>
          <w:tcPr>
            <w:tcW w:w="300" w:type="dxa"/>
            <w:vAlign w:val="bottom"/>
            <w:shd w:val="clear" w:color="auto" w:fill="E5FFFF"/>
          </w:tcPr>
          <w:p>
            <w:pPr>
              <w:spacing w:after="0"/>
              <w:rPr>
                <w:sz w:val="20"/>
                <w:szCs w:val="20"/>
                <w:color w:val="auto"/>
              </w:rPr>
            </w:pPr>
            <w:r>
              <w:rPr>
                <w:rFonts w:ascii="Arial" w:cs="Arial" w:eastAsia="Arial" w:hAnsi="Arial"/>
                <w:sz w:val="17"/>
                <w:szCs w:val="17"/>
                <w:b w:val="1"/>
                <w:bCs w:val="1"/>
                <w:color w:val="auto"/>
              </w:rPr>
              <w:t>7</w:t>
            </w:r>
          </w:p>
        </w:tc>
        <w:tc>
          <w:tcPr>
            <w:tcW w:w="2960" w:type="dxa"/>
            <w:vAlign w:val="bottom"/>
            <w:gridSpan w:val="2"/>
            <w:shd w:val="clear" w:color="auto" w:fill="E5FFFF"/>
          </w:tcPr>
          <w:p>
            <w:pPr>
              <w:ind w:left="140"/>
              <w:spacing w:after="0"/>
              <w:rPr>
                <w:sz w:val="20"/>
                <w:szCs w:val="20"/>
                <w:color w:val="auto"/>
              </w:rPr>
            </w:pPr>
            <w:r>
              <w:rPr>
                <w:rFonts w:ascii="Arial" w:cs="Arial" w:eastAsia="Arial" w:hAnsi="Arial"/>
                <w:sz w:val="17"/>
                <w:szCs w:val="17"/>
                <w:i w:val="1"/>
                <w:iCs w:val="1"/>
                <w:color w:val="auto"/>
              </w:rPr>
              <w:t>GasLog Salem</w:t>
            </w:r>
          </w:p>
        </w:tc>
        <w:tc>
          <w:tcPr>
            <w:tcW w:w="620" w:type="dxa"/>
            <w:vAlign w:val="bottom"/>
            <w:shd w:val="clear" w:color="auto" w:fill="E5FFFF"/>
          </w:tcPr>
          <w:p>
            <w:pPr>
              <w:ind w:left="140"/>
              <w:spacing w:after="0"/>
              <w:rPr>
                <w:sz w:val="20"/>
                <w:szCs w:val="20"/>
                <w:color w:val="auto"/>
              </w:rPr>
            </w:pPr>
            <w:r>
              <w:rPr>
                <w:rFonts w:ascii="Arial" w:cs="Arial" w:eastAsia="Arial" w:hAnsi="Arial"/>
                <w:sz w:val="17"/>
                <w:szCs w:val="17"/>
                <w:color w:val="auto"/>
              </w:rPr>
              <w:t>2015</w:t>
            </w:r>
          </w:p>
        </w:tc>
        <w:tc>
          <w:tcPr>
            <w:tcW w:w="120" w:type="dxa"/>
            <w:vAlign w:val="bottom"/>
            <w:shd w:val="clear" w:color="auto" w:fill="E5FFFF"/>
          </w:tcPr>
          <w:p>
            <w:pPr>
              <w:spacing w:after="0"/>
              <w:rPr>
                <w:sz w:val="18"/>
                <w:szCs w:val="18"/>
                <w:color w:val="auto"/>
              </w:rPr>
            </w:pPr>
          </w:p>
        </w:tc>
        <w:tc>
          <w:tcPr>
            <w:tcW w:w="102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91"/>
              </w:rPr>
              <w:t>155,000</w:t>
            </w:r>
          </w:p>
        </w:tc>
        <w:tc>
          <w:tcPr>
            <w:tcW w:w="120" w:type="dxa"/>
            <w:vAlign w:val="bottom"/>
            <w:shd w:val="clear" w:color="auto" w:fill="E5FFFF"/>
          </w:tcPr>
          <w:p>
            <w:pPr>
              <w:spacing w:after="0"/>
              <w:rPr>
                <w:sz w:val="18"/>
                <w:szCs w:val="18"/>
                <w:color w:val="auto"/>
              </w:rPr>
            </w:pPr>
          </w:p>
        </w:tc>
        <w:tc>
          <w:tcPr>
            <w:tcW w:w="1680" w:type="dxa"/>
            <w:vAlign w:val="bottom"/>
            <w:gridSpan w:val="2"/>
            <w:shd w:val="clear" w:color="auto" w:fill="E5FFFF"/>
          </w:tcPr>
          <w:p>
            <w:pPr>
              <w:jc w:val="center"/>
              <w:ind w:right="120"/>
              <w:spacing w:after="0" w:line="213" w:lineRule="exact"/>
              <w:rPr>
                <w:sz w:val="20"/>
                <w:szCs w:val="20"/>
                <w:color w:val="auto"/>
              </w:rPr>
            </w:pPr>
            <w:r>
              <w:rPr>
                <w:rFonts w:ascii="Arial" w:cs="Arial" w:eastAsia="Arial" w:hAnsi="Arial"/>
                <w:sz w:val="17"/>
                <w:szCs w:val="17"/>
                <w:color w:val="auto"/>
                <w:w w:val="90"/>
              </w:rPr>
              <w:t xml:space="preserve">Spot Market </w:t>
            </w:r>
            <w:r>
              <w:rPr>
                <w:rFonts w:ascii="Arial" w:cs="Arial" w:eastAsia="Arial" w:hAnsi="Arial"/>
                <w:sz w:val="22"/>
                <w:szCs w:val="22"/>
                <w:color w:val="auto"/>
                <w:w w:val="90"/>
                <w:vertAlign w:val="superscript"/>
              </w:rPr>
              <w:t>(3)</w:t>
            </w:r>
          </w:p>
        </w:tc>
        <w:tc>
          <w:tcPr>
            <w:tcW w:w="1240" w:type="dxa"/>
            <w:vAlign w:val="bottom"/>
            <w:gridSpan w:val="2"/>
            <w:shd w:val="clear" w:color="auto" w:fill="E5FFFF"/>
          </w:tcPr>
          <w:p>
            <w:pPr>
              <w:jc w:val="center"/>
              <w:ind w:right="140"/>
              <w:spacing w:after="0"/>
              <w:rPr>
                <w:sz w:val="20"/>
                <w:szCs w:val="20"/>
                <w:color w:val="auto"/>
              </w:rPr>
            </w:pPr>
            <w:r>
              <w:rPr>
                <w:rFonts w:ascii="Arial" w:cs="Arial" w:eastAsia="Arial" w:hAnsi="Arial"/>
                <w:sz w:val="17"/>
                <w:szCs w:val="17"/>
                <w:color w:val="auto"/>
                <w:w w:val="94"/>
              </w:rPr>
              <w:t>TFDE</w:t>
            </w:r>
          </w:p>
        </w:tc>
        <w:tc>
          <w:tcPr>
            <w:tcW w:w="2740" w:type="dxa"/>
            <w:vAlign w:val="bottom"/>
            <w:gridSpan w:val="2"/>
            <w:shd w:val="clear" w:color="auto" w:fill="E5FFFF"/>
          </w:tcPr>
          <w:p>
            <w:pPr>
              <w:jc w:val="center"/>
              <w:ind w:right="120"/>
              <w:spacing w:after="0"/>
              <w:rPr>
                <w:sz w:val="20"/>
                <w:szCs w:val="20"/>
                <w:color w:val="auto"/>
              </w:rPr>
            </w:pPr>
            <w:r>
              <w:rPr>
                <w:rFonts w:ascii="Arial" w:cs="Arial" w:eastAsia="Arial" w:hAnsi="Arial"/>
                <w:sz w:val="17"/>
                <w:szCs w:val="17"/>
                <w:color w:val="auto"/>
              </w:rPr>
              <w:t>—</w:t>
            </w:r>
          </w:p>
        </w:tc>
        <w:tc>
          <w:tcPr>
            <w:tcW w:w="120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93"/>
              </w:rPr>
              <w:t>—</w:t>
            </w:r>
          </w:p>
        </w:tc>
      </w:tr>
      <w:tr>
        <w:trPr>
          <w:trHeight w:val="214"/>
        </w:trPr>
        <w:tc>
          <w:tcPr>
            <w:tcW w:w="300" w:type="dxa"/>
            <w:vAlign w:val="bottom"/>
          </w:tcPr>
          <w:p>
            <w:pPr>
              <w:spacing w:after="0"/>
              <w:rPr>
                <w:sz w:val="20"/>
                <w:szCs w:val="20"/>
                <w:color w:val="auto"/>
              </w:rPr>
            </w:pPr>
            <w:r>
              <w:rPr>
                <w:rFonts w:ascii="Arial" w:cs="Arial" w:eastAsia="Arial" w:hAnsi="Arial"/>
                <w:sz w:val="17"/>
                <w:szCs w:val="17"/>
                <w:b w:val="1"/>
                <w:bCs w:val="1"/>
                <w:color w:val="auto"/>
              </w:rPr>
              <w:t>8</w:t>
            </w:r>
          </w:p>
        </w:tc>
        <w:tc>
          <w:tcPr>
            <w:tcW w:w="2960" w:type="dxa"/>
            <w:vAlign w:val="bottom"/>
            <w:gridSpan w:val="2"/>
          </w:tcPr>
          <w:p>
            <w:pPr>
              <w:ind w:left="140"/>
              <w:spacing w:after="0"/>
              <w:rPr>
                <w:sz w:val="20"/>
                <w:szCs w:val="20"/>
                <w:color w:val="auto"/>
              </w:rPr>
            </w:pPr>
            <w:r>
              <w:rPr>
                <w:rFonts w:ascii="Arial" w:cs="Arial" w:eastAsia="Arial" w:hAnsi="Arial"/>
                <w:sz w:val="17"/>
                <w:szCs w:val="17"/>
                <w:i w:val="1"/>
                <w:iCs w:val="1"/>
                <w:color w:val="auto"/>
              </w:rPr>
              <w:t>GasLog Glasgow</w:t>
            </w:r>
          </w:p>
        </w:tc>
        <w:tc>
          <w:tcPr>
            <w:tcW w:w="620" w:type="dxa"/>
            <w:vAlign w:val="bottom"/>
          </w:tcPr>
          <w:p>
            <w:pPr>
              <w:ind w:left="140"/>
              <w:spacing w:after="0"/>
              <w:rPr>
                <w:sz w:val="20"/>
                <w:szCs w:val="20"/>
                <w:color w:val="auto"/>
              </w:rPr>
            </w:pPr>
            <w:r>
              <w:rPr>
                <w:rFonts w:ascii="Arial" w:cs="Arial" w:eastAsia="Arial" w:hAnsi="Arial"/>
                <w:sz w:val="17"/>
                <w:szCs w:val="17"/>
                <w:color w:val="auto"/>
              </w:rPr>
              <w:t>2016</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w w:val="91"/>
              </w:rPr>
              <w:t>174,000</w:t>
            </w:r>
          </w:p>
        </w:tc>
        <w:tc>
          <w:tcPr>
            <w:tcW w:w="12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7"/>
                <w:szCs w:val="17"/>
                <w:color w:val="auto"/>
                <w:w w:val="95"/>
              </w:rPr>
              <w:t>Shell</w:t>
            </w:r>
          </w:p>
        </w:tc>
        <w:tc>
          <w:tcPr>
            <w:tcW w:w="1240" w:type="dxa"/>
            <w:vAlign w:val="bottom"/>
            <w:gridSpan w:val="2"/>
          </w:tcPr>
          <w:p>
            <w:pPr>
              <w:jc w:val="center"/>
              <w:ind w:right="140"/>
              <w:spacing w:after="0"/>
              <w:rPr>
                <w:sz w:val="20"/>
                <w:szCs w:val="20"/>
                <w:color w:val="auto"/>
              </w:rPr>
            </w:pPr>
            <w:r>
              <w:rPr>
                <w:rFonts w:ascii="Arial" w:cs="Arial" w:eastAsia="Arial" w:hAnsi="Arial"/>
                <w:sz w:val="17"/>
                <w:szCs w:val="17"/>
                <w:color w:val="auto"/>
                <w:w w:val="94"/>
              </w:rPr>
              <w:t>TFDE</w:t>
            </w:r>
          </w:p>
        </w:tc>
        <w:tc>
          <w:tcPr>
            <w:tcW w:w="2740" w:type="dxa"/>
            <w:vAlign w:val="bottom"/>
            <w:gridSpan w:val="2"/>
          </w:tcPr>
          <w:p>
            <w:pPr>
              <w:jc w:val="center"/>
              <w:ind w:right="120"/>
              <w:spacing w:after="0"/>
              <w:rPr>
                <w:sz w:val="20"/>
                <w:szCs w:val="20"/>
                <w:color w:val="auto"/>
              </w:rPr>
            </w:pPr>
            <w:r>
              <w:rPr>
                <w:rFonts w:ascii="Arial" w:cs="Arial" w:eastAsia="Arial" w:hAnsi="Arial"/>
                <w:sz w:val="17"/>
                <w:szCs w:val="17"/>
                <w:color w:val="auto"/>
                <w:w w:val="88"/>
              </w:rPr>
              <w:t>June 2026</w:t>
            </w:r>
          </w:p>
        </w:tc>
        <w:tc>
          <w:tcPr>
            <w:tcW w:w="1200" w:type="dxa"/>
            <w:vAlign w:val="bottom"/>
          </w:tcPr>
          <w:p>
            <w:pPr>
              <w:jc w:val="center"/>
              <w:spacing w:after="0"/>
              <w:rPr>
                <w:sz w:val="20"/>
                <w:szCs w:val="20"/>
                <w:color w:val="auto"/>
              </w:rPr>
            </w:pPr>
            <w:r>
              <w:rPr>
                <w:rFonts w:ascii="Arial" w:cs="Arial" w:eastAsia="Arial" w:hAnsi="Arial"/>
                <w:sz w:val="17"/>
                <w:szCs w:val="17"/>
                <w:color w:val="auto"/>
                <w:w w:val="89"/>
              </w:rPr>
              <w:t>2031</w:t>
            </w:r>
          </w:p>
        </w:tc>
      </w:tr>
      <w:tr>
        <w:trPr>
          <w:trHeight w:val="214"/>
        </w:trPr>
        <w:tc>
          <w:tcPr>
            <w:tcW w:w="300" w:type="dxa"/>
            <w:vAlign w:val="bottom"/>
            <w:shd w:val="clear" w:color="auto" w:fill="E5FFFF"/>
          </w:tcPr>
          <w:p>
            <w:pPr>
              <w:spacing w:after="0"/>
              <w:rPr>
                <w:sz w:val="20"/>
                <w:szCs w:val="20"/>
                <w:color w:val="auto"/>
              </w:rPr>
            </w:pPr>
            <w:r>
              <w:rPr>
                <w:rFonts w:ascii="Arial" w:cs="Arial" w:eastAsia="Arial" w:hAnsi="Arial"/>
                <w:sz w:val="17"/>
                <w:szCs w:val="17"/>
                <w:b w:val="1"/>
                <w:bCs w:val="1"/>
                <w:color w:val="auto"/>
              </w:rPr>
              <w:t>9</w:t>
            </w:r>
          </w:p>
        </w:tc>
        <w:tc>
          <w:tcPr>
            <w:tcW w:w="2960" w:type="dxa"/>
            <w:vAlign w:val="bottom"/>
            <w:gridSpan w:val="2"/>
            <w:shd w:val="clear" w:color="auto" w:fill="E5FFFF"/>
          </w:tcPr>
          <w:p>
            <w:pPr>
              <w:ind w:left="140"/>
              <w:spacing w:after="0"/>
              <w:rPr>
                <w:sz w:val="20"/>
                <w:szCs w:val="20"/>
                <w:color w:val="auto"/>
              </w:rPr>
            </w:pPr>
            <w:r>
              <w:rPr>
                <w:rFonts w:ascii="Arial" w:cs="Arial" w:eastAsia="Arial" w:hAnsi="Arial"/>
                <w:sz w:val="17"/>
                <w:szCs w:val="17"/>
                <w:i w:val="1"/>
                <w:iCs w:val="1"/>
                <w:color w:val="auto"/>
              </w:rPr>
              <w:t>GasLog Houston</w:t>
            </w:r>
          </w:p>
        </w:tc>
        <w:tc>
          <w:tcPr>
            <w:tcW w:w="620" w:type="dxa"/>
            <w:vAlign w:val="bottom"/>
            <w:shd w:val="clear" w:color="auto" w:fill="E5FFFF"/>
          </w:tcPr>
          <w:p>
            <w:pPr>
              <w:ind w:left="140"/>
              <w:spacing w:after="0"/>
              <w:rPr>
                <w:sz w:val="20"/>
                <w:szCs w:val="20"/>
                <w:color w:val="auto"/>
              </w:rPr>
            </w:pPr>
            <w:r>
              <w:rPr>
                <w:rFonts w:ascii="Arial" w:cs="Arial" w:eastAsia="Arial" w:hAnsi="Arial"/>
                <w:sz w:val="17"/>
                <w:szCs w:val="17"/>
                <w:color w:val="auto"/>
              </w:rPr>
              <w:t>2018</w:t>
            </w:r>
          </w:p>
        </w:tc>
        <w:tc>
          <w:tcPr>
            <w:tcW w:w="120" w:type="dxa"/>
            <w:vAlign w:val="bottom"/>
            <w:shd w:val="clear" w:color="auto" w:fill="E5FFFF"/>
          </w:tcPr>
          <w:p>
            <w:pPr>
              <w:spacing w:after="0"/>
              <w:rPr>
                <w:sz w:val="18"/>
                <w:szCs w:val="18"/>
                <w:color w:val="auto"/>
              </w:rPr>
            </w:pPr>
          </w:p>
        </w:tc>
        <w:tc>
          <w:tcPr>
            <w:tcW w:w="102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91"/>
              </w:rPr>
              <w:t>174,000</w:t>
            </w:r>
          </w:p>
        </w:tc>
        <w:tc>
          <w:tcPr>
            <w:tcW w:w="120" w:type="dxa"/>
            <w:vAlign w:val="bottom"/>
            <w:shd w:val="clear" w:color="auto" w:fill="E5FFFF"/>
          </w:tcPr>
          <w:p>
            <w:pPr>
              <w:spacing w:after="0"/>
              <w:rPr>
                <w:sz w:val="18"/>
                <w:szCs w:val="18"/>
                <w:color w:val="auto"/>
              </w:rPr>
            </w:pPr>
          </w:p>
        </w:tc>
        <w:tc>
          <w:tcPr>
            <w:tcW w:w="1680" w:type="dxa"/>
            <w:vAlign w:val="bottom"/>
            <w:gridSpan w:val="2"/>
            <w:shd w:val="clear" w:color="auto" w:fill="E5FFFF"/>
          </w:tcPr>
          <w:p>
            <w:pPr>
              <w:jc w:val="center"/>
              <w:ind w:right="120"/>
              <w:spacing w:after="0"/>
              <w:rPr>
                <w:sz w:val="20"/>
                <w:szCs w:val="20"/>
                <w:color w:val="auto"/>
              </w:rPr>
            </w:pPr>
            <w:r>
              <w:rPr>
                <w:rFonts w:ascii="Arial" w:cs="Arial" w:eastAsia="Arial" w:hAnsi="Arial"/>
                <w:sz w:val="17"/>
                <w:szCs w:val="17"/>
                <w:color w:val="auto"/>
                <w:w w:val="95"/>
              </w:rPr>
              <w:t>Shell</w:t>
            </w:r>
          </w:p>
        </w:tc>
        <w:tc>
          <w:tcPr>
            <w:tcW w:w="1240" w:type="dxa"/>
            <w:vAlign w:val="bottom"/>
            <w:gridSpan w:val="2"/>
            <w:shd w:val="clear" w:color="auto" w:fill="E5FFFF"/>
          </w:tcPr>
          <w:p>
            <w:pPr>
              <w:jc w:val="center"/>
              <w:ind w:right="120"/>
              <w:spacing w:after="0"/>
              <w:rPr>
                <w:sz w:val="20"/>
                <w:szCs w:val="20"/>
                <w:color w:val="auto"/>
              </w:rPr>
            </w:pPr>
            <w:r>
              <w:rPr>
                <w:rFonts w:ascii="Arial" w:cs="Arial" w:eastAsia="Arial" w:hAnsi="Arial"/>
                <w:sz w:val="17"/>
                <w:szCs w:val="17"/>
                <w:color w:val="auto"/>
                <w:w w:val="93"/>
              </w:rPr>
              <w:t>LP-2S</w:t>
            </w:r>
          </w:p>
        </w:tc>
        <w:tc>
          <w:tcPr>
            <w:tcW w:w="2740" w:type="dxa"/>
            <w:vAlign w:val="bottom"/>
            <w:gridSpan w:val="2"/>
            <w:shd w:val="clear" w:color="auto" w:fill="E5FFFF"/>
          </w:tcPr>
          <w:p>
            <w:pPr>
              <w:jc w:val="center"/>
              <w:ind w:right="120"/>
              <w:spacing w:after="0"/>
              <w:rPr>
                <w:sz w:val="20"/>
                <w:szCs w:val="20"/>
                <w:color w:val="auto"/>
              </w:rPr>
            </w:pPr>
            <w:r>
              <w:rPr>
                <w:rFonts w:ascii="Arial" w:cs="Arial" w:eastAsia="Arial" w:hAnsi="Arial"/>
                <w:sz w:val="17"/>
                <w:szCs w:val="17"/>
                <w:color w:val="auto"/>
                <w:w w:val="93"/>
              </w:rPr>
              <w:t>May 2028</w:t>
            </w:r>
          </w:p>
        </w:tc>
        <w:tc>
          <w:tcPr>
            <w:tcW w:w="120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90"/>
              </w:rPr>
              <w:t>2031-2034</w:t>
            </w:r>
          </w:p>
        </w:tc>
      </w:tr>
      <w:tr>
        <w:trPr>
          <w:trHeight w:val="214"/>
        </w:trPr>
        <w:tc>
          <w:tcPr>
            <w:tcW w:w="300" w:type="dxa"/>
            <w:vAlign w:val="bottom"/>
          </w:tcPr>
          <w:p>
            <w:pPr>
              <w:spacing w:after="0"/>
              <w:rPr>
                <w:sz w:val="20"/>
                <w:szCs w:val="20"/>
                <w:color w:val="auto"/>
              </w:rPr>
            </w:pPr>
            <w:r>
              <w:rPr>
                <w:rFonts w:ascii="Arial" w:cs="Arial" w:eastAsia="Arial" w:hAnsi="Arial"/>
                <w:sz w:val="17"/>
                <w:szCs w:val="17"/>
                <w:b w:val="1"/>
                <w:bCs w:val="1"/>
                <w:color w:val="auto"/>
              </w:rPr>
              <w:t>10</w:t>
            </w:r>
          </w:p>
        </w:tc>
        <w:tc>
          <w:tcPr>
            <w:tcW w:w="2960" w:type="dxa"/>
            <w:vAlign w:val="bottom"/>
            <w:gridSpan w:val="2"/>
          </w:tcPr>
          <w:p>
            <w:pPr>
              <w:ind w:left="140"/>
              <w:spacing w:after="0"/>
              <w:rPr>
                <w:sz w:val="20"/>
                <w:szCs w:val="20"/>
                <w:color w:val="auto"/>
              </w:rPr>
            </w:pPr>
            <w:r>
              <w:rPr>
                <w:rFonts w:ascii="Arial" w:cs="Arial" w:eastAsia="Arial" w:hAnsi="Arial"/>
                <w:sz w:val="17"/>
                <w:szCs w:val="17"/>
                <w:i w:val="1"/>
                <w:iCs w:val="1"/>
                <w:color w:val="auto"/>
              </w:rPr>
              <w:t>GasLog Hong Kong</w:t>
            </w:r>
          </w:p>
        </w:tc>
        <w:tc>
          <w:tcPr>
            <w:tcW w:w="620" w:type="dxa"/>
            <w:vAlign w:val="bottom"/>
          </w:tcPr>
          <w:p>
            <w:pPr>
              <w:ind w:left="140"/>
              <w:spacing w:after="0"/>
              <w:rPr>
                <w:sz w:val="20"/>
                <w:szCs w:val="20"/>
                <w:color w:val="auto"/>
              </w:rPr>
            </w:pPr>
            <w:r>
              <w:rPr>
                <w:rFonts w:ascii="Arial" w:cs="Arial" w:eastAsia="Arial" w:hAnsi="Arial"/>
                <w:sz w:val="17"/>
                <w:szCs w:val="17"/>
                <w:color w:val="auto"/>
              </w:rPr>
              <w:t>2018</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w w:val="91"/>
              </w:rPr>
              <w:t>174,000</w:t>
            </w:r>
          </w:p>
        </w:tc>
        <w:tc>
          <w:tcPr>
            <w:tcW w:w="120" w:type="dxa"/>
            <w:vAlign w:val="bottom"/>
          </w:tcPr>
          <w:p>
            <w:pPr>
              <w:spacing w:after="0"/>
              <w:rPr>
                <w:sz w:val="18"/>
                <w:szCs w:val="18"/>
                <w:color w:val="auto"/>
              </w:rPr>
            </w:pPr>
          </w:p>
        </w:tc>
        <w:tc>
          <w:tcPr>
            <w:tcW w:w="1680" w:type="dxa"/>
            <w:vAlign w:val="bottom"/>
            <w:gridSpan w:val="2"/>
          </w:tcPr>
          <w:p>
            <w:pPr>
              <w:jc w:val="center"/>
              <w:ind w:right="120"/>
              <w:spacing w:after="0" w:line="213" w:lineRule="exact"/>
              <w:rPr>
                <w:sz w:val="20"/>
                <w:szCs w:val="20"/>
                <w:color w:val="auto"/>
              </w:rPr>
            </w:pPr>
            <w:r>
              <w:rPr>
                <w:rFonts w:ascii="Arial" w:cs="Arial" w:eastAsia="Arial" w:hAnsi="Arial"/>
                <w:sz w:val="17"/>
                <w:szCs w:val="17"/>
                <w:color w:val="auto"/>
                <w:w w:val="85"/>
              </w:rPr>
              <w:t xml:space="preserve">Total </w:t>
            </w:r>
            <w:r>
              <w:rPr>
                <w:rFonts w:ascii="Arial" w:cs="Arial" w:eastAsia="Arial" w:hAnsi="Arial"/>
                <w:sz w:val="22"/>
                <w:szCs w:val="22"/>
                <w:color w:val="auto"/>
                <w:w w:val="85"/>
                <w:vertAlign w:val="superscript"/>
              </w:rPr>
              <w:t>(5)</w:t>
            </w:r>
          </w:p>
        </w:tc>
        <w:tc>
          <w:tcPr>
            <w:tcW w:w="1240" w:type="dxa"/>
            <w:vAlign w:val="bottom"/>
            <w:gridSpan w:val="2"/>
          </w:tcPr>
          <w:p>
            <w:pPr>
              <w:jc w:val="center"/>
              <w:ind w:right="120"/>
              <w:spacing w:after="0"/>
              <w:rPr>
                <w:sz w:val="20"/>
                <w:szCs w:val="20"/>
                <w:color w:val="auto"/>
              </w:rPr>
            </w:pPr>
            <w:r>
              <w:rPr>
                <w:rFonts w:ascii="Arial" w:cs="Arial" w:eastAsia="Arial" w:hAnsi="Arial"/>
                <w:sz w:val="17"/>
                <w:szCs w:val="17"/>
                <w:color w:val="auto"/>
                <w:w w:val="93"/>
              </w:rPr>
              <w:t>LP-2S</w:t>
            </w:r>
          </w:p>
        </w:tc>
        <w:tc>
          <w:tcPr>
            <w:tcW w:w="2740" w:type="dxa"/>
            <w:vAlign w:val="bottom"/>
            <w:gridSpan w:val="2"/>
          </w:tcPr>
          <w:p>
            <w:pPr>
              <w:jc w:val="center"/>
              <w:ind w:right="120"/>
              <w:spacing w:after="0"/>
              <w:rPr>
                <w:sz w:val="20"/>
                <w:szCs w:val="20"/>
                <w:color w:val="auto"/>
              </w:rPr>
            </w:pPr>
            <w:r>
              <w:rPr>
                <w:rFonts w:ascii="Arial" w:cs="Arial" w:eastAsia="Arial" w:hAnsi="Arial"/>
                <w:sz w:val="17"/>
                <w:szCs w:val="17"/>
                <w:color w:val="auto"/>
                <w:w w:val="90"/>
              </w:rPr>
              <w:t>December 2025</w:t>
            </w:r>
          </w:p>
        </w:tc>
        <w:tc>
          <w:tcPr>
            <w:tcW w:w="1200" w:type="dxa"/>
            <w:vAlign w:val="bottom"/>
          </w:tcPr>
          <w:p>
            <w:pPr>
              <w:jc w:val="center"/>
              <w:spacing w:after="0"/>
              <w:rPr>
                <w:sz w:val="20"/>
                <w:szCs w:val="20"/>
                <w:color w:val="auto"/>
              </w:rPr>
            </w:pPr>
            <w:r>
              <w:rPr>
                <w:rFonts w:ascii="Arial" w:cs="Arial" w:eastAsia="Arial" w:hAnsi="Arial"/>
                <w:sz w:val="17"/>
                <w:szCs w:val="17"/>
                <w:color w:val="auto"/>
                <w:w w:val="89"/>
              </w:rPr>
              <w:t>2028</w:t>
            </w:r>
          </w:p>
        </w:tc>
      </w:tr>
      <w:tr>
        <w:trPr>
          <w:trHeight w:val="214"/>
        </w:trPr>
        <w:tc>
          <w:tcPr>
            <w:tcW w:w="300" w:type="dxa"/>
            <w:vAlign w:val="bottom"/>
            <w:shd w:val="clear" w:color="auto" w:fill="E5FFFF"/>
          </w:tcPr>
          <w:p>
            <w:pPr>
              <w:spacing w:after="0"/>
              <w:rPr>
                <w:sz w:val="20"/>
                <w:szCs w:val="20"/>
                <w:color w:val="auto"/>
              </w:rPr>
            </w:pPr>
            <w:r>
              <w:rPr>
                <w:rFonts w:ascii="Arial" w:cs="Arial" w:eastAsia="Arial" w:hAnsi="Arial"/>
                <w:sz w:val="17"/>
                <w:szCs w:val="17"/>
                <w:b w:val="1"/>
                <w:bCs w:val="1"/>
                <w:color w:val="auto"/>
              </w:rPr>
              <w:t>11</w:t>
            </w:r>
          </w:p>
        </w:tc>
        <w:tc>
          <w:tcPr>
            <w:tcW w:w="2960" w:type="dxa"/>
            <w:vAlign w:val="bottom"/>
            <w:gridSpan w:val="2"/>
            <w:shd w:val="clear" w:color="auto" w:fill="E5FFFF"/>
          </w:tcPr>
          <w:p>
            <w:pPr>
              <w:ind w:left="140"/>
              <w:spacing w:after="0"/>
              <w:rPr>
                <w:sz w:val="20"/>
                <w:szCs w:val="20"/>
                <w:color w:val="auto"/>
              </w:rPr>
            </w:pPr>
            <w:r>
              <w:rPr>
                <w:rFonts w:ascii="Arial" w:cs="Arial" w:eastAsia="Arial" w:hAnsi="Arial"/>
                <w:sz w:val="17"/>
                <w:szCs w:val="17"/>
                <w:i w:val="1"/>
                <w:iCs w:val="1"/>
                <w:color w:val="auto"/>
              </w:rPr>
              <w:t>GasLog Genoa</w:t>
            </w:r>
          </w:p>
        </w:tc>
        <w:tc>
          <w:tcPr>
            <w:tcW w:w="620" w:type="dxa"/>
            <w:vAlign w:val="bottom"/>
            <w:shd w:val="clear" w:color="auto" w:fill="E5FFFF"/>
          </w:tcPr>
          <w:p>
            <w:pPr>
              <w:ind w:left="140"/>
              <w:spacing w:after="0"/>
              <w:rPr>
                <w:sz w:val="20"/>
                <w:szCs w:val="20"/>
                <w:color w:val="auto"/>
              </w:rPr>
            </w:pPr>
            <w:r>
              <w:rPr>
                <w:rFonts w:ascii="Arial" w:cs="Arial" w:eastAsia="Arial" w:hAnsi="Arial"/>
                <w:sz w:val="17"/>
                <w:szCs w:val="17"/>
                <w:color w:val="auto"/>
              </w:rPr>
              <w:t>2018</w:t>
            </w:r>
          </w:p>
        </w:tc>
        <w:tc>
          <w:tcPr>
            <w:tcW w:w="120" w:type="dxa"/>
            <w:vAlign w:val="bottom"/>
            <w:shd w:val="clear" w:color="auto" w:fill="E5FFFF"/>
          </w:tcPr>
          <w:p>
            <w:pPr>
              <w:spacing w:after="0"/>
              <w:rPr>
                <w:sz w:val="18"/>
                <w:szCs w:val="18"/>
                <w:color w:val="auto"/>
              </w:rPr>
            </w:pPr>
          </w:p>
        </w:tc>
        <w:tc>
          <w:tcPr>
            <w:tcW w:w="102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91"/>
              </w:rPr>
              <w:t>174,000</w:t>
            </w:r>
          </w:p>
        </w:tc>
        <w:tc>
          <w:tcPr>
            <w:tcW w:w="120" w:type="dxa"/>
            <w:vAlign w:val="bottom"/>
            <w:shd w:val="clear" w:color="auto" w:fill="E5FFFF"/>
          </w:tcPr>
          <w:p>
            <w:pPr>
              <w:spacing w:after="0"/>
              <w:rPr>
                <w:sz w:val="18"/>
                <w:szCs w:val="18"/>
                <w:color w:val="auto"/>
              </w:rPr>
            </w:pPr>
          </w:p>
        </w:tc>
        <w:tc>
          <w:tcPr>
            <w:tcW w:w="1680" w:type="dxa"/>
            <w:vAlign w:val="bottom"/>
            <w:gridSpan w:val="2"/>
            <w:shd w:val="clear" w:color="auto" w:fill="E5FFFF"/>
          </w:tcPr>
          <w:p>
            <w:pPr>
              <w:jc w:val="center"/>
              <w:ind w:right="120"/>
              <w:spacing w:after="0"/>
              <w:rPr>
                <w:sz w:val="20"/>
                <w:szCs w:val="20"/>
                <w:color w:val="auto"/>
              </w:rPr>
            </w:pPr>
            <w:r>
              <w:rPr>
                <w:rFonts w:ascii="Arial" w:cs="Arial" w:eastAsia="Arial" w:hAnsi="Arial"/>
                <w:sz w:val="17"/>
                <w:szCs w:val="17"/>
                <w:color w:val="auto"/>
                <w:w w:val="95"/>
              </w:rPr>
              <w:t>Shell</w:t>
            </w:r>
          </w:p>
        </w:tc>
        <w:tc>
          <w:tcPr>
            <w:tcW w:w="1240" w:type="dxa"/>
            <w:vAlign w:val="bottom"/>
            <w:gridSpan w:val="2"/>
            <w:shd w:val="clear" w:color="auto" w:fill="E5FFFF"/>
          </w:tcPr>
          <w:p>
            <w:pPr>
              <w:jc w:val="center"/>
              <w:ind w:right="120"/>
              <w:spacing w:after="0"/>
              <w:rPr>
                <w:sz w:val="20"/>
                <w:szCs w:val="20"/>
                <w:color w:val="auto"/>
              </w:rPr>
            </w:pPr>
            <w:r>
              <w:rPr>
                <w:rFonts w:ascii="Arial" w:cs="Arial" w:eastAsia="Arial" w:hAnsi="Arial"/>
                <w:sz w:val="17"/>
                <w:szCs w:val="17"/>
                <w:color w:val="auto"/>
                <w:w w:val="93"/>
              </w:rPr>
              <w:t>LP-2S</w:t>
            </w:r>
          </w:p>
        </w:tc>
        <w:tc>
          <w:tcPr>
            <w:tcW w:w="2740" w:type="dxa"/>
            <w:vAlign w:val="bottom"/>
            <w:gridSpan w:val="2"/>
            <w:shd w:val="clear" w:color="auto" w:fill="E5FFFF"/>
          </w:tcPr>
          <w:p>
            <w:pPr>
              <w:jc w:val="center"/>
              <w:ind w:right="120"/>
              <w:spacing w:after="0"/>
              <w:rPr>
                <w:sz w:val="20"/>
                <w:szCs w:val="20"/>
                <w:color w:val="auto"/>
              </w:rPr>
            </w:pPr>
            <w:r>
              <w:rPr>
                <w:rFonts w:ascii="Arial" w:cs="Arial" w:eastAsia="Arial" w:hAnsi="Arial"/>
                <w:sz w:val="17"/>
                <w:szCs w:val="17"/>
                <w:color w:val="auto"/>
                <w:w w:val="96"/>
              </w:rPr>
              <w:t>April 2027</w:t>
            </w:r>
          </w:p>
        </w:tc>
        <w:tc>
          <w:tcPr>
            <w:tcW w:w="120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90"/>
              </w:rPr>
              <w:t>2030-2033</w:t>
            </w:r>
          </w:p>
        </w:tc>
      </w:tr>
    </w:tbl>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information about GasLog Partners’ fleet and their associated time charters as of February 14, 2019:</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3"/>
              </w:rPr>
              <w:t>Cargo</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140"/>
              <w:spacing w:after="0"/>
              <w:rPr>
                <w:sz w:val="20"/>
                <w:szCs w:val="20"/>
                <w:color w:val="auto"/>
              </w:rPr>
            </w:pPr>
            <w:r>
              <w:rPr>
                <w:rFonts w:ascii="Arial" w:cs="Arial" w:eastAsia="Arial" w:hAnsi="Arial"/>
                <w:sz w:val="17"/>
                <w:szCs w:val="17"/>
                <w:b w:val="1"/>
                <w:bCs w:val="1"/>
                <w:color w:val="auto"/>
              </w:rPr>
              <w:t>Year</w:t>
            </w:r>
          </w:p>
        </w:tc>
        <w:tc>
          <w:tcPr>
            <w:tcW w:w="114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3"/>
              </w:rPr>
              <w:t>Capacity</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5"/>
              </w:rPr>
              <w:t>Charter</w:t>
            </w:r>
          </w:p>
        </w:tc>
        <w:tc>
          <w:tcPr>
            <w:tcW w:w="1200" w:type="dxa"/>
            <w:vAlign w:val="bottom"/>
          </w:tcPr>
          <w:p>
            <w:pPr>
              <w:ind w:left="280"/>
              <w:spacing w:after="0"/>
              <w:rPr>
                <w:sz w:val="20"/>
                <w:szCs w:val="20"/>
                <w:color w:val="auto"/>
              </w:rPr>
            </w:pPr>
            <w:r>
              <w:rPr>
                <w:rFonts w:ascii="Arial" w:cs="Arial" w:eastAsia="Arial" w:hAnsi="Arial"/>
                <w:sz w:val="17"/>
                <w:szCs w:val="17"/>
                <w:b w:val="1"/>
                <w:bCs w:val="1"/>
                <w:color w:val="auto"/>
              </w:rPr>
              <w:t>Optional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60" w:type="dxa"/>
            <w:vAlign w:val="bottom"/>
            <w:gridSpan w:val="2"/>
          </w:tcPr>
          <w:p>
            <w:pPr>
              <w:ind w:left="800"/>
              <w:spacing w:after="0"/>
              <w:rPr>
                <w:sz w:val="20"/>
                <w:szCs w:val="20"/>
                <w:color w:val="auto"/>
              </w:rPr>
            </w:pPr>
            <w:r>
              <w:rPr>
                <w:rFonts w:ascii="Arial" w:cs="Arial" w:eastAsia="Arial" w:hAnsi="Arial"/>
                <w:sz w:val="17"/>
                <w:szCs w:val="17"/>
                <w:b w:val="1"/>
                <w:bCs w:val="1"/>
                <w:color w:val="auto"/>
              </w:rPr>
              <w:t>Vessel Name</w:t>
            </w:r>
          </w:p>
        </w:tc>
        <w:tc>
          <w:tcPr>
            <w:tcW w:w="740" w:type="dxa"/>
            <w:vAlign w:val="bottom"/>
            <w:gridSpan w:val="2"/>
          </w:tcPr>
          <w:p>
            <w:pPr>
              <w:ind w:left="120"/>
              <w:spacing w:after="0"/>
              <w:rPr>
                <w:sz w:val="20"/>
                <w:szCs w:val="20"/>
                <w:color w:val="auto"/>
              </w:rPr>
            </w:pPr>
            <w:r>
              <w:rPr>
                <w:rFonts w:ascii="Arial" w:cs="Arial" w:eastAsia="Arial" w:hAnsi="Arial"/>
                <w:sz w:val="17"/>
                <w:szCs w:val="17"/>
                <w:b w:val="1"/>
                <w:bCs w:val="1"/>
                <w:color w:val="auto"/>
              </w:rPr>
              <w:t>Built</w:t>
            </w:r>
          </w:p>
        </w:tc>
        <w:tc>
          <w:tcPr>
            <w:tcW w:w="114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0"/>
              </w:rPr>
              <w:t>(cbm)</w:t>
            </w:r>
          </w:p>
        </w:tc>
        <w:tc>
          <w:tcPr>
            <w:tcW w:w="168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4"/>
              </w:rPr>
              <w:t>Charterer</w:t>
            </w:r>
          </w:p>
        </w:tc>
        <w:tc>
          <w:tcPr>
            <w:tcW w:w="124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0"/>
              </w:rPr>
              <w:t>Propulsion</w:t>
            </w:r>
          </w:p>
        </w:tc>
        <w:tc>
          <w:tcPr>
            <w:tcW w:w="2740" w:type="dxa"/>
            <w:vAlign w:val="bottom"/>
            <w:gridSpan w:val="2"/>
          </w:tcPr>
          <w:p>
            <w:pPr>
              <w:jc w:val="center"/>
              <w:ind w:right="120"/>
              <w:spacing w:after="0" w:line="229" w:lineRule="exact"/>
              <w:rPr>
                <w:sz w:val="20"/>
                <w:szCs w:val="20"/>
                <w:color w:val="auto"/>
              </w:rPr>
            </w:pPr>
            <w:r>
              <w:rPr>
                <w:rFonts w:ascii="Arial" w:cs="Arial" w:eastAsia="Arial" w:hAnsi="Arial"/>
                <w:sz w:val="17"/>
                <w:szCs w:val="17"/>
                <w:b w:val="1"/>
                <w:bCs w:val="1"/>
                <w:color w:val="auto"/>
                <w:w w:val="92"/>
              </w:rPr>
              <w:t>Expiration</w:t>
            </w:r>
            <w:r>
              <w:rPr>
                <w:rFonts w:ascii="Arial" w:cs="Arial" w:eastAsia="Arial" w:hAnsi="Arial"/>
                <w:sz w:val="22"/>
                <w:szCs w:val="22"/>
                <w:b w:val="1"/>
                <w:bCs w:val="1"/>
                <w:color w:val="auto"/>
                <w:w w:val="92"/>
                <w:vertAlign w:val="superscript"/>
              </w:rPr>
              <w:t>(1)</w:t>
            </w:r>
          </w:p>
        </w:tc>
        <w:tc>
          <w:tcPr>
            <w:tcW w:w="1200" w:type="dxa"/>
            <w:vAlign w:val="bottom"/>
          </w:tcPr>
          <w:p>
            <w:pPr>
              <w:ind w:left="300"/>
              <w:spacing w:after="0" w:line="229" w:lineRule="exact"/>
              <w:rPr>
                <w:sz w:val="20"/>
                <w:szCs w:val="20"/>
                <w:color w:val="auto"/>
              </w:rPr>
            </w:pPr>
            <w:r>
              <w:rPr>
                <w:rFonts w:ascii="Arial" w:cs="Arial" w:eastAsia="Arial" w:hAnsi="Arial"/>
                <w:sz w:val="17"/>
                <w:szCs w:val="17"/>
                <w:b w:val="1"/>
                <w:bCs w:val="1"/>
                <w:color w:val="auto"/>
              </w:rPr>
              <w:t>Period</w:t>
            </w:r>
            <w:r>
              <w:rPr>
                <w:rFonts w:ascii="Arial" w:cs="Arial" w:eastAsia="Arial" w:hAnsi="Arial"/>
                <w:sz w:val="22"/>
                <w:szCs w:val="22"/>
                <w:b w:val="1"/>
                <w:bCs w:val="1"/>
                <w:color w:val="auto"/>
                <w:vertAlign w:val="superscript"/>
              </w:rPr>
              <w:t>(2)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1</w:t>
            </w:r>
          </w:p>
        </w:tc>
        <w:tc>
          <w:tcPr>
            <w:tcW w:w="2840" w:type="dxa"/>
            <w:vAlign w:val="bottom"/>
            <w:tcBorders>
              <w:top w:val="single" w:sz="8" w:color="auto"/>
            </w:tcBorders>
          </w:tcPr>
          <w:p>
            <w:pPr>
              <w:ind w:left="140"/>
              <w:spacing w:after="0"/>
              <w:rPr>
                <w:sz w:val="20"/>
                <w:szCs w:val="20"/>
                <w:color w:val="auto"/>
              </w:rPr>
            </w:pPr>
            <w:r>
              <w:rPr>
                <w:rFonts w:ascii="Arial" w:cs="Arial" w:eastAsia="Arial" w:hAnsi="Arial"/>
                <w:sz w:val="17"/>
                <w:szCs w:val="17"/>
                <w:i w:val="1"/>
                <w:iCs w:val="1"/>
                <w:color w:val="auto"/>
              </w:rPr>
              <w:t>Methane Rita Andrea</w:t>
            </w:r>
          </w:p>
        </w:tc>
        <w:tc>
          <w:tcPr>
            <w:tcW w:w="120" w:type="dxa"/>
            <w:vAlign w:val="bottom"/>
          </w:tcPr>
          <w:p>
            <w:pPr>
              <w:spacing w:after="0"/>
              <w:rPr>
                <w:sz w:val="18"/>
                <w:szCs w:val="18"/>
                <w:color w:val="auto"/>
              </w:rPr>
            </w:pPr>
          </w:p>
        </w:tc>
        <w:tc>
          <w:tcPr>
            <w:tcW w:w="6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9"/>
              </w:rPr>
              <w:t>2006</w:t>
            </w:r>
          </w:p>
        </w:tc>
        <w:tc>
          <w:tcPr>
            <w:tcW w:w="120" w:type="dxa"/>
            <w:vAlign w:val="bottom"/>
          </w:tcPr>
          <w:p>
            <w:pPr>
              <w:spacing w:after="0"/>
              <w:rPr>
                <w:sz w:val="18"/>
                <w:szCs w:val="18"/>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1"/>
              </w:rPr>
              <w:t>145,000</w:t>
            </w:r>
          </w:p>
        </w:tc>
        <w:tc>
          <w:tcPr>
            <w:tcW w:w="120" w:type="dxa"/>
            <w:vAlign w:val="bottom"/>
          </w:tcPr>
          <w:p>
            <w:pPr>
              <w:spacing w:after="0"/>
              <w:rPr>
                <w:sz w:val="18"/>
                <w:szCs w:val="18"/>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5"/>
              </w:rPr>
              <w:t>Shell</w:t>
            </w:r>
          </w:p>
        </w:tc>
        <w:tc>
          <w:tcPr>
            <w:tcW w:w="12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5"/>
              </w:rPr>
              <w:t>Steam</w:t>
            </w:r>
          </w:p>
        </w:tc>
        <w:tc>
          <w:tcPr>
            <w:tcW w:w="120" w:type="dxa"/>
            <w:vAlign w:val="bottom"/>
          </w:tcPr>
          <w:p>
            <w:pPr>
              <w:spacing w:after="0"/>
              <w:rPr>
                <w:sz w:val="18"/>
                <w:szCs w:val="18"/>
                <w:color w:val="auto"/>
              </w:rPr>
            </w:pPr>
          </w:p>
        </w:tc>
        <w:tc>
          <w:tcPr>
            <w:tcW w:w="26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6"/>
              </w:rPr>
              <w:t>April 2020</w:t>
            </w:r>
          </w:p>
        </w:tc>
        <w:tc>
          <w:tcPr>
            <w:tcW w:w="120" w:type="dxa"/>
            <w:vAlign w:val="bottom"/>
          </w:tcPr>
          <w:p>
            <w:pPr>
              <w:spacing w:after="0"/>
              <w:rPr>
                <w:sz w:val="18"/>
                <w:szCs w:val="18"/>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3"/>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0" w:type="dxa"/>
            <w:vAlign w:val="bottom"/>
            <w:shd w:val="clear" w:color="auto" w:fill="E5FFFF"/>
          </w:tcPr>
          <w:p>
            <w:pPr>
              <w:spacing w:after="0"/>
              <w:rPr>
                <w:sz w:val="20"/>
                <w:szCs w:val="20"/>
                <w:color w:val="auto"/>
              </w:rPr>
            </w:pPr>
            <w:r>
              <w:rPr>
                <w:rFonts w:ascii="Arial" w:cs="Arial" w:eastAsia="Arial" w:hAnsi="Arial"/>
                <w:sz w:val="17"/>
                <w:szCs w:val="17"/>
                <w:b w:val="1"/>
                <w:bCs w:val="1"/>
                <w:color w:val="auto"/>
              </w:rPr>
              <w:t>2</w:t>
            </w:r>
          </w:p>
        </w:tc>
        <w:tc>
          <w:tcPr>
            <w:tcW w:w="2960" w:type="dxa"/>
            <w:vAlign w:val="bottom"/>
            <w:gridSpan w:val="2"/>
            <w:shd w:val="clear" w:color="auto" w:fill="E5FFFF"/>
          </w:tcPr>
          <w:p>
            <w:pPr>
              <w:ind w:left="140"/>
              <w:spacing w:after="0"/>
              <w:rPr>
                <w:sz w:val="20"/>
                <w:szCs w:val="20"/>
                <w:color w:val="auto"/>
              </w:rPr>
            </w:pPr>
            <w:r>
              <w:rPr>
                <w:rFonts w:ascii="Arial" w:cs="Arial" w:eastAsia="Arial" w:hAnsi="Arial"/>
                <w:sz w:val="17"/>
                <w:szCs w:val="17"/>
                <w:i w:val="1"/>
                <w:iCs w:val="1"/>
                <w:color w:val="auto"/>
              </w:rPr>
              <w:t>Methane Jane Elizabeth</w:t>
            </w:r>
          </w:p>
        </w:tc>
        <w:tc>
          <w:tcPr>
            <w:tcW w:w="62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89"/>
              </w:rPr>
              <w:t>2006</w:t>
            </w:r>
          </w:p>
        </w:tc>
        <w:tc>
          <w:tcPr>
            <w:tcW w:w="120" w:type="dxa"/>
            <w:vAlign w:val="bottom"/>
            <w:shd w:val="clear" w:color="auto" w:fill="E5FFFF"/>
          </w:tcPr>
          <w:p>
            <w:pPr>
              <w:spacing w:after="0"/>
              <w:rPr>
                <w:sz w:val="18"/>
                <w:szCs w:val="18"/>
                <w:color w:val="auto"/>
              </w:rPr>
            </w:pPr>
          </w:p>
        </w:tc>
        <w:tc>
          <w:tcPr>
            <w:tcW w:w="102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91"/>
              </w:rPr>
              <w:t>145,000</w:t>
            </w:r>
          </w:p>
        </w:tc>
        <w:tc>
          <w:tcPr>
            <w:tcW w:w="120" w:type="dxa"/>
            <w:vAlign w:val="bottom"/>
            <w:shd w:val="clear" w:color="auto" w:fill="E5FFFF"/>
          </w:tcPr>
          <w:p>
            <w:pPr>
              <w:spacing w:after="0"/>
              <w:rPr>
                <w:sz w:val="18"/>
                <w:szCs w:val="18"/>
                <w:color w:val="auto"/>
              </w:rPr>
            </w:pPr>
          </w:p>
        </w:tc>
        <w:tc>
          <w:tcPr>
            <w:tcW w:w="1680" w:type="dxa"/>
            <w:vAlign w:val="bottom"/>
            <w:gridSpan w:val="2"/>
            <w:shd w:val="clear" w:color="auto" w:fill="E5FFFF"/>
          </w:tcPr>
          <w:p>
            <w:pPr>
              <w:jc w:val="center"/>
              <w:ind w:right="120"/>
              <w:spacing w:after="0"/>
              <w:rPr>
                <w:sz w:val="20"/>
                <w:szCs w:val="20"/>
                <w:color w:val="auto"/>
              </w:rPr>
            </w:pPr>
            <w:r>
              <w:rPr>
                <w:rFonts w:ascii="Arial" w:cs="Arial" w:eastAsia="Arial" w:hAnsi="Arial"/>
                <w:sz w:val="17"/>
                <w:szCs w:val="17"/>
                <w:color w:val="auto"/>
                <w:w w:val="95"/>
              </w:rPr>
              <w:t>Shell</w:t>
            </w:r>
          </w:p>
        </w:tc>
        <w:tc>
          <w:tcPr>
            <w:tcW w:w="1240" w:type="dxa"/>
            <w:vAlign w:val="bottom"/>
            <w:gridSpan w:val="2"/>
            <w:shd w:val="clear" w:color="auto" w:fill="E5FFFF"/>
          </w:tcPr>
          <w:p>
            <w:pPr>
              <w:jc w:val="center"/>
              <w:ind w:right="140"/>
              <w:spacing w:after="0"/>
              <w:rPr>
                <w:sz w:val="20"/>
                <w:szCs w:val="20"/>
                <w:color w:val="auto"/>
              </w:rPr>
            </w:pPr>
            <w:r>
              <w:rPr>
                <w:rFonts w:ascii="Arial" w:cs="Arial" w:eastAsia="Arial" w:hAnsi="Arial"/>
                <w:sz w:val="17"/>
                <w:szCs w:val="17"/>
                <w:color w:val="auto"/>
                <w:w w:val="85"/>
              </w:rPr>
              <w:t>Steam</w:t>
            </w:r>
          </w:p>
        </w:tc>
        <w:tc>
          <w:tcPr>
            <w:tcW w:w="2740" w:type="dxa"/>
            <w:vAlign w:val="bottom"/>
            <w:gridSpan w:val="2"/>
            <w:shd w:val="clear" w:color="auto" w:fill="E5FFFF"/>
          </w:tcPr>
          <w:p>
            <w:pPr>
              <w:jc w:val="center"/>
              <w:ind w:right="120"/>
              <w:spacing w:after="0"/>
              <w:rPr>
                <w:sz w:val="20"/>
                <w:szCs w:val="20"/>
                <w:color w:val="auto"/>
              </w:rPr>
            </w:pPr>
            <w:r>
              <w:rPr>
                <w:rFonts w:ascii="Arial" w:cs="Arial" w:eastAsia="Arial" w:hAnsi="Arial"/>
                <w:sz w:val="17"/>
                <w:szCs w:val="17"/>
                <w:color w:val="auto"/>
                <w:w w:val="91"/>
              </w:rPr>
              <w:t>October 2019</w:t>
            </w:r>
          </w:p>
        </w:tc>
        <w:tc>
          <w:tcPr>
            <w:tcW w:w="120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93"/>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3</w:t>
            </w:r>
          </w:p>
        </w:tc>
        <w:tc>
          <w:tcPr>
            <w:tcW w:w="2960" w:type="dxa"/>
            <w:vAlign w:val="bottom"/>
            <w:gridSpan w:val="2"/>
          </w:tcPr>
          <w:p>
            <w:pPr>
              <w:ind w:left="140"/>
              <w:spacing w:after="0"/>
              <w:rPr>
                <w:sz w:val="20"/>
                <w:szCs w:val="20"/>
                <w:color w:val="auto"/>
              </w:rPr>
            </w:pPr>
            <w:r>
              <w:rPr>
                <w:rFonts w:ascii="Arial" w:cs="Arial" w:eastAsia="Arial" w:hAnsi="Arial"/>
                <w:sz w:val="17"/>
                <w:szCs w:val="17"/>
                <w:i w:val="1"/>
                <w:iCs w:val="1"/>
                <w:color w:val="auto"/>
              </w:rPr>
              <w:t>Methane Jane Elizabeth/</w:t>
            </w:r>
          </w:p>
        </w:tc>
        <w:tc>
          <w:tcPr>
            <w:tcW w:w="620" w:type="dxa"/>
            <w:vAlign w:val="bottom"/>
          </w:tcPr>
          <w:p>
            <w:pPr>
              <w:jc w:val="center"/>
              <w:spacing w:after="0"/>
              <w:rPr>
                <w:sz w:val="20"/>
                <w:szCs w:val="20"/>
                <w:color w:val="auto"/>
              </w:rPr>
            </w:pPr>
            <w:r>
              <w:rPr>
                <w:rFonts w:ascii="Arial" w:cs="Arial" w:eastAsia="Arial" w:hAnsi="Arial"/>
                <w:sz w:val="17"/>
                <w:szCs w:val="17"/>
                <w:color w:val="auto"/>
                <w:w w:val="89"/>
              </w:rPr>
              <w:t>2006/</w:t>
            </w:r>
          </w:p>
        </w:tc>
        <w:tc>
          <w:tcPr>
            <w:tcW w:w="120" w:type="dxa"/>
            <w:vAlign w:val="bottom"/>
          </w:tcPr>
          <w:p>
            <w:pPr>
              <w:spacing w:after="0"/>
              <w:rPr>
                <w:sz w:val="17"/>
                <w:szCs w:val="17"/>
                <w:color w:val="auto"/>
              </w:rPr>
            </w:pPr>
          </w:p>
        </w:tc>
        <w:tc>
          <w:tcPr>
            <w:tcW w:w="1020" w:type="dxa"/>
            <w:vAlign w:val="bottom"/>
            <w:vMerge w:val="restart"/>
          </w:tcPr>
          <w:p>
            <w:pPr>
              <w:jc w:val="center"/>
              <w:spacing w:after="0"/>
              <w:rPr>
                <w:sz w:val="20"/>
                <w:szCs w:val="20"/>
                <w:color w:val="auto"/>
              </w:rPr>
            </w:pPr>
            <w:r>
              <w:rPr>
                <w:rFonts w:ascii="Arial" w:cs="Arial" w:eastAsia="Arial" w:hAnsi="Arial"/>
                <w:sz w:val="17"/>
                <w:szCs w:val="17"/>
                <w:color w:val="auto"/>
                <w:w w:val="91"/>
              </w:rPr>
              <w:t>145,000</w:t>
            </w:r>
          </w:p>
        </w:tc>
        <w:tc>
          <w:tcPr>
            <w:tcW w:w="120" w:type="dxa"/>
            <w:vAlign w:val="bottom"/>
          </w:tcPr>
          <w:p>
            <w:pPr>
              <w:spacing w:after="0"/>
              <w:rPr>
                <w:sz w:val="17"/>
                <w:szCs w:val="17"/>
                <w:color w:val="auto"/>
              </w:rPr>
            </w:pPr>
          </w:p>
        </w:tc>
        <w:tc>
          <w:tcPr>
            <w:tcW w:w="1680" w:type="dxa"/>
            <w:vAlign w:val="bottom"/>
            <w:gridSpan w:val="2"/>
            <w:vMerge w:val="restart"/>
          </w:tcPr>
          <w:p>
            <w:pPr>
              <w:jc w:val="center"/>
              <w:ind w:right="120"/>
              <w:spacing w:after="0"/>
              <w:rPr>
                <w:sz w:val="20"/>
                <w:szCs w:val="20"/>
                <w:color w:val="auto"/>
              </w:rPr>
            </w:pPr>
            <w:r>
              <w:rPr>
                <w:rFonts w:ascii="Arial" w:cs="Arial" w:eastAsia="Arial" w:hAnsi="Arial"/>
                <w:sz w:val="17"/>
                <w:szCs w:val="17"/>
                <w:color w:val="auto"/>
                <w:w w:val="92"/>
              </w:rPr>
              <w:t>New Customer</w:t>
            </w:r>
          </w:p>
        </w:tc>
        <w:tc>
          <w:tcPr>
            <w:tcW w:w="1240" w:type="dxa"/>
            <w:vAlign w:val="bottom"/>
            <w:gridSpan w:val="2"/>
            <w:vMerge w:val="restart"/>
          </w:tcPr>
          <w:p>
            <w:pPr>
              <w:jc w:val="center"/>
              <w:ind w:right="140"/>
              <w:spacing w:after="0"/>
              <w:rPr>
                <w:sz w:val="20"/>
                <w:szCs w:val="20"/>
                <w:color w:val="auto"/>
              </w:rPr>
            </w:pPr>
            <w:r>
              <w:rPr>
                <w:rFonts w:ascii="Arial" w:cs="Arial" w:eastAsia="Arial" w:hAnsi="Arial"/>
                <w:sz w:val="17"/>
                <w:szCs w:val="17"/>
                <w:color w:val="auto"/>
                <w:w w:val="85"/>
              </w:rPr>
              <w:t>Steam</w:t>
            </w:r>
          </w:p>
        </w:tc>
        <w:tc>
          <w:tcPr>
            <w:tcW w:w="2740" w:type="dxa"/>
            <w:vAlign w:val="bottom"/>
            <w:gridSpan w:val="2"/>
            <w:vMerge w:val="restart"/>
          </w:tcPr>
          <w:p>
            <w:pPr>
              <w:jc w:val="center"/>
              <w:ind w:right="120"/>
              <w:spacing w:after="0"/>
              <w:rPr>
                <w:sz w:val="20"/>
                <w:szCs w:val="20"/>
                <w:color w:val="auto"/>
              </w:rPr>
            </w:pPr>
            <w:r>
              <w:rPr>
                <w:rFonts w:ascii="Arial" w:cs="Arial" w:eastAsia="Arial" w:hAnsi="Arial"/>
                <w:sz w:val="17"/>
                <w:szCs w:val="17"/>
                <w:color w:val="auto"/>
                <w:w w:val="89"/>
              </w:rPr>
              <w:t>November/December 2020</w:t>
            </w:r>
            <w:r>
              <w:rPr>
                <w:rFonts w:ascii="Arial" w:cs="Arial" w:eastAsia="Arial" w:hAnsi="Arial"/>
                <w:sz w:val="22"/>
                <w:szCs w:val="22"/>
                <w:color w:val="auto"/>
                <w:w w:val="89"/>
                <w:vertAlign w:val="superscript"/>
              </w:rPr>
              <w:t>(6)</w:t>
            </w:r>
          </w:p>
        </w:tc>
        <w:tc>
          <w:tcPr>
            <w:tcW w:w="1200" w:type="dxa"/>
            <w:vAlign w:val="bottom"/>
            <w:vMerge w:val="restart"/>
          </w:tcPr>
          <w:p>
            <w:pPr>
              <w:jc w:val="center"/>
              <w:spacing w:after="0"/>
              <w:rPr>
                <w:sz w:val="20"/>
                <w:szCs w:val="20"/>
                <w:color w:val="auto"/>
              </w:rPr>
            </w:pPr>
            <w:r>
              <w:rPr>
                <w:rFonts w:ascii="Arial" w:cs="Arial" w:eastAsia="Arial" w:hAnsi="Arial"/>
                <w:sz w:val="17"/>
                <w:szCs w:val="17"/>
                <w:color w:val="auto"/>
                <w:w w:val="89"/>
              </w:rPr>
              <w:t>2021–2024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300" w:type="dxa"/>
            <w:vAlign w:val="bottom"/>
            <w:gridSpan w:val="2"/>
            <w:vMerge w:val="continue"/>
          </w:tcPr>
          <w:p>
            <w:pPr>
              <w:spacing w:after="0"/>
              <w:rPr>
                <w:sz w:val="14"/>
                <w:szCs w:val="14"/>
                <w:color w:val="auto"/>
              </w:rPr>
            </w:pPr>
          </w:p>
        </w:tc>
        <w:tc>
          <w:tcPr>
            <w:tcW w:w="2960" w:type="dxa"/>
            <w:vAlign w:val="bottom"/>
            <w:gridSpan w:val="2"/>
            <w:vMerge w:val="restart"/>
          </w:tcPr>
          <w:p>
            <w:pPr>
              <w:ind w:left="140"/>
              <w:spacing w:after="0"/>
              <w:rPr>
                <w:sz w:val="20"/>
                <w:szCs w:val="20"/>
                <w:color w:val="auto"/>
              </w:rPr>
            </w:pPr>
            <w:r>
              <w:rPr>
                <w:rFonts w:ascii="Arial" w:cs="Arial" w:eastAsia="Arial" w:hAnsi="Arial"/>
                <w:sz w:val="17"/>
                <w:szCs w:val="17"/>
                <w:i w:val="1"/>
                <w:iCs w:val="1"/>
                <w:color w:val="auto"/>
              </w:rPr>
              <w:t>Methane Alison Victoria</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w w:val="89"/>
              </w:rPr>
              <w:t>2007</w:t>
            </w: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74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9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2960" w:type="dxa"/>
            <w:vAlign w:val="bottom"/>
            <w:gridSpan w:val="2"/>
            <w:shd w:val="clear" w:color="auto" w:fill="E5FFFF"/>
          </w:tcPr>
          <w:p>
            <w:pPr>
              <w:ind w:left="140"/>
              <w:spacing w:after="0"/>
              <w:rPr>
                <w:sz w:val="20"/>
                <w:szCs w:val="20"/>
                <w:color w:val="auto"/>
              </w:rPr>
            </w:pPr>
            <w:r>
              <w:rPr>
                <w:rFonts w:ascii="Arial" w:cs="Arial" w:eastAsia="Arial" w:hAnsi="Arial"/>
                <w:sz w:val="17"/>
                <w:szCs w:val="17"/>
                <w:i w:val="1"/>
                <w:iCs w:val="1"/>
                <w:color w:val="auto"/>
              </w:rPr>
              <w:t>Methane Alison Victoria</w:t>
            </w:r>
          </w:p>
        </w:tc>
        <w:tc>
          <w:tcPr>
            <w:tcW w:w="62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89"/>
              </w:rPr>
              <w:t>2007</w:t>
            </w:r>
          </w:p>
        </w:tc>
        <w:tc>
          <w:tcPr>
            <w:tcW w:w="120" w:type="dxa"/>
            <w:vAlign w:val="bottom"/>
            <w:shd w:val="clear" w:color="auto" w:fill="E5FFFF"/>
          </w:tcPr>
          <w:p>
            <w:pPr>
              <w:spacing w:after="0"/>
              <w:rPr>
                <w:sz w:val="18"/>
                <w:szCs w:val="18"/>
                <w:color w:val="auto"/>
              </w:rPr>
            </w:pPr>
          </w:p>
        </w:tc>
        <w:tc>
          <w:tcPr>
            <w:tcW w:w="102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91"/>
              </w:rPr>
              <w:t>145,000</w:t>
            </w:r>
          </w:p>
        </w:tc>
        <w:tc>
          <w:tcPr>
            <w:tcW w:w="120" w:type="dxa"/>
            <w:vAlign w:val="bottom"/>
            <w:shd w:val="clear" w:color="auto" w:fill="E5FFFF"/>
          </w:tcPr>
          <w:p>
            <w:pPr>
              <w:spacing w:after="0"/>
              <w:rPr>
                <w:sz w:val="18"/>
                <w:szCs w:val="18"/>
                <w:color w:val="auto"/>
              </w:rPr>
            </w:pPr>
          </w:p>
        </w:tc>
        <w:tc>
          <w:tcPr>
            <w:tcW w:w="1680" w:type="dxa"/>
            <w:vAlign w:val="bottom"/>
            <w:gridSpan w:val="2"/>
            <w:shd w:val="clear" w:color="auto" w:fill="E5FFFF"/>
          </w:tcPr>
          <w:p>
            <w:pPr>
              <w:jc w:val="center"/>
              <w:ind w:right="120"/>
              <w:spacing w:after="0"/>
              <w:rPr>
                <w:sz w:val="20"/>
                <w:szCs w:val="20"/>
                <w:color w:val="auto"/>
              </w:rPr>
            </w:pPr>
            <w:r>
              <w:rPr>
                <w:rFonts w:ascii="Arial" w:cs="Arial" w:eastAsia="Arial" w:hAnsi="Arial"/>
                <w:sz w:val="17"/>
                <w:szCs w:val="17"/>
                <w:color w:val="auto"/>
                <w:w w:val="95"/>
              </w:rPr>
              <w:t>Shell</w:t>
            </w:r>
          </w:p>
        </w:tc>
        <w:tc>
          <w:tcPr>
            <w:tcW w:w="1240" w:type="dxa"/>
            <w:vAlign w:val="bottom"/>
            <w:gridSpan w:val="2"/>
            <w:shd w:val="clear" w:color="auto" w:fill="E5FFFF"/>
          </w:tcPr>
          <w:p>
            <w:pPr>
              <w:jc w:val="center"/>
              <w:ind w:right="140"/>
              <w:spacing w:after="0"/>
              <w:rPr>
                <w:sz w:val="20"/>
                <w:szCs w:val="20"/>
                <w:color w:val="auto"/>
              </w:rPr>
            </w:pPr>
            <w:r>
              <w:rPr>
                <w:rFonts w:ascii="Arial" w:cs="Arial" w:eastAsia="Arial" w:hAnsi="Arial"/>
                <w:sz w:val="17"/>
                <w:szCs w:val="17"/>
                <w:color w:val="auto"/>
                <w:w w:val="85"/>
              </w:rPr>
              <w:t>Steam</w:t>
            </w:r>
          </w:p>
        </w:tc>
        <w:tc>
          <w:tcPr>
            <w:tcW w:w="2740" w:type="dxa"/>
            <w:vAlign w:val="bottom"/>
            <w:gridSpan w:val="2"/>
            <w:shd w:val="clear" w:color="auto" w:fill="E5FFFF"/>
          </w:tcPr>
          <w:p>
            <w:pPr>
              <w:jc w:val="center"/>
              <w:ind w:right="120"/>
              <w:spacing w:after="0"/>
              <w:rPr>
                <w:sz w:val="20"/>
                <w:szCs w:val="20"/>
                <w:color w:val="auto"/>
              </w:rPr>
            </w:pPr>
            <w:r>
              <w:rPr>
                <w:rFonts w:ascii="Arial" w:cs="Arial" w:eastAsia="Arial" w:hAnsi="Arial"/>
                <w:sz w:val="17"/>
                <w:szCs w:val="17"/>
                <w:color w:val="auto"/>
                <w:w w:val="90"/>
              </w:rPr>
              <w:t>December 2019</w:t>
            </w:r>
          </w:p>
        </w:tc>
        <w:tc>
          <w:tcPr>
            <w:tcW w:w="120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93"/>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7"/>
                <w:szCs w:val="17"/>
                <w:b w:val="1"/>
                <w:bCs w:val="1"/>
                <w:color w:val="auto"/>
              </w:rPr>
              <w:t>4</w:t>
            </w:r>
          </w:p>
        </w:tc>
        <w:tc>
          <w:tcPr>
            <w:tcW w:w="2960" w:type="dxa"/>
            <w:vAlign w:val="bottom"/>
            <w:gridSpan w:val="2"/>
          </w:tcPr>
          <w:p>
            <w:pPr>
              <w:ind w:left="140"/>
              <w:spacing w:after="0"/>
              <w:rPr>
                <w:sz w:val="20"/>
                <w:szCs w:val="20"/>
                <w:color w:val="auto"/>
              </w:rPr>
            </w:pPr>
            <w:r>
              <w:rPr>
                <w:rFonts w:ascii="Arial" w:cs="Arial" w:eastAsia="Arial" w:hAnsi="Arial"/>
                <w:sz w:val="17"/>
                <w:szCs w:val="17"/>
                <w:i w:val="1"/>
                <w:iCs w:val="1"/>
                <w:color w:val="auto"/>
              </w:rPr>
              <w:t>Methane Shirley Elisabeth</w:t>
            </w:r>
          </w:p>
        </w:tc>
        <w:tc>
          <w:tcPr>
            <w:tcW w:w="620" w:type="dxa"/>
            <w:vAlign w:val="bottom"/>
          </w:tcPr>
          <w:p>
            <w:pPr>
              <w:jc w:val="center"/>
              <w:spacing w:after="0"/>
              <w:rPr>
                <w:sz w:val="20"/>
                <w:szCs w:val="20"/>
                <w:color w:val="auto"/>
              </w:rPr>
            </w:pPr>
            <w:r>
              <w:rPr>
                <w:rFonts w:ascii="Arial" w:cs="Arial" w:eastAsia="Arial" w:hAnsi="Arial"/>
                <w:sz w:val="17"/>
                <w:szCs w:val="17"/>
                <w:color w:val="auto"/>
                <w:w w:val="89"/>
              </w:rPr>
              <w:t>2007</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w w:val="91"/>
              </w:rPr>
              <w:t>145,000</w:t>
            </w:r>
          </w:p>
        </w:tc>
        <w:tc>
          <w:tcPr>
            <w:tcW w:w="12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7"/>
                <w:szCs w:val="17"/>
                <w:color w:val="auto"/>
                <w:w w:val="95"/>
              </w:rPr>
              <w:t>Shell</w:t>
            </w:r>
          </w:p>
        </w:tc>
        <w:tc>
          <w:tcPr>
            <w:tcW w:w="1240" w:type="dxa"/>
            <w:vAlign w:val="bottom"/>
            <w:gridSpan w:val="2"/>
          </w:tcPr>
          <w:p>
            <w:pPr>
              <w:jc w:val="center"/>
              <w:ind w:right="140"/>
              <w:spacing w:after="0"/>
              <w:rPr>
                <w:sz w:val="20"/>
                <w:szCs w:val="20"/>
                <w:color w:val="auto"/>
              </w:rPr>
            </w:pPr>
            <w:r>
              <w:rPr>
                <w:rFonts w:ascii="Arial" w:cs="Arial" w:eastAsia="Arial" w:hAnsi="Arial"/>
                <w:sz w:val="17"/>
                <w:szCs w:val="17"/>
                <w:color w:val="auto"/>
                <w:w w:val="85"/>
              </w:rPr>
              <w:t>Steam</w:t>
            </w:r>
          </w:p>
        </w:tc>
        <w:tc>
          <w:tcPr>
            <w:tcW w:w="2740" w:type="dxa"/>
            <w:vAlign w:val="bottom"/>
            <w:gridSpan w:val="2"/>
          </w:tcPr>
          <w:p>
            <w:pPr>
              <w:jc w:val="center"/>
              <w:ind w:right="120"/>
              <w:spacing w:after="0"/>
              <w:rPr>
                <w:sz w:val="20"/>
                <w:szCs w:val="20"/>
                <w:color w:val="auto"/>
              </w:rPr>
            </w:pPr>
            <w:r>
              <w:rPr>
                <w:rFonts w:ascii="Arial" w:cs="Arial" w:eastAsia="Arial" w:hAnsi="Arial"/>
                <w:sz w:val="17"/>
                <w:szCs w:val="17"/>
                <w:color w:val="auto"/>
                <w:w w:val="88"/>
              </w:rPr>
              <w:t>June 2020</w:t>
            </w:r>
          </w:p>
        </w:tc>
        <w:tc>
          <w:tcPr>
            <w:tcW w:w="120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0" w:type="dxa"/>
            <w:vAlign w:val="bottom"/>
            <w:shd w:val="clear" w:color="auto" w:fill="E5FFFF"/>
          </w:tcPr>
          <w:p>
            <w:pPr>
              <w:spacing w:after="0"/>
              <w:rPr>
                <w:sz w:val="20"/>
                <w:szCs w:val="20"/>
                <w:color w:val="auto"/>
              </w:rPr>
            </w:pPr>
            <w:r>
              <w:rPr>
                <w:rFonts w:ascii="Arial" w:cs="Arial" w:eastAsia="Arial" w:hAnsi="Arial"/>
                <w:sz w:val="17"/>
                <w:szCs w:val="17"/>
                <w:b w:val="1"/>
                <w:bCs w:val="1"/>
                <w:color w:val="auto"/>
              </w:rPr>
              <w:t>5</w:t>
            </w:r>
          </w:p>
        </w:tc>
        <w:tc>
          <w:tcPr>
            <w:tcW w:w="2960" w:type="dxa"/>
            <w:vAlign w:val="bottom"/>
            <w:gridSpan w:val="2"/>
            <w:shd w:val="clear" w:color="auto" w:fill="E5FFFF"/>
          </w:tcPr>
          <w:p>
            <w:pPr>
              <w:ind w:left="140"/>
              <w:spacing w:after="0"/>
              <w:rPr>
                <w:sz w:val="20"/>
                <w:szCs w:val="20"/>
                <w:color w:val="auto"/>
              </w:rPr>
            </w:pPr>
            <w:r>
              <w:rPr>
                <w:rFonts w:ascii="Arial" w:cs="Arial" w:eastAsia="Arial" w:hAnsi="Arial"/>
                <w:sz w:val="17"/>
                <w:szCs w:val="17"/>
                <w:i w:val="1"/>
                <w:iCs w:val="1"/>
                <w:color w:val="auto"/>
              </w:rPr>
              <w:t>Methane Heather Sally</w:t>
            </w:r>
          </w:p>
        </w:tc>
        <w:tc>
          <w:tcPr>
            <w:tcW w:w="62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89"/>
              </w:rPr>
              <w:t>2007</w:t>
            </w:r>
          </w:p>
        </w:tc>
        <w:tc>
          <w:tcPr>
            <w:tcW w:w="120" w:type="dxa"/>
            <w:vAlign w:val="bottom"/>
            <w:shd w:val="clear" w:color="auto" w:fill="E5FFFF"/>
          </w:tcPr>
          <w:p>
            <w:pPr>
              <w:spacing w:after="0"/>
              <w:rPr>
                <w:sz w:val="18"/>
                <w:szCs w:val="18"/>
                <w:color w:val="auto"/>
              </w:rPr>
            </w:pPr>
          </w:p>
        </w:tc>
        <w:tc>
          <w:tcPr>
            <w:tcW w:w="102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91"/>
              </w:rPr>
              <w:t>145,000</w:t>
            </w:r>
          </w:p>
        </w:tc>
        <w:tc>
          <w:tcPr>
            <w:tcW w:w="120" w:type="dxa"/>
            <w:vAlign w:val="bottom"/>
            <w:shd w:val="clear" w:color="auto" w:fill="E5FFFF"/>
          </w:tcPr>
          <w:p>
            <w:pPr>
              <w:spacing w:after="0"/>
              <w:rPr>
                <w:sz w:val="18"/>
                <w:szCs w:val="18"/>
                <w:color w:val="auto"/>
              </w:rPr>
            </w:pPr>
          </w:p>
        </w:tc>
        <w:tc>
          <w:tcPr>
            <w:tcW w:w="1680" w:type="dxa"/>
            <w:vAlign w:val="bottom"/>
            <w:gridSpan w:val="2"/>
            <w:shd w:val="clear" w:color="auto" w:fill="E5FFFF"/>
          </w:tcPr>
          <w:p>
            <w:pPr>
              <w:jc w:val="center"/>
              <w:ind w:right="120"/>
              <w:spacing w:after="0"/>
              <w:rPr>
                <w:sz w:val="20"/>
                <w:szCs w:val="20"/>
                <w:color w:val="auto"/>
              </w:rPr>
            </w:pPr>
            <w:r>
              <w:rPr>
                <w:rFonts w:ascii="Arial" w:cs="Arial" w:eastAsia="Arial" w:hAnsi="Arial"/>
                <w:sz w:val="17"/>
                <w:szCs w:val="17"/>
                <w:color w:val="auto"/>
                <w:w w:val="95"/>
              </w:rPr>
              <w:t>Shell</w:t>
            </w:r>
          </w:p>
        </w:tc>
        <w:tc>
          <w:tcPr>
            <w:tcW w:w="1240" w:type="dxa"/>
            <w:vAlign w:val="bottom"/>
            <w:gridSpan w:val="2"/>
            <w:shd w:val="clear" w:color="auto" w:fill="E5FFFF"/>
          </w:tcPr>
          <w:p>
            <w:pPr>
              <w:jc w:val="center"/>
              <w:ind w:right="140"/>
              <w:spacing w:after="0"/>
              <w:rPr>
                <w:sz w:val="20"/>
                <w:szCs w:val="20"/>
                <w:color w:val="auto"/>
              </w:rPr>
            </w:pPr>
            <w:r>
              <w:rPr>
                <w:rFonts w:ascii="Arial" w:cs="Arial" w:eastAsia="Arial" w:hAnsi="Arial"/>
                <w:sz w:val="17"/>
                <w:szCs w:val="17"/>
                <w:color w:val="auto"/>
                <w:w w:val="85"/>
              </w:rPr>
              <w:t>Steam</w:t>
            </w:r>
          </w:p>
        </w:tc>
        <w:tc>
          <w:tcPr>
            <w:tcW w:w="2740" w:type="dxa"/>
            <w:vAlign w:val="bottom"/>
            <w:gridSpan w:val="2"/>
            <w:shd w:val="clear" w:color="auto" w:fill="E5FFFF"/>
          </w:tcPr>
          <w:p>
            <w:pPr>
              <w:jc w:val="center"/>
              <w:ind w:right="120"/>
              <w:spacing w:after="0"/>
              <w:rPr>
                <w:sz w:val="20"/>
                <w:szCs w:val="20"/>
                <w:color w:val="auto"/>
              </w:rPr>
            </w:pPr>
            <w:r>
              <w:rPr>
                <w:rFonts w:ascii="Arial" w:cs="Arial" w:eastAsia="Arial" w:hAnsi="Arial"/>
                <w:sz w:val="17"/>
                <w:szCs w:val="17"/>
                <w:color w:val="auto"/>
                <w:w w:val="90"/>
              </w:rPr>
              <w:t>December 2020</w:t>
            </w:r>
          </w:p>
        </w:tc>
        <w:tc>
          <w:tcPr>
            <w:tcW w:w="120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90"/>
              </w:rPr>
              <w:t>2023-2025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7"/>
                <w:szCs w:val="17"/>
                <w:b w:val="1"/>
                <w:bCs w:val="1"/>
                <w:color w:val="auto"/>
              </w:rPr>
              <w:t>6</w:t>
            </w:r>
          </w:p>
        </w:tc>
        <w:tc>
          <w:tcPr>
            <w:tcW w:w="2960" w:type="dxa"/>
            <w:vAlign w:val="bottom"/>
            <w:gridSpan w:val="2"/>
          </w:tcPr>
          <w:p>
            <w:pPr>
              <w:ind w:left="140"/>
              <w:spacing w:after="0"/>
              <w:rPr>
                <w:sz w:val="20"/>
                <w:szCs w:val="20"/>
                <w:color w:val="auto"/>
              </w:rPr>
            </w:pPr>
            <w:r>
              <w:rPr>
                <w:rFonts w:ascii="Arial" w:cs="Arial" w:eastAsia="Arial" w:hAnsi="Arial"/>
                <w:sz w:val="17"/>
                <w:szCs w:val="17"/>
                <w:i w:val="1"/>
                <w:iCs w:val="1"/>
                <w:color w:val="auto"/>
              </w:rPr>
              <w:t>GasLog Shanghai</w:t>
            </w:r>
          </w:p>
        </w:tc>
        <w:tc>
          <w:tcPr>
            <w:tcW w:w="620" w:type="dxa"/>
            <w:vAlign w:val="bottom"/>
          </w:tcPr>
          <w:p>
            <w:pPr>
              <w:jc w:val="center"/>
              <w:spacing w:after="0"/>
              <w:rPr>
                <w:sz w:val="20"/>
                <w:szCs w:val="20"/>
                <w:color w:val="auto"/>
              </w:rPr>
            </w:pPr>
            <w:r>
              <w:rPr>
                <w:rFonts w:ascii="Arial" w:cs="Arial" w:eastAsia="Arial" w:hAnsi="Arial"/>
                <w:sz w:val="17"/>
                <w:szCs w:val="17"/>
                <w:color w:val="auto"/>
                <w:w w:val="89"/>
              </w:rPr>
              <w:t>2013</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w w:val="91"/>
              </w:rPr>
              <w:t>155,000</w:t>
            </w:r>
          </w:p>
        </w:tc>
        <w:tc>
          <w:tcPr>
            <w:tcW w:w="120" w:type="dxa"/>
            <w:vAlign w:val="bottom"/>
          </w:tcPr>
          <w:p>
            <w:pPr>
              <w:spacing w:after="0"/>
              <w:rPr>
                <w:sz w:val="18"/>
                <w:szCs w:val="18"/>
                <w:color w:val="auto"/>
              </w:rPr>
            </w:pPr>
          </w:p>
        </w:tc>
        <w:tc>
          <w:tcPr>
            <w:tcW w:w="1680" w:type="dxa"/>
            <w:vAlign w:val="bottom"/>
            <w:gridSpan w:val="2"/>
          </w:tcPr>
          <w:p>
            <w:pPr>
              <w:jc w:val="center"/>
              <w:ind w:right="120"/>
              <w:spacing w:after="0" w:line="213" w:lineRule="exact"/>
              <w:rPr>
                <w:sz w:val="20"/>
                <w:szCs w:val="20"/>
                <w:color w:val="auto"/>
              </w:rPr>
            </w:pPr>
            <w:r>
              <w:rPr>
                <w:rFonts w:ascii="Arial" w:cs="Arial" w:eastAsia="Arial" w:hAnsi="Arial"/>
                <w:sz w:val="17"/>
                <w:szCs w:val="17"/>
                <w:color w:val="auto"/>
                <w:w w:val="90"/>
              </w:rPr>
              <w:t xml:space="preserve">Spot Market </w:t>
            </w:r>
            <w:r>
              <w:rPr>
                <w:rFonts w:ascii="Arial" w:cs="Arial" w:eastAsia="Arial" w:hAnsi="Arial"/>
                <w:sz w:val="22"/>
                <w:szCs w:val="22"/>
                <w:color w:val="auto"/>
                <w:w w:val="90"/>
                <w:vertAlign w:val="superscript"/>
              </w:rPr>
              <w:t>(3)</w:t>
            </w:r>
          </w:p>
        </w:tc>
        <w:tc>
          <w:tcPr>
            <w:tcW w:w="1240" w:type="dxa"/>
            <w:vAlign w:val="bottom"/>
            <w:gridSpan w:val="2"/>
          </w:tcPr>
          <w:p>
            <w:pPr>
              <w:jc w:val="center"/>
              <w:ind w:right="140"/>
              <w:spacing w:after="0"/>
              <w:rPr>
                <w:sz w:val="20"/>
                <w:szCs w:val="20"/>
                <w:color w:val="auto"/>
              </w:rPr>
            </w:pPr>
            <w:r>
              <w:rPr>
                <w:rFonts w:ascii="Arial" w:cs="Arial" w:eastAsia="Arial" w:hAnsi="Arial"/>
                <w:sz w:val="17"/>
                <w:szCs w:val="17"/>
                <w:color w:val="auto"/>
                <w:w w:val="94"/>
              </w:rPr>
              <w:t>TFDE</w:t>
            </w:r>
          </w:p>
        </w:tc>
        <w:tc>
          <w:tcPr>
            <w:tcW w:w="2740" w:type="dxa"/>
            <w:vAlign w:val="bottom"/>
            <w:gridSpan w:val="2"/>
          </w:tcPr>
          <w:p>
            <w:pPr>
              <w:jc w:val="center"/>
              <w:ind w:right="120"/>
              <w:spacing w:after="0"/>
              <w:rPr>
                <w:sz w:val="20"/>
                <w:szCs w:val="20"/>
                <w:color w:val="auto"/>
              </w:rPr>
            </w:pPr>
            <w:r>
              <w:rPr>
                <w:rFonts w:ascii="Arial" w:cs="Arial" w:eastAsia="Arial" w:hAnsi="Arial"/>
                <w:sz w:val="17"/>
                <w:szCs w:val="17"/>
                <w:color w:val="auto"/>
              </w:rPr>
              <w:t>—</w:t>
            </w:r>
          </w:p>
        </w:tc>
        <w:tc>
          <w:tcPr>
            <w:tcW w:w="120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0" w:type="dxa"/>
            <w:vAlign w:val="bottom"/>
            <w:shd w:val="clear" w:color="auto" w:fill="E5FFFF"/>
          </w:tcPr>
          <w:p>
            <w:pPr>
              <w:spacing w:after="0"/>
              <w:rPr>
                <w:sz w:val="20"/>
                <w:szCs w:val="20"/>
                <w:color w:val="auto"/>
              </w:rPr>
            </w:pPr>
            <w:r>
              <w:rPr>
                <w:rFonts w:ascii="Arial" w:cs="Arial" w:eastAsia="Arial" w:hAnsi="Arial"/>
                <w:sz w:val="17"/>
                <w:szCs w:val="17"/>
                <w:b w:val="1"/>
                <w:bCs w:val="1"/>
                <w:color w:val="auto"/>
              </w:rPr>
              <w:t>7</w:t>
            </w:r>
          </w:p>
        </w:tc>
        <w:tc>
          <w:tcPr>
            <w:tcW w:w="2960" w:type="dxa"/>
            <w:vAlign w:val="bottom"/>
            <w:gridSpan w:val="2"/>
            <w:shd w:val="clear" w:color="auto" w:fill="E5FFFF"/>
          </w:tcPr>
          <w:p>
            <w:pPr>
              <w:ind w:left="140"/>
              <w:spacing w:after="0"/>
              <w:rPr>
                <w:sz w:val="20"/>
                <w:szCs w:val="20"/>
                <w:color w:val="auto"/>
              </w:rPr>
            </w:pPr>
            <w:r>
              <w:rPr>
                <w:rFonts w:ascii="Arial" w:cs="Arial" w:eastAsia="Arial" w:hAnsi="Arial"/>
                <w:sz w:val="17"/>
                <w:szCs w:val="17"/>
                <w:i w:val="1"/>
                <w:iCs w:val="1"/>
                <w:color w:val="auto"/>
              </w:rPr>
              <w:t>GasLog Santiago</w:t>
            </w:r>
          </w:p>
        </w:tc>
        <w:tc>
          <w:tcPr>
            <w:tcW w:w="62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89"/>
              </w:rPr>
              <w:t>2013</w:t>
            </w:r>
          </w:p>
        </w:tc>
        <w:tc>
          <w:tcPr>
            <w:tcW w:w="120" w:type="dxa"/>
            <w:vAlign w:val="bottom"/>
            <w:shd w:val="clear" w:color="auto" w:fill="E5FFFF"/>
          </w:tcPr>
          <w:p>
            <w:pPr>
              <w:spacing w:after="0"/>
              <w:rPr>
                <w:sz w:val="18"/>
                <w:szCs w:val="18"/>
                <w:color w:val="auto"/>
              </w:rPr>
            </w:pPr>
          </w:p>
        </w:tc>
        <w:tc>
          <w:tcPr>
            <w:tcW w:w="102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91"/>
              </w:rPr>
              <w:t>155,000</w:t>
            </w:r>
          </w:p>
        </w:tc>
        <w:tc>
          <w:tcPr>
            <w:tcW w:w="120" w:type="dxa"/>
            <w:vAlign w:val="bottom"/>
            <w:shd w:val="clear" w:color="auto" w:fill="E5FFFF"/>
          </w:tcPr>
          <w:p>
            <w:pPr>
              <w:spacing w:after="0"/>
              <w:rPr>
                <w:sz w:val="18"/>
                <w:szCs w:val="18"/>
                <w:color w:val="auto"/>
              </w:rPr>
            </w:pPr>
          </w:p>
        </w:tc>
        <w:tc>
          <w:tcPr>
            <w:tcW w:w="1680" w:type="dxa"/>
            <w:vAlign w:val="bottom"/>
            <w:gridSpan w:val="2"/>
            <w:shd w:val="clear" w:color="auto" w:fill="E5FFFF"/>
          </w:tcPr>
          <w:p>
            <w:pPr>
              <w:jc w:val="center"/>
              <w:ind w:right="120"/>
              <w:spacing w:after="0"/>
              <w:rPr>
                <w:sz w:val="20"/>
                <w:szCs w:val="20"/>
                <w:color w:val="auto"/>
              </w:rPr>
            </w:pPr>
            <w:r>
              <w:rPr>
                <w:rFonts w:ascii="Arial" w:cs="Arial" w:eastAsia="Arial" w:hAnsi="Arial"/>
                <w:sz w:val="17"/>
                <w:szCs w:val="17"/>
                <w:color w:val="auto"/>
                <w:w w:val="92"/>
              </w:rPr>
              <w:t>New Customer</w:t>
            </w:r>
          </w:p>
        </w:tc>
        <w:tc>
          <w:tcPr>
            <w:tcW w:w="1240" w:type="dxa"/>
            <w:vAlign w:val="bottom"/>
            <w:gridSpan w:val="2"/>
            <w:shd w:val="clear" w:color="auto" w:fill="E5FFFF"/>
          </w:tcPr>
          <w:p>
            <w:pPr>
              <w:jc w:val="center"/>
              <w:ind w:right="140"/>
              <w:spacing w:after="0"/>
              <w:rPr>
                <w:sz w:val="20"/>
                <w:szCs w:val="20"/>
                <w:color w:val="auto"/>
              </w:rPr>
            </w:pPr>
            <w:r>
              <w:rPr>
                <w:rFonts w:ascii="Arial" w:cs="Arial" w:eastAsia="Arial" w:hAnsi="Arial"/>
                <w:sz w:val="17"/>
                <w:szCs w:val="17"/>
                <w:color w:val="auto"/>
                <w:w w:val="94"/>
              </w:rPr>
              <w:t>TFDE</w:t>
            </w:r>
          </w:p>
        </w:tc>
        <w:tc>
          <w:tcPr>
            <w:tcW w:w="2740" w:type="dxa"/>
            <w:vAlign w:val="bottom"/>
            <w:gridSpan w:val="2"/>
            <w:shd w:val="clear" w:color="auto" w:fill="E5FFFF"/>
          </w:tcPr>
          <w:p>
            <w:pPr>
              <w:jc w:val="center"/>
              <w:ind w:right="120"/>
              <w:spacing w:after="0"/>
              <w:rPr>
                <w:sz w:val="20"/>
                <w:szCs w:val="20"/>
                <w:color w:val="auto"/>
              </w:rPr>
            </w:pPr>
            <w:r>
              <w:rPr>
                <w:rFonts w:ascii="Arial" w:cs="Arial" w:eastAsia="Arial" w:hAnsi="Arial"/>
                <w:sz w:val="17"/>
                <w:szCs w:val="17"/>
                <w:color w:val="auto"/>
                <w:w w:val="90"/>
              </w:rPr>
              <w:t>December 2021</w:t>
            </w:r>
          </w:p>
        </w:tc>
        <w:tc>
          <w:tcPr>
            <w:tcW w:w="120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90"/>
              </w:rPr>
              <w:t>2022-2028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7"/>
                <w:szCs w:val="17"/>
                <w:b w:val="1"/>
                <w:bCs w:val="1"/>
                <w:color w:val="auto"/>
              </w:rPr>
              <w:t>8</w:t>
            </w:r>
          </w:p>
        </w:tc>
        <w:tc>
          <w:tcPr>
            <w:tcW w:w="2960" w:type="dxa"/>
            <w:vAlign w:val="bottom"/>
            <w:gridSpan w:val="2"/>
          </w:tcPr>
          <w:p>
            <w:pPr>
              <w:ind w:left="140"/>
              <w:spacing w:after="0"/>
              <w:rPr>
                <w:sz w:val="20"/>
                <w:szCs w:val="20"/>
                <w:color w:val="auto"/>
              </w:rPr>
            </w:pPr>
            <w:r>
              <w:rPr>
                <w:rFonts w:ascii="Arial" w:cs="Arial" w:eastAsia="Arial" w:hAnsi="Arial"/>
                <w:sz w:val="17"/>
                <w:szCs w:val="17"/>
                <w:i w:val="1"/>
                <w:iCs w:val="1"/>
                <w:color w:val="auto"/>
              </w:rPr>
              <w:t>GasLog Sydney</w:t>
            </w:r>
          </w:p>
        </w:tc>
        <w:tc>
          <w:tcPr>
            <w:tcW w:w="620" w:type="dxa"/>
            <w:vAlign w:val="bottom"/>
          </w:tcPr>
          <w:p>
            <w:pPr>
              <w:jc w:val="center"/>
              <w:spacing w:after="0"/>
              <w:rPr>
                <w:sz w:val="20"/>
                <w:szCs w:val="20"/>
                <w:color w:val="auto"/>
              </w:rPr>
            </w:pPr>
            <w:r>
              <w:rPr>
                <w:rFonts w:ascii="Arial" w:cs="Arial" w:eastAsia="Arial" w:hAnsi="Arial"/>
                <w:sz w:val="17"/>
                <w:szCs w:val="17"/>
                <w:color w:val="auto"/>
                <w:w w:val="89"/>
              </w:rPr>
              <w:t>2013</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w w:val="91"/>
              </w:rPr>
              <w:t>155,000</w:t>
            </w:r>
          </w:p>
        </w:tc>
        <w:tc>
          <w:tcPr>
            <w:tcW w:w="120" w:type="dxa"/>
            <w:vAlign w:val="bottom"/>
          </w:tcPr>
          <w:p>
            <w:pPr>
              <w:spacing w:after="0"/>
              <w:rPr>
                <w:sz w:val="18"/>
                <w:szCs w:val="18"/>
                <w:color w:val="auto"/>
              </w:rPr>
            </w:pPr>
          </w:p>
        </w:tc>
        <w:tc>
          <w:tcPr>
            <w:tcW w:w="1680" w:type="dxa"/>
            <w:vAlign w:val="bottom"/>
            <w:gridSpan w:val="2"/>
          </w:tcPr>
          <w:p>
            <w:pPr>
              <w:jc w:val="center"/>
              <w:ind w:right="120"/>
              <w:spacing w:after="0" w:line="213" w:lineRule="exact"/>
              <w:rPr>
                <w:sz w:val="20"/>
                <w:szCs w:val="20"/>
                <w:color w:val="auto"/>
              </w:rPr>
            </w:pPr>
            <w:r>
              <w:rPr>
                <w:rFonts w:ascii="Arial" w:cs="Arial" w:eastAsia="Arial" w:hAnsi="Arial"/>
                <w:sz w:val="17"/>
                <w:szCs w:val="17"/>
                <w:color w:val="auto"/>
                <w:w w:val="87"/>
              </w:rPr>
              <w:t>Cheniere</w:t>
            </w:r>
            <w:r>
              <w:rPr>
                <w:rFonts w:ascii="Arial" w:cs="Arial" w:eastAsia="Arial" w:hAnsi="Arial"/>
                <w:sz w:val="22"/>
                <w:szCs w:val="22"/>
                <w:color w:val="auto"/>
                <w:w w:val="87"/>
                <w:vertAlign w:val="superscript"/>
              </w:rPr>
              <w:t>(7)</w:t>
            </w:r>
          </w:p>
        </w:tc>
        <w:tc>
          <w:tcPr>
            <w:tcW w:w="1240" w:type="dxa"/>
            <w:vAlign w:val="bottom"/>
            <w:gridSpan w:val="2"/>
          </w:tcPr>
          <w:p>
            <w:pPr>
              <w:jc w:val="center"/>
              <w:ind w:right="140"/>
              <w:spacing w:after="0"/>
              <w:rPr>
                <w:sz w:val="20"/>
                <w:szCs w:val="20"/>
                <w:color w:val="auto"/>
              </w:rPr>
            </w:pPr>
            <w:r>
              <w:rPr>
                <w:rFonts w:ascii="Arial" w:cs="Arial" w:eastAsia="Arial" w:hAnsi="Arial"/>
                <w:sz w:val="17"/>
                <w:szCs w:val="17"/>
                <w:color w:val="auto"/>
                <w:w w:val="94"/>
              </w:rPr>
              <w:t>TFDE</w:t>
            </w:r>
          </w:p>
        </w:tc>
        <w:tc>
          <w:tcPr>
            <w:tcW w:w="2740" w:type="dxa"/>
            <w:vAlign w:val="bottom"/>
            <w:gridSpan w:val="2"/>
          </w:tcPr>
          <w:p>
            <w:pPr>
              <w:jc w:val="center"/>
              <w:ind w:right="120"/>
              <w:spacing w:after="0"/>
              <w:rPr>
                <w:sz w:val="20"/>
                <w:szCs w:val="20"/>
                <w:color w:val="auto"/>
              </w:rPr>
            </w:pPr>
            <w:r>
              <w:rPr>
                <w:rFonts w:ascii="Arial" w:cs="Arial" w:eastAsia="Arial" w:hAnsi="Arial"/>
                <w:sz w:val="17"/>
                <w:szCs w:val="17"/>
                <w:color w:val="auto"/>
                <w:w w:val="88"/>
              </w:rPr>
              <w:t>June 2020</w:t>
            </w:r>
          </w:p>
        </w:tc>
        <w:tc>
          <w:tcPr>
            <w:tcW w:w="1200" w:type="dxa"/>
            <w:vAlign w:val="bottom"/>
          </w:tcPr>
          <w:p>
            <w:pPr>
              <w:jc w:val="center"/>
              <w:spacing w:after="0"/>
              <w:rPr>
                <w:sz w:val="20"/>
                <w:szCs w:val="20"/>
                <w:color w:val="auto"/>
              </w:rPr>
            </w:pPr>
            <w:r>
              <w:rPr>
                <w:rFonts w:ascii="Arial" w:cs="Arial" w:eastAsia="Arial" w:hAnsi="Arial"/>
                <w:sz w:val="17"/>
                <w:szCs w:val="17"/>
                <w:color w:val="auto"/>
                <w:w w:val="90"/>
              </w:rPr>
              <w:t>2020-2021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0" w:type="dxa"/>
            <w:vAlign w:val="bottom"/>
            <w:shd w:val="clear" w:color="auto" w:fill="E5FFFF"/>
          </w:tcPr>
          <w:p>
            <w:pPr>
              <w:spacing w:after="0"/>
              <w:rPr>
                <w:sz w:val="20"/>
                <w:szCs w:val="20"/>
                <w:color w:val="auto"/>
              </w:rPr>
            </w:pPr>
            <w:r>
              <w:rPr>
                <w:rFonts w:ascii="Arial" w:cs="Arial" w:eastAsia="Arial" w:hAnsi="Arial"/>
                <w:sz w:val="17"/>
                <w:szCs w:val="17"/>
                <w:b w:val="1"/>
                <w:bCs w:val="1"/>
                <w:color w:val="auto"/>
              </w:rPr>
              <w:t>9</w:t>
            </w:r>
          </w:p>
        </w:tc>
        <w:tc>
          <w:tcPr>
            <w:tcW w:w="2960" w:type="dxa"/>
            <w:vAlign w:val="bottom"/>
            <w:gridSpan w:val="2"/>
            <w:shd w:val="clear" w:color="auto" w:fill="E5FFFF"/>
          </w:tcPr>
          <w:p>
            <w:pPr>
              <w:ind w:left="140"/>
              <w:spacing w:after="0"/>
              <w:rPr>
                <w:sz w:val="20"/>
                <w:szCs w:val="20"/>
                <w:color w:val="auto"/>
              </w:rPr>
            </w:pPr>
            <w:r>
              <w:rPr>
                <w:rFonts w:ascii="Arial" w:cs="Arial" w:eastAsia="Arial" w:hAnsi="Arial"/>
                <w:sz w:val="17"/>
                <w:szCs w:val="17"/>
                <w:i w:val="1"/>
                <w:iCs w:val="1"/>
                <w:color w:val="auto"/>
              </w:rPr>
              <w:t>GasLog Seattle</w:t>
            </w:r>
          </w:p>
        </w:tc>
        <w:tc>
          <w:tcPr>
            <w:tcW w:w="62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89"/>
              </w:rPr>
              <w:t>2013</w:t>
            </w:r>
          </w:p>
        </w:tc>
        <w:tc>
          <w:tcPr>
            <w:tcW w:w="120" w:type="dxa"/>
            <w:vAlign w:val="bottom"/>
            <w:shd w:val="clear" w:color="auto" w:fill="E5FFFF"/>
          </w:tcPr>
          <w:p>
            <w:pPr>
              <w:spacing w:after="0"/>
              <w:rPr>
                <w:sz w:val="18"/>
                <w:szCs w:val="18"/>
                <w:color w:val="auto"/>
              </w:rPr>
            </w:pPr>
          </w:p>
        </w:tc>
        <w:tc>
          <w:tcPr>
            <w:tcW w:w="102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91"/>
              </w:rPr>
              <w:t>155,000</w:t>
            </w:r>
          </w:p>
        </w:tc>
        <w:tc>
          <w:tcPr>
            <w:tcW w:w="120" w:type="dxa"/>
            <w:vAlign w:val="bottom"/>
            <w:shd w:val="clear" w:color="auto" w:fill="E5FFFF"/>
          </w:tcPr>
          <w:p>
            <w:pPr>
              <w:spacing w:after="0"/>
              <w:rPr>
                <w:sz w:val="18"/>
                <w:szCs w:val="18"/>
                <w:color w:val="auto"/>
              </w:rPr>
            </w:pPr>
          </w:p>
        </w:tc>
        <w:tc>
          <w:tcPr>
            <w:tcW w:w="1680" w:type="dxa"/>
            <w:vAlign w:val="bottom"/>
            <w:gridSpan w:val="2"/>
            <w:shd w:val="clear" w:color="auto" w:fill="E5FFFF"/>
          </w:tcPr>
          <w:p>
            <w:pPr>
              <w:jc w:val="center"/>
              <w:ind w:right="120"/>
              <w:spacing w:after="0"/>
              <w:rPr>
                <w:sz w:val="20"/>
                <w:szCs w:val="20"/>
                <w:color w:val="auto"/>
              </w:rPr>
            </w:pPr>
            <w:r>
              <w:rPr>
                <w:rFonts w:ascii="Arial" w:cs="Arial" w:eastAsia="Arial" w:hAnsi="Arial"/>
                <w:sz w:val="17"/>
                <w:szCs w:val="17"/>
                <w:color w:val="auto"/>
                <w:w w:val="95"/>
              </w:rPr>
              <w:t>Shell</w:t>
            </w:r>
          </w:p>
        </w:tc>
        <w:tc>
          <w:tcPr>
            <w:tcW w:w="1240" w:type="dxa"/>
            <w:vAlign w:val="bottom"/>
            <w:gridSpan w:val="2"/>
            <w:shd w:val="clear" w:color="auto" w:fill="E5FFFF"/>
          </w:tcPr>
          <w:p>
            <w:pPr>
              <w:jc w:val="center"/>
              <w:ind w:right="140"/>
              <w:spacing w:after="0"/>
              <w:rPr>
                <w:sz w:val="20"/>
                <w:szCs w:val="20"/>
                <w:color w:val="auto"/>
              </w:rPr>
            </w:pPr>
            <w:r>
              <w:rPr>
                <w:rFonts w:ascii="Arial" w:cs="Arial" w:eastAsia="Arial" w:hAnsi="Arial"/>
                <w:sz w:val="17"/>
                <w:szCs w:val="17"/>
                <w:color w:val="auto"/>
                <w:w w:val="94"/>
              </w:rPr>
              <w:t>TFDE</w:t>
            </w:r>
          </w:p>
        </w:tc>
        <w:tc>
          <w:tcPr>
            <w:tcW w:w="2740" w:type="dxa"/>
            <w:vAlign w:val="bottom"/>
            <w:gridSpan w:val="2"/>
            <w:shd w:val="clear" w:color="auto" w:fill="E5FFFF"/>
          </w:tcPr>
          <w:p>
            <w:pPr>
              <w:jc w:val="center"/>
              <w:ind w:right="120"/>
              <w:spacing w:after="0"/>
              <w:rPr>
                <w:sz w:val="20"/>
                <w:szCs w:val="20"/>
                <w:color w:val="auto"/>
              </w:rPr>
            </w:pPr>
            <w:r>
              <w:rPr>
                <w:rFonts w:ascii="Arial" w:cs="Arial" w:eastAsia="Arial" w:hAnsi="Arial"/>
                <w:sz w:val="17"/>
                <w:szCs w:val="17"/>
                <w:color w:val="auto"/>
                <w:w w:val="88"/>
              </w:rPr>
              <w:t>June 2021</w:t>
            </w:r>
          </w:p>
        </w:tc>
        <w:tc>
          <w:tcPr>
            <w:tcW w:w="120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93"/>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7"/>
                <w:szCs w:val="17"/>
                <w:b w:val="1"/>
                <w:bCs w:val="1"/>
                <w:color w:val="auto"/>
              </w:rPr>
              <w:t>10</w:t>
            </w:r>
          </w:p>
        </w:tc>
        <w:tc>
          <w:tcPr>
            <w:tcW w:w="2960" w:type="dxa"/>
            <w:vAlign w:val="bottom"/>
            <w:gridSpan w:val="2"/>
          </w:tcPr>
          <w:p>
            <w:pPr>
              <w:ind w:left="140"/>
              <w:spacing w:after="0"/>
              <w:rPr>
                <w:sz w:val="20"/>
                <w:szCs w:val="20"/>
                <w:color w:val="auto"/>
              </w:rPr>
            </w:pPr>
            <w:r>
              <w:rPr>
                <w:rFonts w:ascii="Arial" w:cs="Arial" w:eastAsia="Arial" w:hAnsi="Arial"/>
                <w:sz w:val="17"/>
                <w:szCs w:val="17"/>
                <w:i w:val="1"/>
                <w:iCs w:val="1"/>
                <w:color w:val="auto"/>
              </w:rPr>
              <w:t>Solaris</w:t>
            </w:r>
          </w:p>
        </w:tc>
        <w:tc>
          <w:tcPr>
            <w:tcW w:w="620" w:type="dxa"/>
            <w:vAlign w:val="bottom"/>
          </w:tcPr>
          <w:p>
            <w:pPr>
              <w:jc w:val="center"/>
              <w:spacing w:after="0"/>
              <w:rPr>
                <w:sz w:val="20"/>
                <w:szCs w:val="20"/>
                <w:color w:val="auto"/>
              </w:rPr>
            </w:pPr>
            <w:r>
              <w:rPr>
                <w:rFonts w:ascii="Arial" w:cs="Arial" w:eastAsia="Arial" w:hAnsi="Arial"/>
                <w:sz w:val="17"/>
                <w:szCs w:val="17"/>
                <w:color w:val="auto"/>
                <w:w w:val="89"/>
              </w:rPr>
              <w:t>2014</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w w:val="91"/>
              </w:rPr>
              <w:t>155,000</w:t>
            </w:r>
          </w:p>
        </w:tc>
        <w:tc>
          <w:tcPr>
            <w:tcW w:w="12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7"/>
                <w:szCs w:val="17"/>
                <w:color w:val="auto"/>
                <w:w w:val="95"/>
              </w:rPr>
              <w:t>Shell</w:t>
            </w:r>
          </w:p>
        </w:tc>
        <w:tc>
          <w:tcPr>
            <w:tcW w:w="1240" w:type="dxa"/>
            <w:vAlign w:val="bottom"/>
            <w:gridSpan w:val="2"/>
          </w:tcPr>
          <w:p>
            <w:pPr>
              <w:jc w:val="center"/>
              <w:ind w:right="140"/>
              <w:spacing w:after="0"/>
              <w:rPr>
                <w:sz w:val="20"/>
                <w:szCs w:val="20"/>
                <w:color w:val="auto"/>
              </w:rPr>
            </w:pPr>
            <w:r>
              <w:rPr>
                <w:rFonts w:ascii="Arial" w:cs="Arial" w:eastAsia="Arial" w:hAnsi="Arial"/>
                <w:sz w:val="17"/>
                <w:szCs w:val="17"/>
                <w:color w:val="auto"/>
                <w:w w:val="94"/>
              </w:rPr>
              <w:t>TFDE</w:t>
            </w:r>
          </w:p>
        </w:tc>
        <w:tc>
          <w:tcPr>
            <w:tcW w:w="2740" w:type="dxa"/>
            <w:vAlign w:val="bottom"/>
            <w:gridSpan w:val="2"/>
          </w:tcPr>
          <w:p>
            <w:pPr>
              <w:jc w:val="center"/>
              <w:ind w:right="120"/>
              <w:spacing w:after="0"/>
              <w:rPr>
                <w:sz w:val="20"/>
                <w:szCs w:val="20"/>
                <w:color w:val="auto"/>
              </w:rPr>
            </w:pPr>
            <w:r>
              <w:rPr>
                <w:rFonts w:ascii="Arial" w:cs="Arial" w:eastAsia="Arial" w:hAnsi="Arial"/>
                <w:sz w:val="17"/>
                <w:szCs w:val="17"/>
                <w:color w:val="auto"/>
                <w:w w:val="88"/>
              </w:rPr>
              <w:t>June 2021</w:t>
            </w:r>
          </w:p>
        </w:tc>
        <w:tc>
          <w:tcPr>
            <w:tcW w:w="1200" w:type="dxa"/>
            <w:vAlign w:val="bottom"/>
          </w:tcPr>
          <w:p>
            <w:pPr>
              <w:jc w:val="center"/>
              <w:spacing w:after="0"/>
              <w:rPr>
                <w:sz w:val="20"/>
                <w:szCs w:val="20"/>
                <w:color w:val="auto"/>
              </w:rPr>
            </w:pPr>
            <w:r>
              <w:rPr>
                <w:rFonts w:ascii="Arial" w:cs="Arial" w:eastAsia="Arial" w:hAnsi="Arial"/>
                <w:sz w:val="17"/>
                <w:szCs w:val="17"/>
                <w:color w:val="auto"/>
                <w:w w:val="90"/>
              </w:rPr>
              <w:t>2026-2031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0" w:type="dxa"/>
            <w:vAlign w:val="bottom"/>
            <w:shd w:val="clear" w:color="auto" w:fill="E5FFFF"/>
          </w:tcPr>
          <w:p>
            <w:pPr>
              <w:spacing w:after="0"/>
              <w:rPr>
                <w:sz w:val="20"/>
                <w:szCs w:val="20"/>
                <w:color w:val="auto"/>
              </w:rPr>
            </w:pPr>
            <w:r>
              <w:rPr>
                <w:rFonts w:ascii="Arial" w:cs="Arial" w:eastAsia="Arial" w:hAnsi="Arial"/>
                <w:sz w:val="17"/>
                <w:szCs w:val="17"/>
                <w:b w:val="1"/>
                <w:bCs w:val="1"/>
                <w:color w:val="auto"/>
              </w:rPr>
              <w:t>11</w:t>
            </w:r>
          </w:p>
        </w:tc>
        <w:tc>
          <w:tcPr>
            <w:tcW w:w="2960" w:type="dxa"/>
            <w:vAlign w:val="bottom"/>
            <w:gridSpan w:val="2"/>
            <w:shd w:val="clear" w:color="auto" w:fill="E5FFFF"/>
          </w:tcPr>
          <w:p>
            <w:pPr>
              <w:ind w:left="140"/>
              <w:spacing w:after="0"/>
              <w:rPr>
                <w:sz w:val="20"/>
                <w:szCs w:val="20"/>
                <w:color w:val="auto"/>
              </w:rPr>
            </w:pPr>
            <w:r>
              <w:rPr>
                <w:rFonts w:ascii="Arial" w:cs="Arial" w:eastAsia="Arial" w:hAnsi="Arial"/>
                <w:sz w:val="17"/>
                <w:szCs w:val="17"/>
                <w:i w:val="1"/>
                <w:iCs w:val="1"/>
                <w:color w:val="auto"/>
              </w:rPr>
              <w:t>GasLog Greece</w:t>
            </w:r>
          </w:p>
        </w:tc>
        <w:tc>
          <w:tcPr>
            <w:tcW w:w="62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89"/>
              </w:rPr>
              <w:t>2016</w:t>
            </w:r>
          </w:p>
        </w:tc>
        <w:tc>
          <w:tcPr>
            <w:tcW w:w="120" w:type="dxa"/>
            <w:vAlign w:val="bottom"/>
            <w:shd w:val="clear" w:color="auto" w:fill="E5FFFF"/>
          </w:tcPr>
          <w:p>
            <w:pPr>
              <w:spacing w:after="0"/>
              <w:rPr>
                <w:sz w:val="18"/>
                <w:szCs w:val="18"/>
                <w:color w:val="auto"/>
              </w:rPr>
            </w:pPr>
          </w:p>
        </w:tc>
        <w:tc>
          <w:tcPr>
            <w:tcW w:w="102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91"/>
              </w:rPr>
              <w:t>174,000</w:t>
            </w:r>
          </w:p>
        </w:tc>
        <w:tc>
          <w:tcPr>
            <w:tcW w:w="120" w:type="dxa"/>
            <w:vAlign w:val="bottom"/>
            <w:shd w:val="clear" w:color="auto" w:fill="E5FFFF"/>
          </w:tcPr>
          <w:p>
            <w:pPr>
              <w:spacing w:after="0"/>
              <w:rPr>
                <w:sz w:val="18"/>
                <w:szCs w:val="18"/>
                <w:color w:val="auto"/>
              </w:rPr>
            </w:pPr>
          </w:p>
        </w:tc>
        <w:tc>
          <w:tcPr>
            <w:tcW w:w="1680" w:type="dxa"/>
            <w:vAlign w:val="bottom"/>
            <w:gridSpan w:val="2"/>
            <w:shd w:val="clear" w:color="auto" w:fill="E5FFFF"/>
          </w:tcPr>
          <w:p>
            <w:pPr>
              <w:jc w:val="center"/>
              <w:ind w:right="120"/>
              <w:spacing w:after="0"/>
              <w:rPr>
                <w:sz w:val="20"/>
                <w:szCs w:val="20"/>
                <w:color w:val="auto"/>
              </w:rPr>
            </w:pPr>
            <w:r>
              <w:rPr>
                <w:rFonts w:ascii="Arial" w:cs="Arial" w:eastAsia="Arial" w:hAnsi="Arial"/>
                <w:sz w:val="17"/>
                <w:szCs w:val="17"/>
                <w:color w:val="auto"/>
                <w:w w:val="95"/>
              </w:rPr>
              <w:t>Shell</w:t>
            </w:r>
          </w:p>
        </w:tc>
        <w:tc>
          <w:tcPr>
            <w:tcW w:w="1240" w:type="dxa"/>
            <w:vAlign w:val="bottom"/>
            <w:gridSpan w:val="2"/>
            <w:shd w:val="clear" w:color="auto" w:fill="E5FFFF"/>
          </w:tcPr>
          <w:p>
            <w:pPr>
              <w:jc w:val="center"/>
              <w:ind w:right="140"/>
              <w:spacing w:after="0"/>
              <w:rPr>
                <w:sz w:val="20"/>
                <w:szCs w:val="20"/>
                <w:color w:val="auto"/>
              </w:rPr>
            </w:pPr>
            <w:r>
              <w:rPr>
                <w:rFonts w:ascii="Arial" w:cs="Arial" w:eastAsia="Arial" w:hAnsi="Arial"/>
                <w:sz w:val="17"/>
                <w:szCs w:val="17"/>
                <w:color w:val="auto"/>
                <w:w w:val="94"/>
              </w:rPr>
              <w:t>TFDE</w:t>
            </w:r>
          </w:p>
        </w:tc>
        <w:tc>
          <w:tcPr>
            <w:tcW w:w="2740" w:type="dxa"/>
            <w:vAlign w:val="bottom"/>
            <w:gridSpan w:val="2"/>
            <w:shd w:val="clear" w:color="auto" w:fill="E5FFFF"/>
          </w:tcPr>
          <w:p>
            <w:pPr>
              <w:jc w:val="center"/>
              <w:ind w:right="120"/>
              <w:spacing w:after="0"/>
              <w:rPr>
                <w:sz w:val="20"/>
                <w:szCs w:val="20"/>
                <w:color w:val="auto"/>
              </w:rPr>
            </w:pPr>
            <w:r>
              <w:rPr>
                <w:rFonts w:ascii="Arial" w:cs="Arial" w:eastAsia="Arial" w:hAnsi="Arial"/>
                <w:sz w:val="17"/>
                <w:szCs w:val="17"/>
                <w:color w:val="auto"/>
                <w:w w:val="91"/>
              </w:rPr>
              <w:t>March 2026</w:t>
            </w:r>
          </w:p>
        </w:tc>
        <w:tc>
          <w:tcPr>
            <w:tcW w:w="120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89"/>
              </w:rPr>
              <w:t>2031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7"/>
                <w:szCs w:val="17"/>
                <w:b w:val="1"/>
                <w:bCs w:val="1"/>
                <w:color w:val="auto"/>
              </w:rPr>
              <w:t>12</w:t>
            </w:r>
          </w:p>
        </w:tc>
        <w:tc>
          <w:tcPr>
            <w:tcW w:w="2960" w:type="dxa"/>
            <w:vAlign w:val="bottom"/>
            <w:gridSpan w:val="2"/>
          </w:tcPr>
          <w:p>
            <w:pPr>
              <w:ind w:left="140"/>
              <w:spacing w:after="0"/>
              <w:rPr>
                <w:sz w:val="20"/>
                <w:szCs w:val="20"/>
                <w:color w:val="auto"/>
              </w:rPr>
            </w:pPr>
            <w:r>
              <w:rPr>
                <w:rFonts w:ascii="Arial" w:cs="Arial" w:eastAsia="Arial" w:hAnsi="Arial"/>
                <w:sz w:val="17"/>
                <w:szCs w:val="17"/>
                <w:i w:val="1"/>
                <w:iCs w:val="1"/>
                <w:color w:val="auto"/>
              </w:rPr>
              <w:t>GasLog Geneva</w:t>
            </w:r>
          </w:p>
        </w:tc>
        <w:tc>
          <w:tcPr>
            <w:tcW w:w="620" w:type="dxa"/>
            <w:vAlign w:val="bottom"/>
          </w:tcPr>
          <w:p>
            <w:pPr>
              <w:jc w:val="center"/>
              <w:spacing w:after="0"/>
              <w:rPr>
                <w:sz w:val="20"/>
                <w:szCs w:val="20"/>
                <w:color w:val="auto"/>
              </w:rPr>
            </w:pPr>
            <w:r>
              <w:rPr>
                <w:rFonts w:ascii="Arial" w:cs="Arial" w:eastAsia="Arial" w:hAnsi="Arial"/>
                <w:sz w:val="17"/>
                <w:szCs w:val="17"/>
                <w:color w:val="auto"/>
                <w:w w:val="89"/>
              </w:rPr>
              <w:t>2016</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w w:val="91"/>
              </w:rPr>
              <w:t>174,000</w:t>
            </w:r>
          </w:p>
        </w:tc>
        <w:tc>
          <w:tcPr>
            <w:tcW w:w="12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7"/>
                <w:szCs w:val="17"/>
                <w:color w:val="auto"/>
                <w:w w:val="95"/>
              </w:rPr>
              <w:t>Shell</w:t>
            </w:r>
          </w:p>
        </w:tc>
        <w:tc>
          <w:tcPr>
            <w:tcW w:w="1240" w:type="dxa"/>
            <w:vAlign w:val="bottom"/>
            <w:gridSpan w:val="2"/>
          </w:tcPr>
          <w:p>
            <w:pPr>
              <w:jc w:val="center"/>
              <w:ind w:right="140"/>
              <w:spacing w:after="0"/>
              <w:rPr>
                <w:sz w:val="20"/>
                <w:szCs w:val="20"/>
                <w:color w:val="auto"/>
              </w:rPr>
            </w:pPr>
            <w:r>
              <w:rPr>
                <w:rFonts w:ascii="Arial" w:cs="Arial" w:eastAsia="Arial" w:hAnsi="Arial"/>
                <w:sz w:val="17"/>
                <w:szCs w:val="17"/>
                <w:color w:val="auto"/>
                <w:w w:val="94"/>
              </w:rPr>
              <w:t>TFDE</w:t>
            </w:r>
          </w:p>
        </w:tc>
        <w:tc>
          <w:tcPr>
            <w:tcW w:w="2740" w:type="dxa"/>
            <w:vAlign w:val="bottom"/>
            <w:gridSpan w:val="2"/>
          </w:tcPr>
          <w:p>
            <w:pPr>
              <w:jc w:val="center"/>
              <w:ind w:right="120"/>
              <w:spacing w:after="0"/>
              <w:rPr>
                <w:sz w:val="20"/>
                <w:szCs w:val="20"/>
                <w:color w:val="auto"/>
              </w:rPr>
            </w:pPr>
            <w:r>
              <w:rPr>
                <w:rFonts w:ascii="Arial" w:cs="Arial" w:eastAsia="Arial" w:hAnsi="Arial"/>
                <w:sz w:val="17"/>
                <w:szCs w:val="17"/>
                <w:color w:val="auto"/>
                <w:w w:val="87"/>
              </w:rPr>
              <w:t>September 2023</w:t>
            </w:r>
          </w:p>
        </w:tc>
        <w:tc>
          <w:tcPr>
            <w:tcW w:w="1200" w:type="dxa"/>
            <w:vAlign w:val="bottom"/>
          </w:tcPr>
          <w:p>
            <w:pPr>
              <w:jc w:val="center"/>
              <w:spacing w:after="0"/>
              <w:rPr>
                <w:sz w:val="20"/>
                <w:szCs w:val="20"/>
                <w:color w:val="auto"/>
              </w:rPr>
            </w:pPr>
            <w:r>
              <w:rPr>
                <w:rFonts w:ascii="Arial" w:cs="Arial" w:eastAsia="Arial" w:hAnsi="Arial"/>
                <w:sz w:val="17"/>
                <w:szCs w:val="17"/>
                <w:color w:val="auto"/>
                <w:w w:val="90"/>
              </w:rPr>
              <w:t>2028-2031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0" w:type="dxa"/>
            <w:vAlign w:val="bottom"/>
            <w:shd w:val="clear" w:color="auto" w:fill="E5FFFF"/>
          </w:tcPr>
          <w:p>
            <w:pPr>
              <w:spacing w:after="0"/>
              <w:rPr>
                <w:sz w:val="20"/>
                <w:szCs w:val="20"/>
                <w:color w:val="auto"/>
              </w:rPr>
            </w:pPr>
            <w:r>
              <w:rPr>
                <w:rFonts w:ascii="Arial" w:cs="Arial" w:eastAsia="Arial" w:hAnsi="Arial"/>
                <w:sz w:val="17"/>
                <w:szCs w:val="17"/>
                <w:b w:val="1"/>
                <w:bCs w:val="1"/>
                <w:color w:val="auto"/>
              </w:rPr>
              <w:t>13</w:t>
            </w:r>
          </w:p>
        </w:tc>
        <w:tc>
          <w:tcPr>
            <w:tcW w:w="2960" w:type="dxa"/>
            <w:vAlign w:val="bottom"/>
            <w:gridSpan w:val="2"/>
            <w:shd w:val="clear" w:color="auto" w:fill="E5FFFF"/>
          </w:tcPr>
          <w:p>
            <w:pPr>
              <w:ind w:left="140"/>
              <w:spacing w:after="0"/>
              <w:rPr>
                <w:sz w:val="20"/>
                <w:szCs w:val="20"/>
                <w:color w:val="auto"/>
              </w:rPr>
            </w:pPr>
            <w:r>
              <w:rPr>
                <w:rFonts w:ascii="Arial" w:cs="Arial" w:eastAsia="Arial" w:hAnsi="Arial"/>
                <w:sz w:val="17"/>
                <w:szCs w:val="17"/>
                <w:i w:val="1"/>
                <w:iCs w:val="1"/>
                <w:color w:val="auto"/>
              </w:rPr>
              <w:t>GasLog Gibraltar</w:t>
            </w:r>
          </w:p>
        </w:tc>
        <w:tc>
          <w:tcPr>
            <w:tcW w:w="62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89"/>
              </w:rPr>
              <w:t>2016</w:t>
            </w:r>
          </w:p>
        </w:tc>
        <w:tc>
          <w:tcPr>
            <w:tcW w:w="120" w:type="dxa"/>
            <w:vAlign w:val="bottom"/>
            <w:shd w:val="clear" w:color="auto" w:fill="E5FFFF"/>
          </w:tcPr>
          <w:p>
            <w:pPr>
              <w:spacing w:after="0"/>
              <w:rPr>
                <w:sz w:val="18"/>
                <w:szCs w:val="18"/>
                <w:color w:val="auto"/>
              </w:rPr>
            </w:pPr>
          </w:p>
        </w:tc>
        <w:tc>
          <w:tcPr>
            <w:tcW w:w="102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91"/>
              </w:rPr>
              <w:t>174,000</w:t>
            </w:r>
          </w:p>
        </w:tc>
        <w:tc>
          <w:tcPr>
            <w:tcW w:w="120" w:type="dxa"/>
            <w:vAlign w:val="bottom"/>
            <w:shd w:val="clear" w:color="auto" w:fill="E5FFFF"/>
          </w:tcPr>
          <w:p>
            <w:pPr>
              <w:spacing w:after="0"/>
              <w:rPr>
                <w:sz w:val="18"/>
                <w:szCs w:val="18"/>
                <w:color w:val="auto"/>
              </w:rPr>
            </w:pPr>
          </w:p>
        </w:tc>
        <w:tc>
          <w:tcPr>
            <w:tcW w:w="1680" w:type="dxa"/>
            <w:vAlign w:val="bottom"/>
            <w:gridSpan w:val="2"/>
            <w:shd w:val="clear" w:color="auto" w:fill="E5FFFF"/>
          </w:tcPr>
          <w:p>
            <w:pPr>
              <w:jc w:val="center"/>
              <w:ind w:right="120"/>
              <w:spacing w:after="0"/>
              <w:rPr>
                <w:sz w:val="20"/>
                <w:szCs w:val="20"/>
                <w:color w:val="auto"/>
              </w:rPr>
            </w:pPr>
            <w:r>
              <w:rPr>
                <w:rFonts w:ascii="Arial" w:cs="Arial" w:eastAsia="Arial" w:hAnsi="Arial"/>
                <w:sz w:val="17"/>
                <w:szCs w:val="17"/>
                <w:color w:val="auto"/>
                <w:w w:val="95"/>
              </w:rPr>
              <w:t>Shell</w:t>
            </w:r>
          </w:p>
        </w:tc>
        <w:tc>
          <w:tcPr>
            <w:tcW w:w="1240" w:type="dxa"/>
            <w:vAlign w:val="bottom"/>
            <w:gridSpan w:val="2"/>
            <w:shd w:val="clear" w:color="auto" w:fill="E5FFFF"/>
          </w:tcPr>
          <w:p>
            <w:pPr>
              <w:jc w:val="center"/>
              <w:ind w:right="140"/>
              <w:spacing w:after="0"/>
              <w:rPr>
                <w:sz w:val="20"/>
                <w:szCs w:val="20"/>
                <w:color w:val="auto"/>
              </w:rPr>
            </w:pPr>
            <w:r>
              <w:rPr>
                <w:rFonts w:ascii="Arial" w:cs="Arial" w:eastAsia="Arial" w:hAnsi="Arial"/>
                <w:sz w:val="17"/>
                <w:szCs w:val="17"/>
                <w:color w:val="auto"/>
                <w:w w:val="94"/>
              </w:rPr>
              <w:t>TFDE</w:t>
            </w:r>
          </w:p>
        </w:tc>
        <w:tc>
          <w:tcPr>
            <w:tcW w:w="2740" w:type="dxa"/>
            <w:vAlign w:val="bottom"/>
            <w:gridSpan w:val="2"/>
            <w:shd w:val="clear" w:color="auto" w:fill="E5FFFF"/>
          </w:tcPr>
          <w:p>
            <w:pPr>
              <w:jc w:val="center"/>
              <w:ind w:right="120"/>
              <w:spacing w:after="0"/>
              <w:rPr>
                <w:sz w:val="20"/>
                <w:szCs w:val="20"/>
                <w:color w:val="auto"/>
              </w:rPr>
            </w:pPr>
            <w:r>
              <w:rPr>
                <w:rFonts w:ascii="Arial" w:cs="Arial" w:eastAsia="Arial" w:hAnsi="Arial"/>
                <w:sz w:val="17"/>
                <w:szCs w:val="17"/>
                <w:color w:val="auto"/>
                <w:w w:val="91"/>
              </w:rPr>
              <w:t>October 2023</w:t>
            </w:r>
          </w:p>
        </w:tc>
        <w:tc>
          <w:tcPr>
            <w:tcW w:w="120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90"/>
              </w:rPr>
              <w:t>2028-2031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7"/>
                <w:szCs w:val="17"/>
                <w:b w:val="1"/>
                <w:bCs w:val="1"/>
                <w:color w:val="auto"/>
              </w:rPr>
              <w:t>14</w:t>
            </w:r>
          </w:p>
        </w:tc>
        <w:tc>
          <w:tcPr>
            <w:tcW w:w="2960" w:type="dxa"/>
            <w:vAlign w:val="bottom"/>
            <w:gridSpan w:val="2"/>
          </w:tcPr>
          <w:p>
            <w:pPr>
              <w:ind w:left="140"/>
              <w:spacing w:after="0"/>
              <w:rPr>
                <w:sz w:val="20"/>
                <w:szCs w:val="20"/>
                <w:color w:val="auto"/>
              </w:rPr>
            </w:pPr>
            <w:r>
              <w:rPr>
                <w:rFonts w:ascii="Arial" w:cs="Arial" w:eastAsia="Arial" w:hAnsi="Arial"/>
                <w:sz w:val="17"/>
                <w:szCs w:val="17"/>
                <w:i w:val="1"/>
                <w:iCs w:val="1"/>
                <w:color w:val="auto"/>
              </w:rPr>
              <w:t>Methane Becki Anne</w:t>
            </w:r>
          </w:p>
        </w:tc>
        <w:tc>
          <w:tcPr>
            <w:tcW w:w="620" w:type="dxa"/>
            <w:vAlign w:val="bottom"/>
          </w:tcPr>
          <w:p>
            <w:pPr>
              <w:jc w:val="center"/>
              <w:spacing w:after="0"/>
              <w:rPr>
                <w:sz w:val="20"/>
                <w:szCs w:val="20"/>
                <w:color w:val="auto"/>
              </w:rPr>
            </w:pPr>
            <w:r>
              <w:rPr>
                <w:rFonts w:ascii="Arial" w:cs="Arial" w:eastAsia="Arial" w:hAnsi="Arial"/>
                <w:sz w:val="17"/>
                <w:szCs w:val="17"/>
                <w:color w:val="auto"/>
                <w:w w:val="89"/>
              </w:rPr>
              <w:t>2010</w:t>
            </w:r>
          </w:p>
        </w:tc>
        <w:tc>
          <w:tcPr>
            <w:tcW w:w="1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w w:val="91"/>
              </w:rPr>
              <w:t>170,000</w:t>
            </w:r>
          </w:p>
        </w:tc>
        <w:tc>
          <w:tcPr>
            <w:tcW w:w="120" w:type="dxa"/>
            <w:vAlign w:val="bottom"/>
          </w:tcPr>
          <w:p>
            <w:pPr>
              <w:spacing w:after="0"/>
              <w:rPr>
                <w:sz w:val="19"/>
                <w:szCs w:val="19"/>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7"/>
                <w:szCs w:val="17"/>
                <w:color w:val="auto"/>
                <w:w w:val="95"/>
              </w:rPr>
              <w:t>Shell</w:t>
            </w:r>
          </w:p>
        </w:tc>
        <w:tc>
          <w:tcPr>
            <w:tcW w:w="1240" w:type="dxa"/>
            <w:vAlign w:val="bottom"/>
            <w:gridSpan w:val="2"/>
          </w:tcPr>
          <w:p>
            <w:pPr>
              <w:jc w:val="center"/>
              <w:ind w:right="140"/>
              <w:spacing w:after="0"/>
              <w:rPr>
                <w:sz w:val="20"/>
                <w:szCs w:val="20"/>
                <w:color w:val="auto"/>
              </w:rPr>
            </w:pPr>
            <w:r>
              <w:rPr>
                <w:rFonts w:ascii="Arial" w:cs="Arial" w:eastAsia="Arial" w:hAnsi="Arial"/>
                <w:sz w:val="17"/>
                <w:szCs w:val="17"/>
                <w:color w:val="auto"/>
                <w:w w:val="94"/>
              </w:rPr>
              <w:t>TFDE</w:t>
            </w:r>
          </w:p>
        </w:tc>
        <w:tc>
          <w:tcPr>
            <w:tcW w:w="2740" w:type="dxa"/>
            <w:vAlign w:val="bottom"/>
            <w:gridSpan w:val="2"/>
          </w:tcPr>
          <w:p>
            <w:pPr>
              <w:jc w:val="center"/>
              <w:ind w:right="120"/>
              <w:spacing w:after="0"/>
              <w:rPr>
                <w:sz w:val="20"/>
                <w:szCs w:val="20"/>
                <w:color w:val="auto"/>
              </w:rPr>
            </w:pPr>
            <w:r>
              <w:rPr>
                <w:rFonts w:ascii="Arial" w:cs="Arial" w:eastAsia="Arial" w:hAnsi="Arial"/>
                <w:sz w:val="17"/>
                <w:szCs w:val="17"/>
                <w:color w:val="auto"/>
                <w:w w:val="91"/>
              </w:rPr>
              <w:t>March 2024</w:t>
            </w:r>
          </w:p>
        </w:tc>
        <w:tc>
          <w:tcPr>
            <w:tcW w:w="1200" w:type="dxa"/>
            <w:vAlign w:val="bottom"/>
          </w:tcPr>
          <w:p>
            <w:pPr>
              <w:jc w:val="center"/>
              <w:spacing w:after="0"/>
              <w:rPr>
                <w:sz w:val="20"/>
                <w:szCs w:val="20"/>
                <w:color w:val="auto"/>
              </w:rPr>
            </w:pPr>
            <w:r>
              <w:rPr>
                <w:rFonts w:ascii="Arial" w:cs="Arial" w:eastAsia="Arial" w:hAnsi="Arial"/>
                <w:sz w:val="17"/>
                <w:szCs w:val="17"/>
                <w:color w:val="auto"/>
                <w:w w:val="90"/>
              </w:rPr>
              <w:t>2027-2029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6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7628255</wp:posOffset>
            </wp:positionH>
            <wp:positionV relativeFrom="paragraph">
              <wp:posOffset>-30480</wp:posOffset>
            </wp:positionV>
            <wp:extent cx="12700" cy="311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12700" cy="311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2240" w:h="15840" w:orient="portrait"/>
          <w:cols w:equalWidth="0" w:num="1">
            <w:col w:w="12040"/>
          </w:cols>
          <w:pgMar w:left="120" w:top="212" w:right="80" w:bottom="0" w:gutter="0" w:footer="0" w:header="0"/>
        </w:sectPr>
      </w:pPr>
    </w:p>
    <w:bookmarkStart w:id="10" w:name="page11"/>
    <w:bookmarkEnd w:id="10"/>
    <w:tbl>
      <w:tblPr>
        <w:tblLayout w:type="fixed"/>
        <w:tblInd w:w="6" w:type="dxa"/>
        <w:tblCellMar>
          <w:top w:w="0" w:type="dxa"/>
          <w:left w:w="0" w:type="dxa"/>
          <w:bottom w:w="0" w:type="dxa"/>
          <w:right w:w="0" w:type="dxa"/>
        </w:tblCellMar>
      </w:tblPr>
      <w:tr>
        <w:trPr>
          <w:trHeight w:val="216"/>
        </w:trPr>
        <w:tc>
          <w:tcPr>
            <w:tcW w:w="3260" w:type="dxa"/>
            <w:vAlign w:val="bottom"/>
            <w:gridSpan w:val="3"/>
          </w:tcPr>
          <w:p>
            <w:pPr>
              <w:spacing w:after="0"/>
              <w:rPr>
                <w:sz w:val="20"/>
                <w:szCs w:val="20"/>
                <w:color w:val="auto"/>
              </w:rPr>
            </w:pPr>
            <w:r>
              <w:rPr>
                <w:rFonts w:ascii="Arial" w:cs="Arial" w:eastAsia="Arial" w:hAnsi="Arial"/>
                <w:sz w:val="17"/>
                <w:szCs w:val="17"/>
                <w:b w:val="1"/>
                <w:bCs w:val="1"/>
                <w:i w:val="1"/>
                <w:iCs w:val="1"/>
                <w:color w:val="auto"/>
              </w:rPr>
              <w:t>Bareboat Vessel</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434"/>
        </w:trPr>
        <w:tc>
          <w:tcPr>
            <w:tcW w:w="2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3"/>
              </w:rPr>
              <w:t>Cargo</w:t>
            </w: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4"/>
        </w:trPr>
        <w:tc>
          <w:tcPr>
            <w:tcW w:w="2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140"/>
              <w:spacing w:after="0"/>
              <w:rPr>
                <w:sz w:val="20"/>
                <w:szCs w:val="20"/>
                <w:color w:val="auto"/>
              </w:rPr>
            </w:pPr>
            <w:r>
              <w:rPr>
                <w:rFonts w:ascii="Arial" w:cs="Arial" w:eastAsia="Arial" w:hAnsi="Arial"/>
                <w:sz w:val="17"/>
                <w:szCs w:val="17"/>
                <w:b w:val="1"/>
                <w:bCs w:val="1"/>
                <w:color w:val="auto"/>
              </w:rPr>
              <w:t>Year</w:t>
            </w:r>
          </w:p>
        </w:tc>
        <w:tc>
          <w:tcPr>
            <w:tcW w:w="114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3"/>
              </w:rPr>
              <w:t>Capacity</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5"/>
              </w:rPr>
              <w:t>Charter</w:t>
            </w:r>
          </w:p>
        </w:tc>
        <w:tc>
          <w:tcPr>
            <w:tcW w:w="1200" w:type="dxa"/>
            <w:vAlign w:val="bottom"/>
          </w:tcPr>
          <w:p>
            <w:pPr>
              <w:jc w:val="center"/>
              <w:spacing w:after="0"/>
              <w:rPr>
                <w:sz w:val="20"/>
                <w:szCs w:val="20"/>
                <w:color w:val="auto"/>
              </w:rPr>
            </w:pPr>
            <w:r>
              <w:rPr>
                <w:rFonts w:ascii="Arial" w:cs="Arial" w:eastAsia="Arial" w:hAnsi="Arial"/>
                <w:sz w:val="17"/>
                <w:szCs w:val="17"/>
                <w:b w:val="1"/>
                <w:bCs w:val="1"/>
                <w:color w:val="auto"/>
                <w:w w:val="92"/>
              </w:rPr>
              <w:t>Optional</w:t>
            </w:r>
          </w:p>
        </w:tc>
      </w:tr>
      <w:tr>
        <w:trPr>
          <w:trHeight w:val="230"/>
        </w:trPr>
        <w:tc>
          <w:tcPr>
            <w:tcW w:w="260" w:type="dxa"/>
            <w:vAlign w:val="bottom"/>
          </w:tcPr>
          <w:p>
            <w:pPr>
              <w:spacing w:after="0"/>
              <w:rPr>
                <w:sz w:val="19"/>
                <w:szCs w:val="19"/>
                <w:color w:val="auto"/>
              </w:rPr>
            </w:pPr>
          </w:p>
        </w:tc>
        <w:tc>
          <w:tcPr>
            <w:tcW w:w="3000" w:type="dxa"/>
            <w:vAlign w:val="bottom"/>
            <w:gridSpan w:val="2"/>
          </w:tcPr>
          <w:p>
            <w:pPr>
              <w:ind w:left="840"/>
              <w:spacing w:after="0"/>
              <w:rPr>
                <w:sz w:val="20"/>
                <w:szCs w:val="20"/>
                <w:color w:val="auto"/>
              </w:rPr>
            </w:pPr>
            <w:r>
              <w:rPr>
                <w:rFonts w:ascii="Arial" w:cs="Arial" w:eastAsia="Arial" w:hAnsi="Arial"/>
                <w:sz w:val="17"/>
                <w:szCs w:val="17"/>
                <w:b w:val="1"/>
                <w:bCs w:val="1"/>
                <w:color w:val="auto"/>
              </w:rPr>
              <w:t>Vessel Name</w:t>
            </w:r>
          </w:p>
        </w:tc>
        <w:tc>
          <w:tcPr>
            <w:tcW w:w="740" w:type="dxa"/>
            <w:vAlign w:val="bottom"/>
            <w:gridSpan w:val="2"/>
          </w:tcPr>
          <w:p>
            <w:pPr>
              <w:ind w:left="120"/>
              <w:spacing w:after="0"/>
              <w:rPr>
                <w:sz w:val="20"/>
                <w:szCs w:val="20"/>
                <w:color w:val="auto"/>
              </w:rPr>
            </w:pPr>
            <w:r>
              <w:rPr>
                <w:rFonts w:ascii="Arial" w:cs="Arial" w:eastAsia="Arial" w:hAnsi="Arial"/>
                <w:sz w:val="17"/>
                <w:szCs w:val="17"/>
                <w:b w:val="1"/>
                <w:bCs w:val="1"/>
                <w:color w:val="auto"/>
              </w:rPr>
              <w:t>Built</w:t>
            </w:r>
          </w:p>
        </w:tc>
        <w:tc>
          <w:tcPr>
            <w:tcW w:w="114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0"/>
              </w:rPr>
              <w:t>(cbm)</w:t>
            </w:r>
          </w:p>
        </w:tc>
        <w:tc>
          <w:tcPr>
            <w:tcW w:w="168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4"/>
              </w:rPr>
              <w:t>Charterer</w:t>
            </w:r>
          </w:p>
        </w:tc>
        <w:tc>
          <w:tcPr>
            <w:tcW w:w="124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0"/>
              </w:rPr>
              <w:t>Propulsion</w:t>
            </w:r>
          </w:p>
        </w:tc>
        <w:tc>
          <w:tcPr>
            <w:tcW w:w="2740" w:type="dxa"/>
            <w:vAlign w:val="bottom"/>
            <w:gridSpan w:val="2"/>
          </w:tcPr>
          <w:p>
            <w:pPr>
              <w:jc w:val="center"/>
              <w:ind w:right="120"/>
              <w:spacing w:after="0" w:line="229" w:lineRule="exact"/>
              <w:rPr>
                <w:sz w:val="20"/>
                <w:szCs w:val="20"/>
                <w:color w:val="auto"/>
              </w:rPr>
            </w:pPr>
            <w:r>
              <w:rPr>
                <w:rFonts w:ascii="Arial" w:cs="Arial" w:eastAsia="Arial" w:hAnsi="Arial"/>
                <w:sz w:val="17"/>
                <w:szCs w:val="17"/>
                <w:b w:val="1"/>
                <w:bCs w:val="1"/>
                <w:color w:val="auto"/>
                <w:w w:val="92"/>
              </w:rPr>
              <w:t>Expiration</w:t>
            </w:r>
            <w:r>
              <w:rPr>
                <w:rFonts w:ascii="Arial" w:cs="Arial" w:eastAsia="Arial" w:hAnsi="Arial"/>
                <w:sz w:val="22"/>
                <w:szCs w:val="22"/>
                <w:b w:val="1"/>
                <w:bCs w:val="1"/>
                <w:color w:val="auto"/>
                <w:w w:val="92"/>
                <w:vertAlign w:val="superscript"/>
              </w:rPr>
              <w:t>(1)</w:t>
            </w:r>
          </w:p>
        </w:tc>
        <w:tc>
          <w:tcPr>
            <w:tcW w:w="1200" w:type="dxa"/>
            <w:vAlign w:val="bottom"/>
          </w:tcPr>
          <w:p>
            <w:pPr>
              <w:jc w:val="center"/>
              <w:spacing w:after="0" w:line="229" w:lineRule="exact"/>
              <w:rPr>
                <w:sz w:val="20"/>
                <w:szCs w:val="20"/>
                <w:color w:val="auto"/>
              </w:rPr>
            </w:pPr>
            <w:r>
              <w:rPr>
                <w:rFonts w:ascii="Arial" w:cs="Arial" w:eastAsia="Arial" w:hAnsi="Arial"/>
                <w:sz w:val="17"/>
                <w:szCs w:val="17"/>
                <w:b w:val="1"/>
                <w:bCs w:val="1"/>
                <w:color w:val="auto"/>
                <w:w w:val="87"/>
              </w:rPr>
              <w:t>Period</w:t>
            </w:r>
            <w:r>
              <w:rPr>
                <w:rFonts w:ascii="Arial" w:cs="Arial" w:eastAsia="Arial" w:hAnsi="Arial"/>
                <w:sz w:val="22"/>
                <w:szCs w:val="22"/>
                <w:b w:val="1"/>
                <w:bCs w:val="1"/>
                <w:color w:val="auto"/>
                <w:w w:val="87"/>
                <w:vertAlign w:val="superscript"/>
              </w:rPr>
              <w:t>(2)</w:t>
            </w:r>
          </w:p>
        </w:tc>
      </w:tr>
      <w:tr>
        <w:trPr>
          <w:trHeight w:val="208"/>
        </w:trPr>
        <w:tc>
          <w:tcPr>
            <w:tcW w:w="26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7"/>
                <w:szCs w:val="17"/>
                <w:b w:val="1"/>
                <w:bCs w:val="1"/>
                <w:color w:val="auto"/>
              </w:rPr>
              <w:t>1</w:t>
            </w:r>
          </w:p>
        </w:tc>
        <w:tc>
          <w:tcPr>
            <w:tcW w:w="2880" w:type="dxa"/>
            <w:vAlign w:val="bottom"/>
            <w:tcBorders>
              <w:top w:val="single" w:sz="8" w:color="auto"/>
            </w:tcBorders>
            <w:shd w:val="clear" w:color="auto" w:fill="E5FFFF"/>
          </w:tcPr>
          <w:p>
            <w:pPr>
              <w:ind w:left="180"/>
              <w:spacing w:after="0" w:line="208" w:lineRule="exact"/>
              <w:rPr>
                <w:sz w:val="20"/>
                <w:szCs w:val="20"/>
                <w:color w:val="auto"/>
              </w:rPr>
            </w:pPr>
            <w:r>
              <w:rPr>
                <w:rFonts w:ascii="Arial" w:cs="Arial" w:eastAsia="Arial" w:hAnsi="Arial"/>
                <w:sz w:val="17"/>
                <w:szCs w:val="17"/>
                <w:i w:val="1"/>
                <w:iCs w:val="1"/>
                <w:color w:val="auto"/>
              </w:rPr>
              <w:t xml:space="preserve">Methane Julia Louise </w:t>
            </w:r>
            <w:r>
              <w:rPr>
                <w:rFonts w:ascii="Arial" w:cs="Arial" w:eastAsia="Arial" w:hAnsi="Arial"/>
                <w:sz w:val="22"/>
                <w:szCs w:val="22"/>
                <w:color w:val="auto"/>
                <w:vertAlign w:val="superscript"/>
              </w:rPr>
              <w:t>(8)</w:t>
            </w:r>
          </w:p>
        </w:tc>
        <w:tc>
          <w:tcPr>
            <w:tcW w:w="120" w:type="dxa"/>
            <w:vAlign w:val="bottom"/>
            <w:tcBorders>
              <w:top w:val="single" w:sz="8" w:color="E5FFFF"/>
            </w:tcBorders>
            <w:shd w:val="clear" w:color="auto" w:fill="E5FFFF"/>
          </w:tcPr>
          <w:p>
            <w:pPr>
              <w:spacing w:after="0"/>
              <w:rPr>
                <w:sz w:val="18"/>
                <w:szCs w:val="18"/>
                <w:color w:val="auto"/>
              </w:rPr>
            </w:pPr>
          </w:p>
        </w:tc>
        <w:tc>
          <w:tcPr>
            <w:tcW w:w="620" w:type="dxa"/>
            <w:vAlign w:val="bottom"/>
            <w:tcBorders>
              <w:top w:val="single" w:sz="8" w:color="auto"/>
            </w:tcBorders>
            <w:shd w:val="clear" w:color="auto" w:fill="E5FFFF"/>
          </w:tcPr>
          <w:p>
            <w:pPr>
              <w:ind w:left="140"/>
              <w:spacing w:after="0"/>
              <w:rPr>
                <w:sz w:val="20"/>
                <w:szCs w:val="20"/>
                <w:color w:val="auto"/>
              </w:rPr>
            </w:pPr>
            <w:r>
              <w:rPr>
                <w:rFonts w:ascii="Arial" w:cs="Arial" w:eastAsia="Arial" w:hAnsi="Arial"/>
                <w:sz w:val="17"/>
                <w:szCs w:val="17"/>
                <w:color w:val="auto"/>
              </w:rPr>
              <w:t>2010</w:t>
            </w:r>
          </w:p>
        </w:tc>
        <w:tc>
          <w:tcPr>
            <w:tcW w:w="120" w:type="dxa"/>
            <w:vAlign w:val="bottom"/>
            <w:tcBorders>
              <w:top w:val="single" w:sz="8" w:color="E5FFFF"/>
            </w:tcBorders>
            <w:shd w:val="clear" w:color="auto" w:fill="E5FFFF"/>
          </w:tcPr>
          <w:p>
            <w:pPr>
              <w:spacing w:after="0"/>
              <w:rPr>
                <w:sz w:val="18"/>
                <w:szCs w:val="18"/>
                <w:color w:val="auto"/>
              </w:rPr>
            </w:pPr>
          </w:p>
        </w:tc>
        <w:tc>
          <w:tcPr>
            <w:tcW w:w="10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7"/>
                <w:szCs w:val="17"/>
                <w:color w:val="auto"/>
                <w:w w:val="91"/>
              </w:rPr>
              <w:t>170,000</w:t>
            </w:r>
          </w:p>
        </w:tc>
        <w:tc>
          <w:tcPr>
            <w:tcW w:w="120" w:type="dxa"/>
            <w:vAlign w:val="bottom"/>
            <w:tcBorders>
              <w:top w:val="single" w:sz="8" w:color="E5FFFF"/>
            </w:tcBorders>
            <w:shd w:val="clear" w:color="auto" w:fill="E5FFFF"/>
          </w:tcPr>
          <w:p>
            <w:pPr>
              <w:spacing w:after="0"/>
              <w:rPr>
                <w:sz w:val="18"/>
                <w:szCs w:val="18"/>
                <w:color w:val="auto"/>
              </w:rPr>
            </w:pPr>
          </w:p>
        </w:tc>
        <w:tc>
          <w:tcPr>
            <w:tcW w:w="15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7"/>
                <w:szCs w:val="17"/>
                <w:color w:val="auto"/>
                <w:w w:val="95"/>
              </w:rPr>
              <w:t>Shell</w:t>
            </w:r>
          </w:p>
        </w:tc>
        <w:tc>
          <w:tcPr>
            <w:tcW w:w="120" w:type="dxa"/>
            <w:vAlign w:val="bottom"/>
            <w:tcBorders>
              <w:top w:val="single" w:sz="8" w:color="E5FFFF"/>
            </w:tcBorders>
            <w:shd w:val="clear" w:color="auto" w:fill="E5FFFF"/>
          </w:tcPr>
          <w:p>
            <w:pPr>
              <w:spacing w:after="0"/>
              <w:rPr>
                <w:sz w:val="18"/>
                <w:szCs w:val="18"/>
                <w:color w:val="auto"/>
              </w:rPr>
            </w:pPr>
          </w:p>
        </w:tc>
        <w:tc>
          <w:tcPr>
            <w:tcW w:w="11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7"/>
                <w:szCs w:val="17"/>
                <w:color w:val="auto"/>
                <w:w w:val="94"/>
              </w:rPr>
              <w:t>TFDE</w:t>
            </w:r>
          </w:p>
        </w:tc>
        <w:tc>
          <w:tcPr>
            <w:tcW w:w="120" w:type="dxa"/>
            <w:vAlign w:val="bottom"/>
            <w:tcBorders>
              <w:top w:val="single" w:sz="8" w:color="E5FFFF"/>
            </w:tcBorders>
            <w:shd w:val="clear" w:color="auto" w:fill="E5FFFF"/>
          </w:tcPr>
          <w:p>
            <w:pPr>
              <w:spacing w:after="0"/>
              <w:rPr>
                <w:sz w:val="18"/>
                <w:szCs w:val="18"/>
                <w:color w:val="auto"/>
              </w:rPr>
            </w:pPr>
          </w:p>
        </w:tc>
        <w:tc>
          <w:tcPr>
            <w:tcW w:w="26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7"/>
                <w:szCs w:val="17"/>
                <w:color w:val="auto"/>
                <w:w w:val="91"/>
              </w:rPr>
              <w:t>March 2026</w:t>
            </w:r>
          </w:p>
        </w:tc>
        <w:tc>
          <w:tcPr>
            <w:tcW w:w="120" w:type="dxa"/>
            <w:vAlign w:val="bottom"/>
            <w:tcBorders>
              <w:top w:val="single" w:sz="8" w:color="E5FFFF"/>
            </w:tcBorders>
            <w:shd w:val="clear" w:color="auto" w:fill="E5FFFF"/>
          </w:tcPr>
          <w:p>
            <w:pPr>
              <w:spacing w:after="0"/>
              <w:rPr>
                <w:sz w:val="18"/>
                <w:szCs w:val="18"/>
                <w:color w:val="auto"/>
              </w:rPr>
            </w:pPr>
          </w:p>
        </w:tc>
        <w:tc>
          <w:tcPr>
            <w:tcW w:w="12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7"/>
                <w:szCs w:val="17"/>
                <w:color w:val="auto"/>
                <w:w w:val="90"/>
              </w:rPr>
              <w:t>2029-2031</w:t>
            </w:r>
          </w:p>
        </w:tc>
      </w:tr>
    </w:tbl>
    <w:p>
      <w:pPr>
        <w:spacing w:after="0" w:line="60" w:lineRule="exact"/>
        <w:rPr>
          <w:sz w:val="20"/>
          <w:szCs w:val="20"/>
          <w:color w:val="auto"/>
        </w:rPr>
      </w:pPr>
    </w:p>
    <w:p>
      <w:pPr>
        <w:ind w:left="206" w:hanging="206"/>
        <w:spacing w:after="0"/>
        <w:tabs>
          <w:tab w:leader="none" w:pos="206" w:val="left"/>
        </w:tabs>
        <w:numPr>
          <w:ilvl w:val="0"/>
          <w:numId w:val="5"/>
        </w:numPr>
        <w:rPr>
          <w:rFonts w:ascii="Arial" w:cs="Arial" w:eastAsia="Arial" w:hAnsi="Arial"/>
          <w:sz w:val="19"/>
          <w:szCs w:val="19"/>
          <w:color w:val="auto"/>
          <w:vertAlign w:val="superscript"/>
        </w:rPr>
      </w:pPr>
      <w:r>
        <w:rPr>
          <w:rFonts w:ascii="Arial" w:cs="Arial" w:eastAsia="Arial" w:hAnsi="Arial"/>
          <w:sz w:val="15"/>
          <w:szCs w:val="15"/>
          <w:color w:val="auto"/>
        </w:rPr>
        <w:t>Indicates the expiration of the initial term.</w:t>
      </w:r>
    </w:p>
    <w:p>
      <w:pPr>
        <w:ind w:left="206" w:right="20" w:hanging="206"/>
        <w:spacing w:after="0" w:line="246" w:lineRule="auto"/>
        <w:tabs>
          <w:tab w:leader="none" w:pos="197"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 xml:space="preserve">The period shown reflects the expiration of the minimum optional period and the maximum optional period. The charterer of the </w:t>
      </w:r>
      <w:r>
        <w:rPr>
          <w:rFonts w:ascii="Arial" w:cs="Arial" w:eastAsia="Arial" w:hAnsi="Arial"/>
          <w:sz w:val="13"/>
          <w:szCs w:val="13"/>
          <w:i w:val="1"/>
          <w:iCs w:val="1"/>
          <w:color w:val="auto"/>
        </w:rPr>
        <w:t>GasLog Santiago</w:t>
      </w:r>
      <w:r>
        <w:rPr>
          <w:rFonts w:ascii="Arial" w:cs="Arial" w:eastAsia="Arial" w:hAnsi="Arial"/>
          <w:sz w:val="13"/>
          <w:szCs w:val="13"/>
          <w:color w:val="auto"/>
        </w:rPr>
        <w:t xml:space="preserve"> may extend the term of this time charter for a period ranging from one to seven years, provided that the charterer provides us with advance notice of declaration. The charterer of the </w:t>
      </w:r>
      <w:r>
        <w:rPr>
          <w:rFonts w:ascii="Arial" w:cs="Arial" w:eastAsia="Arial" w:hAnsi="Arial"/>
          <w:sz w:val="13"/>
          <w:szCs w:val="13"/>
          <w:i w:val="1"/>
          <w:iCs w:val="1"/>
          <w:color w:val="auto"/>
        </w:rPr>
        <w:t>GasLog Sydney</w:t>
      </w:r>
      <w:r>
        <w:rPr>
          <w:rFonts w:ascii="Arial" w:cs="Arial" w:eastAsia="Arial" w:hAnsi="Arial"/>
          <w:sz w:val="13"/>
          <w:szCs w:val="13"/>
          <w:color w:val="auto"/>
        </w:rPr>
        <w:t xml:space="preserve"> may extend the term of this time charter for a period ranging from six to twelve months, provided that the charterer provides us with advance notice of declaration. The charterer of the </w:t>
      </w:r>
      <w:r>
        <w:rPr>
          <w:rFonts w:ascii="Arial" w:cs="Arial" w:eastAsia="Arial" w:hAnsi="Arial"/>
          <w:sz w:val="13"/>
          <w:szCs w:val="13"/>
          <w:i w:val="1"/>
          <w:iCs w:val="1"/>
          <w:color w:val="auto"/>
        </w:rPr>
        <w:t>Solaris</w:t>
      </w:r>
      <w:r>
        <w:rPr>
          <w:rFonts w:ascii="Arial" w:cs="Arial" w:eastAsia="Arial" w:hAnsi="Arial"/>
          <w:sz w:val="13"/>
          <w:szCs w:val="13"/>
          <w:color w:val="auto"/>
        </w:rPr>
        <w:t xml:space="preserve"> has a unilateral option to extend the term of the time charter for a period ranging from five to ten years, provided that the charterer provides us with advance notice of declaration of any option in accordance with the terms of the charter. The charterer of the </w:t>
      </w:r>
      <w:r>
        <w:rPr>
          <w:rFonts w:ascii="Arial" w:cs="Arial" w:eastAsia="Arial" w:hAnsi="Arial"/>
          <w:sz w:val="13"/>
          <w:szCs w:val="13"/>
          <w:i w:val="1"/>
          <w:iCs w:val="1"/>
          <w:color w:val="auto"/>
        </w:rPr>
        <w:t>Methane Heather Sally,</w:t>
      </w:r>
      <w:r>
        <w:rPr>
          <w:rFonts w:ascii="Arial" w:cs="Arial" w:eastAsia="Arial" w:hAnsi="Arial"/>
          <w:sz w:val="13"/>
          <w:szCs w:val="13"/>
          <w:color w:val="auto"/>
        </w:rPr>
        <w:t xml:space="preserve"> the </w:t>
      </w:r>
      <w:r>
        <w:rPr>
          <w:rFonts w:ascii="Arial" w:cs="Arial" w:eastAsia="Arial" w:hAnsi="Arial"/>
          <w:sz w:val="13"/>
          <w:szCs w:val="13"/>
          <w:i w:val="1"/>
          <w:iCs w:val="1"/>
          <w:color w:val="auto"/>
        </w:rPr>
        <w:t>Methane Becki Anne</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Methane Julia Louise</w:t>
      </w:r>
      <w:r>
        <w:rPr>
          <w:rFonts w:ascii="Arial" w:cs="Arial" w:eastAsia="Arial" w:hAnsi="Arial"/>
          <w:sz w:val="13"/>
          <w:szCs w:val="13"/>
          <w:color w:val="auto"/>
        </w:rPr>
        <w:t xml:space="preserve"> has unilateral options to extend the term of the related time charters for a period of either three or five years at their election, provided that the charterer provides us with advance notice of declaration of any option in accordance with the terms of the applicable charter. The charterer of the </w:t>
      </w:r>
      <w:r>
        <w:rPr>
          <w:rFonts w:ascii="Arial" w:cs="Arial" w:eastAsia="Arial" w:hAnsi="Arial"/>
          <w:sz w:val="13"/>
          <w:szCs w:val="13"/>
          <w:i w:val="1"/>
          <w:iCs w:val="1"/>
          <w:color w:val="auto"/>
        </w:rPr>
        <w:t>GasLog Greece</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GasLog Glasgow</w:t>
      </w:r>
      <w:r>
        <w:rPr>
          <w:rFonts w:ascii="Arial" w:cs="Arial" w:eastAsia="Arial" w:hAnsi="Arial"/>
          <w:sz w:val="13"/>
          <w:szCs w:val="13"/>
          <w:color w:val="auto"/>
        </w:rPr>
        <w:t xml:space="preserve"> has the right to extend the charters for a period of five years at the charterer’s option. The charterer of the </w:t>
      </w:r>
      <w:r>
        <w:rPr>
          <w:rFonts w:ascii="Arial" w:cs="Arial" w:eastAsia="Arial" w:hAnsi="Arial"/>
          <w:sz w:val="13"/>
          <w:szCs w:val="13"/>
          <w:i w:val="1"/>
          <w:iCs w:val="1"/>
          <w:color w:val="auto"/>
        </w:rPr>
        <w:t>GasLog Geneva</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GasLog</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Gibraltar </w:t>
      </w:r>
      <w:r>
        <w:rPr>
          <w:rFonts w:ascii="Arial" w:cs="Arial" w:eastAsia="Arial" w:hAnsi="Arial"/>
          <w:sz w:val="13"/>
          <w:szCs w:val="13"/>
          <w:color w:val="auto"/>
        </w:rPr>
        <w:t>has the right to extend the charter by two additional periods of five and three years, respectively, provided that the charterer provides us with advance notice of declaration. The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charterer of the </w:t>
      </w:r>
      <w:r>
        <w:rPr>
          <w:rFonts w:ascii="Arial" w:cs="Arial" w:eastAsia="Arial" w:hAnsi="Arial"/>
          <w:sz w:val="13"/>
          <w:szCs w:val="13"/>
          <w:i w:val="1"/>
          <w:iCs w:val="1"/>
          <w:color w:val="auto"/>
        </w:rPr>
        <w:t>GasLog Houston</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GasLog Genoa</w:t>
      </w:r>
      <w:r>
        <w:rPr>
          <w:rFonts w:ascii="Arial" w:cs="Arial" w:eastAsia="Arial" w:hAnsi="Arial"/>
          <w:sz w:val="13"/>
          <w:szCs w:val="13"/>
          <w:color w:val="auto"/>
        </w:rPr>
        <w:t xml:space="preserve"> has the right to extend the charters by two additional periods of three years, provided that the charterer provides us with advance notice of declaration. The charterer of the </w:t>
      </w:r>
      <w:r>
        <w:rPr>
          <w:rFonts w:ascii="Arial" w:cs="Arial" w:eastAsia="Arial" w:hAnsi="Arial"/>
          <w:sz w:val="13"/>
          <w:szCs w:val="13"/>
          <w:i w:val="1"/>
          <w:iCs w:val="1"/>
          <w:color w:val="auto"/>
        </w:rPr>
        <w:t>GasLog Hong Kong</w:t>
      </w:r>
      <w:r>
        <w:rPr>
          <w:rFonts w:ascii="Arial" w:cs="Arial" w:eastAsia="Arial" w:hAnsi="Arial"/>
          <w:sz w:val="13"/>
          <w:szCs w:val="13"/>
          <w:color w:val="auto"/>
        </w:rPr>
        <w:t xml:space="preserve"> has the right to extend the charter for a period of three years, provided that the charterer provides us with advance notice of declaration.</w:t>
      </w:r>
    </w:p>
    <w:p>
      <w:pPr>
        <w:spacing w:after="0" w:line="1" w:lineRule="exact"/>
        <w:rPr>
          <w:rFonts w:ascii="Arial" w:cs="Arial" w:eastAsia="Arial" w:hAnsi="Arial"/>
          <w:sz w:val="16"/>
          <w:szCs w:val="16"/>
          <w:color w:val="auto"/>
          <w:vertAlign w:val="superscript"/>
        </w:rPr>
      </w:pPr>
    </w:p>
    <w:p>
      <w:pPr>
        <w:ind w:left="206" w:hanging="206"/>
        <w:spacing w:after="0" w:line="181" w:lineRule="auto"/>
        <w:tabs>
          <w:tab w:leader="none" w:pos="206"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Vessels currently operating in the spot market under the Cool Pool.</w:t>
      </w:r>
    </w:p>
    <w:p>
      <w:pPr>
        <w:ind w:left="206" w:right="900" w:hanging="206"/>
        <w:spacing w:after="0" w:line="192" w:lineRule="auto"/>
        <w:tabs>
          <w:tab w:leader="none" w:pos="197" w:val="left"/>
        </w:tabs>
        <w:numPr>
          <w:ilvl w:val="0"/>
          <w:numId w:val="5"/>
        </w:numPr>
        <w:rPr>
          <w:rFonts w:ascii="Arial" w:cs="Arial" w:eastAsia="Arial" w:hAnsi="Arial"/>
          <w:sz w:val="19"/>
          <w:szCs w:val="19"/>
          <w:color w:val="auto"/>
          <w:vertAlign w:val="superscript"/>
        </w:rPr>
      </w:pPr>
      <w:r>
        <w:rPr>
          <w:rFonts w:ascii="Arial" w:cs="Arial" w:eastAsia="Arial" w:hAnsi="Arial"/>
          <w:sz w:val="15"/>
          <w:szCs w:val="15"/>
          <w:color w:val="auto"/>
        </w:rPr>
        <w:t xml:space="preserve">Shell and GasLog have agreed to substitute the </w:t>
      </w:r>
      <w:r>
        <w:rPr>
          <w:rFonts w:ascii="Arial" w:cs="Arial" w:eastAsia="Arial" w:hAnsi="Arial"/>
          <w:sz w:val="15"/>
          <w:szCs w:val="15"/>
          <w:i w:val="1"/>
          <w:iCs w:val="1"/>
          <w:color w:val="auto"/>
        </w:rPr>
        <w:t>GasLog Saratoga</w:t>
      </w:r>
      <w:r>
        <w:rPr>
          <w:rFonts w:ascii="Arial" w:cs="Arial" w:eastAsia="Arial" w:hAnsi="Arial"/>
          <w:sz w:val="15"/>
          <w:szCs w:val="15"/>
          <w:color w:val="auto"/>
        </w:rPr>
        <w:t xml:space="preserve"> for the </w:t>
      </w:r>
      <w:r>
        <w:rPr>
          <w:rFonts w:ascii="Arial" w:cs="Arial" w:eastAsia="Arial" w:hAnsi="Arial"/>
          <w:sz w:val="15"/>
          <w:szCs w:val="15"/>
          <w:i w:val="1"/>
          <w:iCs w:val="1"/>
          <w:color w:val="auto"/>
        </w:rPr>
        <w:t>GasLog Skagen</w:t>
      </w:r>
      <w:r>
        <w:rPr>
          <w:rFonts w:ascii="Arial" w:cs="Arial" w:eastAsia="Arial" w:hAnsi="Arial"/>
          <w:sz w:val="15"/>
          <w:szCs w:val="15"/>
          <w:color w:val="auto"/>
        </w:rPr>
        <w:t xml:space="preserve">. The substitution took effect subsequent to the end of the </w:t>
      </w:r>
      <w:r>
        <w:rPr>
          <w:rFonts w:ascii="Arial" w:cs="Arial" w:eastAsia="Arial" w:hAnsi="Arial"/>
          <w:sz w:val="15"/>
          <w:szCs w:val="15"/>
          <w:i w:val="1"/>
          <w:iCs w:val="1"/>
          <w:color w:val="auto"/>
        </w:rPr>
        <w:t>GasLog Skagen’s</w:t>
      </w:r>
      <w:r>
        <w:rPr>
          <w:rFonts w:ascii="Arial" w:cs="Arial" w:eastAsia="Arial" w:hAnsi="Arial"/>
          <w:sz w:val="15"/>
          <w:szCs w:val="15"/>
          <w:color w:val="auto"/>
        </w:rPr>
        <w:t xml:space="preserve"> dry-docking in September 2018.</w:t>
      </w:r>
    </w:p>
    <w:p>
      <w:pPr>
        <w:ind w:left="206" w:hanging="206"/>
        <w:spacing w:after="0" w:line="181" w:lineRule="auto"/>
        <w:tabs>
          <w:tab w:leader="none" w:pos="206"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“Total” refers to Total Gas &amp; Power Chartering Limited, a wholly owned subsidiary of Total S.A.</w:t>
      </w:r>
    </w:p>
    <w:p>
      <w:pPr>
        <w:ind w:left="206" w:right="180" w:hanging="206"/>
        <w:spacing w:after="0" w:line="200" w:lineRule="auto"/>
        <w:tabs>
          <w:tab w:leader="none" w:pos="197" w:val="left"/>
        </w:tabs>
        <w:numPr>
          <w:ilvl w:val="0"/>
          <w:numId w:val="5"/>
        </w:numPr>
        <w:rPr>
          <w:rFonts w:ascii="Arial" w:cs="Arial" w:eastAsia="Arial" w:hAnsi="Arial"/>
          <w:sz w:val="19"/>
          <w:szCs w:val="19"/>
          <w:color w:val="auto"/>
          <w:vertAlign w:val="superscript"/>
        </w:rPr>
      </w:pPr>
      <w:r>
        <w:rPr>
          <w:rFonts w:ascii="Arial" w:cs="Arial" w:eastAsia="Arial" w:hAnsi="Arial"/>
          <w:sz w:val="15"/>
          <w:szCs w:val="15"/>
          <w:color w:val="auto"/>
        </w:rPr>
        <w:t xml:space="preserve">On March 22, 2018, a new charter party agreement was signed with a new customer for either the </w:t>
      </w:r>
      <w:r>
        <w:rPr>
          <w:rFonts w:ascii="Arial" w:cs="Arial" w:eastAsia="Arial" w:hAnsi="Arial"/>
          <w:sz w:val="15"/>
          <w:szCs w:val="15"/>
          <w:i w:val="1"/>
          <w:iCs w:val="1"/>
          <w:color w:val="auto"/>
        </w:rPr>
        <w:t>Methane Jane Elizabeth</w:t>
      </w:r>
      <w:r>
        <w:rPr>
          <w:rFonts w:ascii="Arial" w:cs="Arial" w:eastAsia="Arial" w:hAnsi="Arial"/>
          <w:sz w:val="15"/>
          <w:szCs w:val="15"/>
          <w:color w:val="auto"/>
        </w:rPr>
        <w:t xml:space="preserve"> or the </w:t>
      </w:r>
      <w:r>
        <w:rPr>
          <w:rFonts w:ascii="Arial" w:cs="Arial" w:eastAsia="Arial" w:hAnsi="Arial"/>
          <w:sz w:val="15"/>
          <w:szCs w:val="15"/>
          <w:i w:val="1"/>
          <w:iCs w:val="1"/>
          <w:color w:val="auto"/>
        </w:rPr>
        <w:t>Methane Alison Victoria</w:t>
      </w:r>
      <w:r>
        <w:rPr>
          <w:rFonts w:ascii="Arial" w:cs="Arial" w:eastAsia="Arial" w:hAnsi="Arial"/>
          <w:sz w:val="15"/>
          <w:szCs w:val="15"/>
          <w:color w:val="auto"/>
        </w:rPr>
        <w:t xml:space="preserve"> (as nominated by the Partnership) commencing in either November or December 2019, at the Partnership’s option, until November or December 2020, with the charterer having the option to extend the charter from one to four years.</w:t>
      </w:r>
    </w:p>
    <w:p>
      <w:pPr>
        <w:spacing w:after="0" w:line="1" w:lineRule="exact"/>
        <w:rPr>
          <w:rFonts w:ascii="Arial" w:cs="Arial" w:eastAsia="Arial" w:hAnsi="Arial"/>
          <w:sz w:val="19"/>
          <w:szCs w:val="19"/>
          <w:color w:val="auto"/>
          <w:vertAlign w:val="superscript"/>
        </w:rPr>
      </w:pPr>
    </w:p>
    <w:p>
      <w:pPr>
        <w:ind w:left="206" w:hanging="206"/>
        <w:spacing w:after="0" w:line="181" w:lineRule="auto"/>
        <w:tabs>
          <w:tab w:leader="none" w:pos="206"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The vessel began her 18-month charter with Cheniere in December 2018.</w:t>
      </w:r>
    </w:p>
    <w:p>
      <w:pPr>
        <w:ind w:left="206" w:right="80" w:hanging="206"/>
        <w:spacing w:after="0" w:line="226" w:lineRule="auto"/>
        <w:tabs>
          <w:tab w:leader="none" w:pos="149"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 xml:space="preserve">On February 24, 2016, GasLog’s subsidiary, GAS-twenty six Ltd., completed the sale and leaseback of the </w:t>
      </w:r>
      <w:r>
        <w:rPr>
          <w:rFonts w:ascii="Arial" w:cs="Arial" w:eastAsia="Arial" w:hAnsi="Arial"/>
          <w:sz w:val="14"/>
          <w:szCs w:val="14"/>
          <w:i w:val="1"/>
          <w:iCs w:val="1"/>
          <w:color w:val="auto"/>
        </w:rPr>
        <w:t>Methane Julia Louise</w:t>
      </w:r>
      <w:r>
        <w:rPr>
          <w:rFonts w:ascii="Arial" w:cs="Arial" w:eastAsia="Arial" w:hAnsi="Arial"/>
          <w:sz w:val="14"/>
          <w:szCs w:val="14"/>
          <w:color w:val="auto"/>
        </w:rPr>
        <w:t xml:space="preserve"> with Lepta Shipping Co., Ltd. (“Lepta Shipping”). Lepta Shipping has the right to on-sell and lease back the vessel. The vessel was sold to Lepta Shipping for a total consideration approximately equivalent to its current book value. GasLog has leased back the vessel under a bareboat charter from Lepta Shipping for a period of up to 20 years. GasLog has the option to re-purchase the vessel on pre-agreed terms no earlier than the end of year ten and no later than the end of year 17 of the bareboat charter. The vessel remains on its eleven-year-charter with Methane Services Limited, a subsidiary of Shell.</w:t>
      </w:r>
    </w:p>
    <w:p>
      <w:pPr>
        <w:spacing w:after="0" w:line="197" w:lineRule="exact"/>
        <w:rPr>
          <w:sz w:val="20"/>
          <w:szCs w:val="20"/>
          <w:color w:val="auto"/>
        </w:rPr>
      </w:pPr>
    </w:p>
    <w:p>
      <w:pPr>
        <w:ind w:left="6"/>
        <w:spacing w:after="0"/>
        <w:rPr>
          <w:sz w:val="20"/>
          <w:szCs w:val="20"/>
          <w:color w:val="auto"/>
        </w:rPr>
      </w:pPr>
      <w:r>
        <w:rPr>
          <w:rFonts w:ascii="Arial" w:cs="Arial" w:eastAsia="Arial" w:hAnsi="Arial"/>
          <w:sz w:val="17"/>
          <w:szCs w:val="17"/>
          <w:b w:val="1"/>
          <w:bCs w:val="1"/>
          <w:u w:val="single" w:color="auto"/>
          <w:color w:val="auto"/>
        </w:rPr>
        <w:t>Future Deliveries</w:t>
      </w:r>
    </w:p>
    <w:p>
      <w:pPr>
        <w:spacing w:after="0" w:line="253" w:lineRule="exact"/>
        <w:rPr>
          <w:sz w:val="20"/>
          <w:szCs w:val="20"/>
          <w:color w:val="auto"/>
        </w:rPr>
      </w:pPr>
    </w:p>
    <w:p>
      <w:pPr>
        <w:ind w:left="6"/>
        <w:spacing w:after="0"/>
        <w:rPr>
          <w:sz w:val="20"/>
          <w:szCs w:val="20"/>
          <w:color w:val="auto"/>
        </w:rPr>
      </w:pPr>
      <w:r>
        <w:rPr>
          <w:rFonts w:ascii="Arial" w:cs="Arial" w:eastAsia="Arial" w:hAnsi="Arial"/>
          <w:sz w:val="17"/>
          <w:szCs w:val="17"/>
          <w:color w:val="auto"/>
        </w:rPr>
        <w:t>GasLog has nine newbuildings on order at Samsung which are on schedule and within budget:</w:t>
      </w:r>
    </w:p>
    <w:p>
      <w:pPr>
        <w:spacing w:after="0" w:line="241" w:lineRule="exact"/>
        <w:rPr>
          <w:sz w:val="20"/>
          <w:szCs w:val="20"/>
          <w:color w:val="auto"/>
        </w:rPr>
      </w:pPr>
    </w:p>
    <w:tbl>
      <w:tblPr>
        <w:tblLayout w:type="fixed"/>
        <w:tblInd w:w="6" w:type="dxa"/>
        <w:tblCellMar>
          <w:top w:w="0" w:type="dxa"/>
          <w:left w:w="0" w:type="dxa"/>
          <w:bottom w:w="0" w:type="dxa"/>
          <w:right w:w="0" w:type="dxa"/>
        </w:tblCellMar>
      </w:tblPr>
      <w:tr>
        <w:trPr>
          <w:trHeight w:val="214"/>
        </w:trPr>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3"/>
              </w:rPr>
              <w:t>Cargo</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4"/>
        </w:trPr>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3"/>
              </w:rPr>
              <w:t>Capacity</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7"/>
                <w:szCs w:val="17"/>
                <w:b w:val="1"/>
                <w:bCs w:val="1"/>
                <w:color w:val="auto"/>
                <w:w w:val="94"/>
              </w:rPr>
              <w:t>Estimated Charter</w:t>
            </w:r>
          </w:p>
        </w:tc>
      </w:tr>
      <w:tr>
        <w:trPr>
          <w:trHeight w:val="230"/>
        </w:trPr>
        <w:tc>
          <w:tcPr>
            <w:tcW w:w="1800" w:type="dxa"/>
            <w:vAlign w:val="bottom"/>
            <w:tcBorders>
              <w:bottom w:val="single" w:sz="8" w:color="auto"/>
            </w:tcBorders>
          </w:tcPr>
          <w:p>
            <w:pPr>
              <w:ind w:left="420"/>
              <w:spacing w:after="0"/>
              <w:rPr>
                <w:sz w:val="20"/>
                <w:szCs w:val="20"/>
                <w:color w:val="auto"/>
              </w:rPr>
            </w:pPr>
            <w:r>
              <w:rPr>
                <w:rFonts w:ascii="Arial" w:cs="Arial" w:eastAsia="Arial" w:hAnsi="Arial"/>
                <w:sz w:val="17"/>
                <w:szCs w:val="17"/>
                <w:b w:val="1"/>
                <w:bCs w:val="1"/>
                <w:color w:val="auto"/>
              </w:rPr>
              <w:t>LNG Carrier</w:t>
            </w:r>
          </w:p>
        </w:tc>
        <w:tc>
          <w:tcPr>
            <w:tcW w:w="200" w:type="dxa"/>
            <w:vAlign w:val="bottom"/>
            <w:tcBorders>
              <w:bottom w:val="single" w:sz="8" w:color="E5FFFF"/>
            </w:tcBorders>
          </w:tcPr>
          <w:p>
            <w:pPr>
              <w:spacing w:after="0"/>
              <w:rPr>
                <w:sz w:val="19"/>
                <w:szCs w:val="19"/>
                <w:color w:val="auto"/>
              </w:rPr>
            </w:pPr>
          </w:p>
        </w:tc>
        <w:tc>
          <w:tcPr>
            <w:tcW w:w="1920" w:type="dxa"/>
            <w:vAlign w:val="bottom"/>
            <w:tcBorders>
              <w:bottom w:val="single" w:sz="8" w:color="auto"/>
            </w:tcBorders>
          </w:tcPr>
          <w:p>
            <w:pPr>
              <w:jc w:val="center"/>
              <w:spacing w:after="0" w:line="229" w:lineRule="exact"/>
              <w:rPr>
                <w:sz w:val="20"/>
                <w:szCs w:val="20"/>
                <w:color w:val="auto"/>
              </w:rPr>
            </w:pPr>
            <w:r>
              <w:rPr>
                <w:rFonts w:ascii="Arial" w:cs="Arial" w:eastAsia="Arial" w:hAnsi="Arial"/>
                <w:sz w:val="17"/>
                <w:szCs w:val="17"/>
                <w:b w:val="1"/>
                <w:bCs w:val="1"/>
                <w:color w:val="auto"/>
                <w:w w:val="90"/>
              </w:rPr>
              <w:t>Year Built</w:t>
            </w:r>
            <w:r>
              <w:rPr>
                <w:rFonts w:ascii="Arial" w:cs="Arial" w:eastAsia="Arial" w:hAnsi="Arial"/>
                <w:sz w:val="22"/>
                <w:szCs w:val="22"/>
                <w:b w:val="1"/>
                <w:bCs w:val="1"/>
                <w:color w:val="auto"/>
                <w:w w:val="90"/>
                <w:vertAlign w:val="superscript"/>
              </w:rPr>
              <w:t>(1)</w:t>
            </w:r>
          </w:p>
        </w:tc>
        <w:tc>
          <w:tcPr>
            <w:tcW w:w="300" w:type="dxa"/>
            <w:vAlign w:val="bottom"/>
            <w:tcBorders>
              <w:bottom w:val="single" w:sz="8" w:color="E5FFFF"/>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Shipyard</w:t>
            </w:r>
          </w:p>
        </w:tc>
        <w:tc>
          <w:tcPr>
            <w:tcW w:w="180" w:type="dxa"/>
            <w:vAlign w:val="bottom"/>
            <w:tcBorders>
              <w:bottom w:val="single" w:sz="8" w:color="E5FFFF"/>
            </w:tcBorders>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(cbm)</w:t>
            </w:r>
          </w:p>
        </w:tc>
        <w:tc>
          <w:tcPr>
            <w:tcW w:w="180" w:type="dxa"/>
            <w:vAlign w:val="bottom"/>
            <w:tcBorders>
              <w:bottom w:val="single" w:sz="8" w:color="E5FFFF"/>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Charterer</w:t>
            </w:r>
          </w:p>
        </w:tc>
        <w:tc>
          <w:tcPr>
            <w:tcW w:w="180" w:type="dxa"/>
            <w:vAlign w:val="bottom"/>
            <w:tcBorders>
              <w:bottom w:val="single" w:sz="8" w:color="E5FFFF"/>
            </w:tcBorders>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Propulsion</w:t>
            </w:r>
          </w:p>
        </w:tc>
        <w:tc>
          <w:tcPr>
            <w:tcW w:w="160" w:type="dxa"/>
            <w:vAlign w:val="bottom"/>
            <w:tcBorders>
              <w:bottom w:val="single" w:sz="8" w:color="E5FFFF"/>
            </w:tcBorders>
          </w:tcPr>
          <w:p>
            <w:pPr>
              <w:spacing w:after="0"/>
              <w:rPr>
                <w:sz w:val="19"/>
                <w:szCs w:val="19"/>
                <w:color w:val="auto"/>
              </w:rPr>
            </w:pPr>
          </w:p>
        </w:tc>
        <w:tc>
          <w:tcPr>
            <w:tcW w:w="2160" w:type="dxa"/>
            <w:vAlign w:val="bottom"/>
            <w:tcBorders>
              <w:bottom w:val="single" w:sz="8" w:color="auto"/>
            </w:tcBorders>
          </w:tcPr>
          <w:p>
            <w:pPr>
              <w:jc w:val="center"/>
              <w:spacing w:after="0" w:line="229" w:lineRule="exact"/>
              <w:rPr>
                <w:sz w:val="20"/>
                <w:szCs w:val="20"/>
                <w:color w:val="auto"/>
              </w:rPr>
            </w:pPr>
            <w:r>
              <w:rPr>
                <w:rFonts w:ascii="Arial" w:cs="Arial" w:eastAsia="Arial" w:hAnsi="Arial"/>
                <w:sz w:val="17"/>
                <w:szCs w:val="17"/>
                <w:b w:val="1"/>
                <w:bCs w:val="1"/>
                <w:color w:val="auto"/>
                <w:w w:val="90"/>
              </w:rPr>
              <w:t>Expiration</w:t>
            </w:r>
            <w:r>
              <w:rPr>
                <w:rFonts w:ascii="Arial" w:cs="Arial" w:eastAsia="Arial" w:hAnsi="Arial"/>
                <w:sz w:val="22"/>
                <w:szCs w:val="22"/>
                <w:b w:val="1"/>
                <w:bCs w:val="1"/>
                <w:color w:val="auto"/>
                <w:w w:val="90"/>
                <w:vertAlign w:val="superscript"/>
              </w:rPr>
              <w:t>(2)</w:t>
            </w:r>
          </w:p>
        </w:tc>
      </w:tr>
      <w:tr>
        <w:trPr>
          <w:trHeight w:val="251"/>
        </w:trPr>
        <w:tc>
          <w:tcPr>
            <w:tcW w:w="2000" w:type="dxa"/>
            <w:vAlign w:val="bottom"/>
            <w:gridSpan w:val="2"/>
            <w:shd w:val="clear" w:color="auto" w:fill="E5FFFF"/>
          </w:tcPr>
          <w:p>
            <w:pPr>
              <w:ind w:left="400"/>
              <w:spacing w:after="0"/>
              <w:rPr>
                <w:sz w:val="20"/>
                <w:szCs w:val="20"/>
                <w:color w:val="auto"/>
              </w:rPr>
            </w:pPr>
            <w:r>
              <w:rPr>
                <w:rFonts w:ascii="Arial" w:cs="Arial" w:eastAsia="Arial" w:hAnsi="Arial"/>
                <w:sz w:val="17"/>
                <w:szCs w:val="17"/>
                <w:color w:val="auto"/>
              </w:rPr>
              <w:t>Hull No. 2131</w:t>
            </w:r>
          </w:p>
        </w:tc>
        <w:tc>
          <w:tcPr>
            <w:tcW w:w="2220" w:type="dxa"/>
            <w:vAlign w:val="bottom"/>
            <w:gridSpan w:val="2"/>
            <w:shd w:val="clear" w:color="auto" w:fill="E5FFFF"/>
          </w:tcPr>
          <w:p>
            <w:pPr>
              <w:jc w:val="center"/>
              <w:ind w:right="300"/>
              <w:spacing w:after="0"/>
              <w:rPr>
                <w:sz w:val="20"/>
                <w:szCs w:val="20"/>
                <w:color w:val="auto"/>
              </w:rPr>
            </w:pPr>
            <w:r>
              <w:rPr>
                <w:rFonts w:ascii="Arial" w:cs="Arial" w:eastAsia="Arial" w:hAnsi="Arial"/>
                <w:sz w:val="17"/>
                <w:szCs w:val="17"/>
                <w:color w:val="auto"/>
                <w:w w:val="91"/>
              </w:rPr>
              <w:t>Q1 2019</w:t>
            </w:r>
          </w:p>
        </w:tc>
        <w:tc>
          <w:tcPr>
            <w:tcW w:w="1280" w:type="dxa"/>
            <w:vAlign w:val="bottom"/>
            <w:gridSpan w:val="2"/>
            <w:shd w:val="clear" w:color="auto" w:fill="E5FFFF"/>
          </w:tcPr>
          <w:p>
            <w:pPr>
              <w:jc w:val="center"/>
              <w:ind w:right="180"/>
              <w:spacing w:after="0"/>
              <w:rPr>
                <w:sz w:val="20"/>
                <w:szCs w:val="20"/>
                <w:color w:val="auto"/>
              </w:rPr>
            </w:pPr>
            <w:r>
              <w:rPr>
                <w:rFonts w:ascii="Arial" w:cs="Arial" w:eastAsia="Arial" w:hAnsi="Arial"/>
                <w:sz w:val="17"/>
                <w:szCs w:val="17"/>
                <w:color w:val="auto"/>
                <w:w w:val="86"/>
              </w:rPr>
              <w:t>Samsung</w:t>
            </w:r>
          </w:p>
        </w:tc>
        <w:tc>
          <w:tcPr>
            <w:tcW w:w="126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91"/>
              </w:rPr>
              <w:t>174,000</w:t>
            </w:r>
          </w:p>
        </w:tc>
        <w:tc>
          <w:tcPr>
            <w:tcW w:w="180" w:type="dxa"/>
            <w:vAlign w:val="bottom"/>
            <w:shd w:val="clear" w:color="auto" w:fill="E5FFFF"/>
          </w:tcPr>
          <w:p>
            <w:pPr>
              <w:spacing w:after="0"/>
              <w:rPr>
                <w:sz w:val="21"/>
                <w:szCs w:val="21"/>
                <w:color w:val="auto"/>
              </w:rPr>
            </w:pPr>
          </w:p>
        </w:tc>
        <w:tc>
          <w:tcPr>
            <w:tcW w:w="1300" w:type="dxa"/>
            <w:vAlign w:val="bottom"/>
            <w:gridSpan w:val="2"/>
            <w:shd w:val="clear" w:color="auto" w:fill="E5FFFF"/>
          </w:tcPr>
          <w:p>
            <w:pPr>
              <w:jc w:val="center"/>
              <w:ind w:right="180"/>
              <w:spacing w:after="0"/>
              <w:rPr>
                <w:sz w:val="20"/>
                <w:szCs w:val="20"/>
                <w:color w:val="auto"/>
              </w:rPr>
            </w:pPr>
            <w:r>
              <w:rPr>
                <w:rFonts w:ascii="Arial" w:cs="Arial" w:eastAsia="Arial" w:hAnsi="Arial"/>
                <w:sz w:val="17"/>
                <w:szCs w:val="17"/>
                <w:color w:val="auto"/>
                <w:w w:val="95"/>
              </w:rPr>
              <w:t>Shell</w:t>
            </w:r>
          </w:p>
        </w:tc>
        <w:tc>
          <w:tcPr>
            <w:tcW w:w="1600" w:type="dxa"/>
            <w:vAlign w:val="bottom"/>
            <w:gridSpan w:val="2"/>
            <w:shd w:val="clear" w:color="auto" w:fill="E5FFFF"/>
          </w:tcPr>
          <w:p>
            <w:pPr>
              <w:jc w:val="center"/>
              <w:ind w:right="160"/>
              <w:spacing w:after="0"/>
              <w:rPr>
                <w:sz w:val="20"/>
                <w:szCs w:val="20"/>
                <w:color w:val="auto"/>
              </w:rPr>
            </w:pPr>
            <w:r>
              <w:rPr>
                <w:rFonts w:ascii="Arial" w:cs="Arial" w:eastAsia="Arial" w:hAnsi="Arial"/>
                <w:sz w:val="17"/>
                <w:szCs w:val="17"/>
                <w:color w:val="auto"/>
                <w:w w:val="93"/>
              </w:rPr>
              <w:t>LP-2S</w:t>
            </w:r>
          </w:p>
        </w:tc>
        <w:tc>
          <w:tcPr>
            <w:tcW w:w="216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89"/>
              </w:rPr>
              <w:t>2029</w:t>
            </w:r>
          </w:p>
        </w:tc>
      </w:tr>
      <w:tr>
        <w:trPr>
          <w:trHeight w:val="267"/>
        </w:trPr>
        <w:tc>
          <w:tcPr>
            <w:tcW w:w="2000" w:type="dxa"/>
            <w:vAlign w:val="bottom"/>
            <w:gridSpan w:val="2"/>
          </w:tcPr>
          <w:p>
            <w:pPr>
              <w:ind w:left="400"/>
              <w:spacing w:after="0"/>
              <w:rPr>
                <w:sz w:val="20"/>
                <w:szCs w:val="20"/>
                <w:color w:val="auto"/>
              </w:rPr>
            </w:pPr>
            <w:r>
              <w:rPr>
                <w:rFonts w:ascii="Arial" w:cs="Arial" w:eastAsia="Arial" w:hAnsi="Arial"/>
                <w:sz w:val="17"/>
                <w:szCs w:val="17"/>
                <w:color w:val="auto"/>
              </w:rPr>
              <w:t>Hull No. 2212</w:t>
            </w:r>
          </w:p>
        </w:tc>
        <w:tc>
          <w:tcPr>
            <w:tcW w:w="2220" w:type="dxa"/>
            <w:vAlign w:val="bottom"/>
            <w:gridSpan w:val="2"/>
          </w:tcPr>
          <w:p>
            <w:pPr>
              <w:jc w:val="center"/>
              <w:ind w:right="300"/>
              <w:spacing w:after="0"/>
              <w:rPr>
                <w:sz w:val="20"/>
                <w:szCs w:val="20"/>
                <w:color w:val="auto"/>
              </w:rPr>
            </w:pPr>
            <w:r>
              <w:rPr>
                <w:rFonts w:ascii="Arial" w:cs="Arial" w:eastAsia="Arial" w:hAnsi="Arial"/>
                <w:sz w:val="17"/>
                <w:szCs w:val="17"/>
                <w:color w:val="auto"/>
                <w:w w:val="91"/>
              </w:rPr>
              <w:t>Q3 2019</w:t>
            </w:r>
          </w:p>
        </w:tc>
        <w:tc>
          <w:tcPr>
            <w:tcW w:w="1280" w:type="dxa"/>
            <w:vAlign w:val="bottom"/>
            <w:gridSpan w:val="2"/>
          </w:tcPr>
          <w:p>
            <w:pPr>
              <w:jc w:val="center"/>
              <w:ind w:right="180"/>
              <w:spacing w:after="0"/>
              <w:rPr>
                <w:sz w:val="20"/>
                <w:szCs w:val="20"/>
                <w:color w:val="auto"/>
              </w:rPr>
            </w:pPr>
            <w:r>
              <w:rPr>
                <w:rFonts w:ascii="Arial" w:cs="Arial" w:eastAsia="Arial" w:hAnsi="Arial"/>
                <w:sz w:val="17"/>
                <w:szCs w:val="17"/>
                <w:color w:val="auto"/>
                <w:w w:val="86"/>
              </w:rPr>
              <w:t>Samsung</w:t>
            </w:r>
          </w:p>
        </w:tc>
        <w:tc>
          <w:tcPr>
            <w:tcW w:w="1260" w:type="dxa"/>
            <w:vAlign w:val="bottom"/>
          </w:tcPr>
          <w:p>
            <w:pPr>
              <w:jc w:val="center"/>
              <w:spacing w:after="0"/>
              <w:rPr>
                <w:sz w:val="20"/>
                <w:szCs w:val="20"/>
                <w:color w:val="auto"/>
              </w:rPr>
            </w:pPr>
            <w:r>
              <w:rPr>
                <w:rFonts w:ascii="Arial" w:cs="Arial" w:eastAsia="Arial" w:hAnsi="Arial"/>
                <w:sz w:val="17"/>
                <w:szCs w:val="17"/>
                <w:color w:val="auto"/>
                <w:w w:val="91"/>
              </w:rPr>
              <w:t>180,000</w:t>
            </w:r>
          </w:p>
        </w:tc>
        <w:tc>
          <w:tcPr>
            <w:tcW w:w="180" w:type="dxa"/>
            <w:vAlign w:val="bottom"/>
          </w:tcPr>
          <w:p>
            <w:pPr>
              <w:spacing w:after="0"/>
              <w:rPr>
                <w:sz w:val="23"/>
                <w:szCs w:val="23"/>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7"/>
                <w:szCs w:val="17"/>
                <w:color w:val="auto"/>
                <w:w w:val="93"/>
              </w:rPr>
              <w:t>—</w:t>
            </w:r>
          </w:p>
        </w:tc>
        <w:tc>
          <w:tcPr>
            <w:tcW w:w="1600" w:type="dxa"/>
            <w:vAlign w:val="bottom"/>
            <w:gridSpan w:val="2"/>
          </w:tcPr>
          <w:p>
            <w:pPr>
              <w:jc w:val="center"/>
              <w:ind w:right="160"/>
              <w:spacing w:after="0"/>
              <w:rPr>
                <w:sz w:val="20"/>
                <w:szCs w:val="20"/>
                <w:color w:val="auto"/>
              </w:rPr>
            </w:pPr>
            <w:r>
              <w:rPr>
                <w:rFonts w:ascii="Arial" w:cs="Arial" w:eastAsia="Arial" w:hAnsi="Arial"/>
                <w:sz w:val="17"/>
                <w:szCs w:val="17"/>
                <w:color w:val="auto"/>
                <w:w w:val="93"/>
              </w:rPr>
              <w:t>LP-2S</w:t>
            </w:r>
          </w:p>
        </w:tc>
        <w:tc>
          <w:tcPr>
            <w:tcW w:w="216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74"/>
        </w:trPr>
        <w:tc>
          <w:tcPr>
            <w:tcW w:w="2000" w:type="dxa"/>
            <w:vAlign w:val="bottom"/>
            <w:gridSpan w:val="2"/>
            <w:shd w:val="clear" w:color="auto" w:fill="E5FFFF"/>
          </w:tcPr>
          <w:p>
            <w:pPr>
              <w:ind w:left="400"/>
              <w:spacing w:after="0"/>
              <w:rPr>
                <w:sz w:val="20"/>
                <w:szCs w:val="20"/>
                <w:color w:val="auto"/>
              </w:rPr>
            </w:pPr>
            <w:r>
              <w:rPr>
                <w:rFonts w:ascii="Arial" w:cs="Arial" w:eastAsia="Arial" w:hAnsi="Arial"/>
                <w:sz w:val="17"/>
                <w:szCs w:val="17"/>
                <w:color w:val="auto"/>
              </w:rPr>
              <w:t>Hull No. 2213</w:t>
            </w:r>
          </w:p>
        </w:tc>
        <w:tc>
          <w:tcPr>
            <w:tcW w:w="2220" w:type="dxa"/>
            <w:vAlign w:val="bottom"/>
            <w:gridSpan w:val="2"/>
            <w:shd w:val="clear" w:color="auto" w:fill="E5FFFF"/>
          </w:tcPr>
          <w:p>
            <w:pPr>
              <w:jc w:val="center"/>
              <w:ind w:right="300"/>
              <w:spacing w:after="0"/>
              <w:rPr>
                <w:sz w:val="20"/>
                <w:szCs w:val="20"/>
                <w:color w:val="auto"/>
              </w:rPr>
            </w:pPr>
            <w:r>
              <w:rPr>
                <w:rFonts w:ascii="Arial" w:cs="Arial" w:eastAsia="Arial" w:hAnsi="Arial"/>
                <w:sz w:val="17"/>
                <w:szCs w:val="17"/>
                <w:color w:val="auto"/>
                <w:w w:val="91"/>
              </w:rPr>
              <w:t>Q2 2020</w:t>
            </w:r>
          </w:p>
        </w:tc>
        <w:tc>
          <w:tcPr>
            <w:tcW w:w="1280" w:type="dxa"/>
            <w:vAlign w:val="bottom"/>
            <w:gridSpan w:val="2"/>
            <w:shd w:val="clear" w:color="auto" w:fill="E5FFFF"/>
          </w:tcPr>
          <w:p>
            <w:pPr>
              <w:jc w:val="center"/>
              <w:ind w:right="180"/>
              <w:spacing w:after="0"/>
              <w:rPr>
                <w:sz w:val="20"/>
                <w:szCs w:val="20"/>
                <w:color w:val="auto"/>
              </w:rPr>
            </w:pPr>
            <w:r>
              <w:rPr>
                <w:rFonts w:ascii="Arial" w:cs="Arial" w:eastAsia="Arial" w:hAnsi="Arial"/>
                <w:sz w:val="17"/>
                <w:szCs w:val="17"/>
                <w:color w:val="auto"/>
                <w:w w:val="86"/>
              </w:rPr>
              <w:t>Samsung</w:t>
            </w:r>
          </w:p>
        </w:tc>
        <w:tc>
          <w:tcPr>
            <w:tcW w:w="126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91"/>
              </w:rPr>
              <w:t>180,000</w:t>
            </w:r>
          </w:p>
        </w:tc>
        <w:tc>
          <w:tcPr>
            <w:tcW w:w="180" w:type="dxa"/>
            <w:vAlign w:val="bottom"/>
            <w:shd w:val="clear" w:color="auto" w:fill="E5FFFF"/>
          </w:tcPr>
          <w:p>
            <w:pPr>
              <w:spacing w:after="0"/>
              <w:rPr>
                <w:sz w:val="23"/>
                <w:szCs w:val="23"/>
                <w:color w:val="auto"/>
              </w:rPr>
            </w:pPr>
          </w:p>
        </w:tc>
        <w:tc>
          <w:tcPr>
            <w:tcW w:w="1300" w:type="dxa"/>
            <w:vAlign w:val="bottom"/>
            <w:gridSpan w:val="2"/>
            <w:shd w:val="clear" w:color="auto" w:fill="E5FFFF"/>
          </w:tcPr>
          <w:p>
            <w:pPr>
              <w:jc w:val="center"/>
              <w:ind w:right="160"/>
              <w:spacing w:after="0"/>
              <w:rPr>
                <w:sz w:val="20"/>
                <w:szCs w:val="20"/>
                <w:color w:val="auto"/>
              </w:rPr>
            </w:pPr>
            <w:r>
              <w:rPr>
                <w:rFonts w:ascii="Arial" w:cs="Arial" w:eastAsia="Arial" w:hAnsi="Arial"/>
                <w:sz w:val="17"/>
                <w:szCs w:val="17"/>
                <w:color w:val="auto"/>
                <w:w w:val="91"/>
              </w:rPr>
              <w:t>Centrica</w:t>
            </w:r>
          </w:p>
        </w:tc>
        <w:tc>
          <w:tcPr>
            <w:tcW w:w="1600" w:type="dxa"/>
            <w:vAlign w:val="bottom"/>
            <w:gridSpan w:val="2"/>
            <w:shd w:val="clear" w:color="auto" w:fill="E5FFFF"/>
          </w:tcPr>
          <w:p>
            <w:pPr>
              <w:jc w:val="center"/>
              <w:ind w:right="160"/>
              <w:spacing w:after="0"/>
              <w:rPr>
                <w:sz w:val="20"/>
                <w:szCs w:val="20"/>
                <w:color w:val="auto"/>
              </w:rPr>
            </w:pPr>
            <w:r>
              <w:rPr>
                <w:rFonts w:ascii="Arial" w:cs="Arial" w:eastAsia="Arial" w:hAnsi="Arial"/>
                <w:sz w:val="17"/>
                <w:szCs w:val="17"/>
                <w:color w:val="auto"/>
                <w:w w:val="93"/>
              </w:rPr>
              <w:t>LP-2S</w:t>
            </w:r>
          </w:p>
        </w:tc>
        <w:tc>
          <w:tcPr>
            <w:tcW w:w="216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89"/>
              </w:rPr>
              <w:t>2027</w:t>
            </w:r>
          </w:p>
        </w:tc>
      </w:tr>
      <w:tr>
        <w:trPr>
          <w:trHeight w:val="267"/>
        </w:trPr>
        <w:tc>
          <w:tcPr>
            <w:tcW w:w="2000" w:type="dxa"/>
            <w:vAlign w:val="bottom"/>
            <w:gridSpan w:val="2"/>
          </w:tcPr>
          <w:p>
            <w:pPr>
              <w:ind w:left="400"/>
              <w:spacing w:after="0"/>
              <w:rPr>
                <w:sz w:val="20"/>
                <w:szCs w:val="20"/>
                <w:color w:val="auto"/>
              </w:rPr>
            </w:pPr>
            <w:r>
              <w:rPr>
                <w:rFonts w:ascii="Arial" w:cs="Arial" w:eastAsia="Arial" w:hAnsi="Arial"/>
                <w:sz w:val="17"/>
                <w:szCs w:val="17"/>
                <w:color w:val="auto"/>
              </w:rPr>
              <w:t>Hull No. 2274</w:t>
            </w:r>
          </w:p>
        </w:tc>
        <w:tc>
          <w:tcPr>
            <w:tcW w:w="2220" w:type="dxa"/>
            <w:vAlign w:val="bottom"/>
            <w:gridSpan w:val="2"/>
          </w:tcPr>
          <w:p>
            <w:pPr>
              <w:jc w:val="center"/>
              <w:ind w:right="300"/>
              <w:spacing w:after="0"/>
              <w:rPr>
                <w:sz w:val="20"/>
                <w:szCs w:val="20"/>
                <w:color w:val="auto"/>
              </w:rPr>
            </w:pPr>
            <w:r>
              <w:rPr>
                <w:rFonts w:ascii="Arial" w:cs="Arial" w:eastAsia="Arial" w:hAnsi="Arial"/>
                <w:sz w:val="17"/>
                <w:szCs w:val="17"/>
                <w:color w:val="auto"/>
                <w:w w:val="91"/>
              </w:rPr>
              <w:t>Q2 2020</w:t>
            </w:r>
          </w:p>
        </w:tc>
        <w:tc>
          <w:tcPr>
            <w:tcW w:w="1280" w:type="dxa"/>
            <w:vAlign w:val="bottom"/>
            <w:gridSpan w:val="2"/>
          </w:tcPr>
          <w:p>
            <w:pPr>
              <w:jc w:val="center"/>
              <w:ind w:right="180"/>
              <w:spacing w:after="0"/>
              <w:rPr>
                <w:sz w:val="20"/>
                <w:szCs w:val="20"/>
                <w:color w:val="auto"/>
              </w:rPr>
            </w:pPr>
            <w:r>
              <w:rPr>
                <w:rFonts w:ascii="Arial" w:cs="Arial" w:eastAsia="Arial" w:hAnsi="Arial"/>
                <w:sz w:val="17"/>
                <w:szCs w:val="17"/>
                <w:color w:val="auto"/>
                <w:w w:val="86"/>
              </w:rPr>
              <w:t>Samsung</w:t>
            </w:r>
          </w:p>
        </w:tc>
        <w:tc>
          <w:tcPr>
            <w:tcW w:w="1260" w:type="dxa"/>
            <w:vAlign w:val="bottom"/>
          </w:tcPr>
          <w:p>
            <w:pPr>
              <w:jc w:val="center"/>
              <w:spacing w:after="0"/>
              <w:rPr>
                <w:sz w:val="20"/>
                <w:szCs w:val="20"/>
                <w:color w:val="auto"/>
              </w:rPr>
            </w:pPr>
            <w:r>
              <w:rPr>
                <w:rFonts w:ascii="Arial" w:cs="Arial" w:eastAsia="Arial" w:hAnsi="Arial"/>
                <w:sz w:val="17"/>
                <w:szCs w:val="17"/>
                <w:color w:val="auto"/>
                <w:w w:val="91"/>
              </w:rPr>
              <w:t>180,000</w:t>
            </w:r>
          </w:p>
        </w:tc>
        <w:tc>
          <w:tcPr>
            <w:tcW w:w="180" w:type="dxa"/>
            <w:vAlign w:val="bottom"/>
          </w:tcPr>
          <w:p>
            <w:pPr>
              <w:spacing w:after="0"/>
              <w:rPr>
                <w:sz w:val="23"/>
                <w:szCs w:val="23"/>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7"/>
                <w:szCs w:val="17"/>
                <w:color w:val="auto"/>
                <w:w w:val="93"/>
              </w:rPr>
              <w:t>—</w:t>
            </w:r>
          </w:p>
        </w:tc>
        <w:tc>
          <w:tcPr>
            <w:tcW w:w="1600" w:type="dxa"/>
            <w:vAlign w:val="bottom"/>
            <w:gridSpan w:val="2"/>
          </w:tcPr>
          <w:p>
            <w:pPr>
              <w:jc w:val="center"/>
              <w:ind w:right="160"/>
              <w:spacing w:after="0"/>
              <w:rPr>
                <w:sz w:val="20"/>
                <w:szCs w:val="20"/>
                <w:color w:val="auto"/>
              </w:rPr>
            </w:pPr>
            <w:r>
              <w:rPr>
                <w:rFonts w:ascii="Arial" w:cs="Arial" w:eastAsia="Arial" w:hAnsi="Arial"/>
                <w:sz w:val="17"/>
                <w:szCs w:val="17"/>
                <w:color w:val="auto"/>
                <w:w w:val="93"/>
              </w:rPr>
              <w:t>LP-2S</w:t>
            </w:r>
          </w:p>
        </w:tc>
        <w:tc>
          <w:tcPr>
            <w:tcW w:w="216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74"/>
        </w:trPr>
        <w:tc>
          <w:tcPr>
            <w:tcW w:w="2000" w:type="dxa"/>
            <w:vAlign w:val="bottom"/>
            <w:gridSpan w:val="2"/>
            <w:shd w:val="clear" w:color="auto" w:fill="E5FFFF"/>
          </w:tcPr>
          <w:p>
            <w:pPr>
              <w:ind w:left="400"/>
              <w:spacing w:after="0"/>
              <w:rPr>
                <w:sz w:val="20"/>
                <w:szCs w:val="20"/>
                <w:color w:val="auto"/>
              </w:rPr>
            </w:pPr>
            <w:r>
              <w:rPr>
                <w:rFonts w:ascii="Arial" w:cs="Arial" w:eastAsia="Arial" w:hAnsi="Arial"/>
                <w:sz w:val="17"/>
                <w:szCs w:val="17"/>
                <w:color w:val="auto"/>
              </w:rPr>
              <w:t>Hull No. 2262</w:t>
            </w:r>
          </w:p>
        </w:tc>
        <w:tc>
          <w:tcPr>
            <w:tcW w:w="2220" w:type="dxa"/>
            <w:vAlign w:val="bottom"/>
            <w:gridSpan w:val="2"/>
            <w:shd w:val="clear" w:color="auto" w:fill="E5FFFF"/>
          </w:tcPr>
          <w:p>
            <w:pPr>
              <w:jc w:val="center"/>
              <w:ind w:right="300"/>
              <w:spacing w:after="0"/>
              <w:rPr>
                <w:sz w:val="20"/>
                <w:szCs w:val="20"/>
                <w:color w:val="auto"/>
              </w:rPr>
            </w:pPr>
            <w:r>
              <w:rPr>
                <w:rFonts w:ascii="Arial" w:cs="Arial" w:eastAsia="Arial" w:hAnsi="Arial"/>
                <w:sz w:val="17"/>
                <w:szCs w:val="17"/>
                <w:color w:val="auto"/>
                <w:w w:val="91"/>
              </w:rPr>
              <w:t>Q3 2020</w:t>
            </w:r>
          </w:p>
        </w:tc>
        <w:tc>
          <w:tcPr>
            <w:tcW w:w="1280" w:type="dxa"/>
            <w:vAlign w:val="bottom"/>
            <w:gridSpan w:val="2"/>
            <w:shd w:val="clear" w:color="auto" w:fill="E5FFFF"/>
          </w:tcPr>
          <w:p>
            <w:pPr>
              <w:jc w:val="center"/>
              <w:ind w:right="180"/>
              <w:spacing w:after="0"/>
              <w:rPr>
                <w:sz w:val="20"/>
                <w:szCs w:val="20"/>
                <w:color w:val="auto"/>
              </w:rPr>
            </w:pPr>
            <w:r>
              <w:rPr>
                <w:rFonts w:ascii="Arial" w:cs="Arial" w:eastAsia="Arial" w:hAnsi="Arial"/>
                <w:sz w:val="17"/>
                <w:szCs w:val="17"/>
                <w:color w:val="auto"/>
                <w:w w:val="86"/>
              </w:rPr>
              <w:t>Samsung</w:t>
            </w:r>
          </w:p>
        </w:tc>
        <w:tc>
          <w:tcPr>
            <w:tcW w:w="126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91"/>
              </w:rPr>
              <w:t>180,000</w:t>
            </w:r>
          </w:p>
        </w:tc>
        <w:tc>
          <w:tcPr>
            <w:tcW w:w="180" w:type="dxa"/>
            <w:vAlign w:val="bottom"/>
            <w:shd w:val="clear" w:color="auto" w:fill="E5FFFF"/>
          </w:tcPr>
          <w:p>
            <w:pPr>
              <w:spacing w:after="0"/>
              <w:rPr>
                <w:sz w:val="23"/>
                <w:szCs w:val="23"/>
                <w:color w:val="auto"/>
              </w:rPr>
            </w:pPr>
          </w:p>
        </w:tc>
        <w:tc>
          <w:tcPr>
            <w:tcW w:w="1300" w:type="dxa"/>
            <w:vAlign w:val="bottom"/>
            <w:gridSpan w:val="2"/>
            <w:shd w:val="clear" w:color="auto" w:fill="E5FFFF"/>
          </w:tcPr>
          <w:p>
            <w:pPr>
              <w:jc w:val="center"/>
              <w:ind w:right="160"/>
              <w:spacing w:after="0"/>
              <w:rPr>
                <w:sz w:val="20"/>
                <w:szCs w:val="20"/>
                <w:color w:val="auto"/>
              </w:rPr>
            </w:pPr>
            <w:r>
              <w:rPr>
                <w:rFonts w:ascii="Arial" w:cs="Arial" w:eastAsia="Arial" w:hAnsi="Arial"/>
                <w:sz w:val="17"/>
                <w:szCs w:val="17"/>
                <w:color w:val="auto"/>
                <w:w w:val="91"/>
              </w:rPr>
              <w:t>Centrica</w:t>
            </w:r>
          </w:p>
        </w:tc>
        <w:tc>
          <w:tcPr>
            <w:tcW w:w="1600" w:type="dxa"/>
            <w:vAlign w:val="bottom"/>
            <w:gridSpan w:val="2"/>
            <w:shd w:val="clear" w:color="auto" w:fill="E5FFFF"/>
          </w:tcPr>
          <w:p>
            <w:pPr>
              <w:jc w:val="center"/>
              <w:ind w:right="160"/>
              <w:spacing w:after="0"/>
              <w:rPr>
                <w:sz w:val="20"/>
                <w:szCs w:val="20"/>
                <w:color w:val="auto"/>
              </w:rPr>
            </w:pPr>
            <w:r>
              <w:rPr>
                <w:rFonts w:ascii="Arial" w:cs="Arial" w:eastAsia="Arial" w:hAnsi="Arial"/>
                <w:sz w:val="17"/>
                <w:szCs w:val="17"/>
                <w:color w:val="auto"/>
                <w:w w:val="93"/>
              </w:rPr>
              <w:t>LP-2S</w:t>
            </w:r>
          </w:p>
        </w:tc>
        <w:tc>
          <w:tcPr>
            <w:tcW w:w="216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89"/>
              </w:rPr>
              <w:t>2027</w:t>
            </w:r>
          </w:p>
        </w:tc>
      </w:tr>
      <w:tr>
        <w:trPr>
          <w:trHeight w:val="267"/>
        </w:trPr>
        <w:tc>
          <w:tcPr>
            <w:tcW w:w="2000" w:type="dxa"/>
            <w:vAlign w:val="bottom"/>
            <w:gridSpan w:val="2"/>
          </w:tcPr>
          <w:p>
            <w:pPr>
              <w:ind w:left="400"/>
              <w:spacing w:after="0"/>
              <w:rPr>
                <w:sz w:val="20"/>
                <w:szCs w:val="20"/>
                <w:color w:val="auto"/>
              </w:rPr>
            </w:pPr>
            <w:r>
              <w:rPr>
                <w:rFonts w:ascii="Arial" w:cs="Arial" w:eastAsia="Arial" w:hAnsi="Arial"/>
                <w:sz w:val="17"/>
                <w:szCs w:val="17"/>
                <w:color w:val="auto"/>
              </w:rPr>
              <w:t>Hull No. 2300</w:t>
            </w:r>
          </w:p>
        </w:tc>
        <w:tc>
          <w:tcPr>
            <w:tcW w:w="2220" w:type="dxa"/>
            <w:vAlign w:val="bottom"/>
            <w:gridSpan w:val="2"/>
          </w:tcPr>
          <w:p>
            <w:pPr>
              <w:jc w:val="center"/>
              <w:ind w:right="300"/>
              <w:spacing w:after="0"/>
              <w:rPr>
                <w:sz w:val="20"/>
                <w:szCs w:val="20"/>
                <w:color w:val="auto"/>
              </w:rPr>
            </w:pPr>
            <w:r>
              <w:rPr>
                <w:rFonts w:ascii="Arial" w:cs="Arial" w:eastAsia="Arial" w:hAnsi="Arial"/>
                <w:sz w:val="17"/>
                <w:szCs w:val="17"/>
                <w:color w:val="auto"/>
                <w:w w:val="91"/>
              </w:rPr>
              <w:t>Q4 2020</w:t>
            </w:r>
          </w:p>
        </w:tc>
        <w:tc>
          <w:tcPr>
            <w:tcW w:w="1280" w:type="dxa"/>
            <w:vAlign w:val="bottom"/>
            <w:gridSpan w:val="2"/>
          </w:tcPr>
          <w:p>
            <w:pPr>
              <w:jc w:val="center"/>
              <w:ind w:right="180"/>
              <w:spacing w:after="0"/>
              <w:rPr>
                <w:sz w:val="20"/>
                <w:szCs w:val="20"/>
                <w:color w:val="auto"/>
              </w:rPr>
            </w:pPr>
            <w:r>
              <w:rPr>
                <w:rFonts w:ascii="Arial" w:cs="Arial" w:eastAsia="Arial" w:hAnsi="Arial"/>
                <w:sz w:val="17"/>
                <w:szCs w:val="17"/>
                <w:color w:val="auto"/>
                <w:w w:val="86"/>
              </w:rPr>
              <w:t>Samsung</w:t>
            </w:r>
          </w:p>
        </w:tc>
        <w:tc>
          <w:tcPr>
            <w:tcW w:w="1260" w:type="dxa"/>
            <w:vAlign w:val="bottom"/>
          </w:tcPr>
          <w:p>
            <w:pPr>
              <w:jc w:val="center"/>
              <w:spacing w:after="0"/>
              <w:rPr>
                <w:sz w:val="20"/>
                <w:szCs w:val="20"/>
                <w:color w:val="auto"/>
              </w:rPr>
            </w:pPr>
            <w:r>
              <w:rPr>
                <w:rFonts w:ascii="Arial" w:cs="Arial" w:eastAsia="Arial" w:hAnsi="Arial"/>
                <w:sz w:val="17"/>
                <w:szCs w:val="17"/>
                <w:color w:val="auto"/>
                <w:w w:val="91"/>
              </w:rPr>
              <w:t>174,000</w:t>
            </w:r>
          </w:p>
        </w:tc>
        <w:tc>
          <w:tcPr>
            <w:tcW w:w="180" w:type="dxa"/>
            <w:vAlign w:val="bottom"/>
          </w:tcPr>
          <w:p>
            <w:pPr>
              <w:spacing w:after="0"/>
              <w:rPr>
                <w:sz w:val="23"/>
                <w:szCs w:val="23"/>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7"/>
                <w:szCs w:val="17"/>
                <w:color w:val="auto"/>
                <w:w w:val="89"/>
              </w:rPr>
              <w:t>Cheniere</w:t>
            </w:r>
          </w:p>
        </w:tc>
        <w:tc>
          <w:tcPr>
            <w:tcW w:w="1600" w:type="dxa"/>
            <w:vAlign w:val="bottom"/>
            <w:gridSpan w:val="2"/>
          </w:tcPr>
          <w:p>
            <w:pPr>
              <w:jc w:val="center"/>
              <w:ind w:right="160"/>
              <w:spacing w:after="0"/>
              <w:rPr>
                <w:sz w:val="20"/>
                <w:szCs w:val="20"/>
                <w:color w:val="auto"/>
              </w:rPr>
            </w:pPr>
            <w:r>
              <w:rPr>
                <w:rFonts w:ascii="Arial" w:cs="Arial" w:eastAsia="Arial" w:hAnsi="Arial"/>
                <w:sz w:val="17"/>
                <w:szCs w:val="17"/>
                <w:color w:val="auto"/>
                <w:w w:val="93"/>
              </w:rPr>
              <w:t>LP-2S</w:t>
            </w:r>
          </w:p>
        </w:tc>
        <w:tc>
          <w:tcPr>
            <w:tcW w:w="2160" w:type="dxa"/>
            <w:vAlign w:val="bottom"/>
          </w:tcPr>
          <w:p>
            <w:pPr>
              <w:jc w:val="center"/>
              <w:spacing w:after="0"/>
              <w:rPr>
                <w:sz w:val="20"/>
                <w:szCs w:val="20"/>
                <w:color w:val="auto"/>
              </w:rPr>
            </w:pPr>
            <w:r>
              <w:rPr>
                <w:rFonts w:ascii="Arial" w:cs="Arial" w:eastAsia="Arial" w:hAnsi="Arial"/>
                <w:sz w:val="17"/>
                <w:szCs w:val="17"/>
                <w:color w:val="auto"/>
                <w:w w:val="89"/>
              </w:rPr>
              <w:t>2027</w:t>
            </w:r>
          </w:p>
        </w:tc>
      </w:tr>
      <w:tr>
        <w:trPr>
          <w:trHeight w:val="274"/>
        </w:trPr>
        <w:tc>
          <w:tcPr>
            <w:tcW w:w="2000" w:type="dxa"/>
            <w:vAlign w:val="bottom"/>
            <w:gridSpan w:val="2"/>
            <w:shd w:val="clear" w:color="auto" w:fill="E5FFFF"/>
          </w:tcPr>
          <w:p>
            <w:pPr>
              <w:ind w:left="400"/>
              <w:spacing w:after="0"/>
              <w:rPr>
                <w:sz w:val="20"/>
                <w:szCs w:val="20"/>
                <w:color w:val="auto"/>
              </w:rPr>
            </w:pPr>
            <w:r>
              <w:rPr>
                <w:rFonts w:ascii="Arial" w:cs="Arial" w:eastAsia="Arial" w:hAnsi="Arial"/>
                <w:sz w:val="17"/>
                <w:szCs w:val="17"/>
                <w:color w:val="auto"/>
              </w:rPr>
              <w:t>Hull No. 2301</w:t>
            </w:r>
          </w:p>
        </w:tc>
        <w:tc>
          <w:tcPr>
            <w:tcW w:w="2220" w:type="dxa"/>
            <w:vAlign w:val="bottom"/>
            <w:gridSpan w:val="2"/>
            <w:shd w:val="clear" w:color="auto" w:fill="E5FFFF"/>
          </w:tcPr>
          <w:p>
            <w:pPr>
              <w:jc w:val="center"/>
              <w:ind w:right="300"/>
              <w:spacing w:after="0"/>
              <w:rPr>
                <w:sz w:val="20"/>
                <w:szCs w:val="20"/>
                <w:color w:val="auto"/>
              </w:rPr>
            </w:pPr>
            <w:r>
              <w:rPr>
                <w:rFonts w:ascii="Arial" w:cs="Arial" w:eastAsia="Arial" w:hAnsi="Arial"/>
                <w:sz w:val="17"/>
                <w:szCs w:val="17"/>
                <w:color w:val="auto"/>
                <w:w w:val="91"/>
              </w:rPr>
              <w:t>Q4 2020</w:t>
            </w:r>
          </w:p>
        </w:tc>
        <w:tc>
          <w:tcPr>
            <w:tcW w:w="1280" w:type="dxa"/>
            <w:vAlign w:val="bottom"/>
            <w:gridSpan w:val="2"/>
            <w:shd w:val="clear" w:color="auto" w:fill="E5FFFF"/>
          </w:tcPr>
          <w:p>
            <w:pPr>
              <w:jc w:val="center"/>
              <w:ind w:right="180"/>
              <w:spacing w:after="0"/>
              <w:rPr>
                <w:sz w:val="20"/>
                <w:szCs w:val="20"/>
                <w:color w:val="auto"/>
              </w:rPr>
            </w:pPr>
            <w:r>
              <w:rPr>
                <w:rFonts w:ascii="Arial" w:cs="Arial" w:eastAsia="Arial" w:hAnsi="Arial"/>
                <w:sz w:val="17"/>
                <w:szCs w:val="17"/>
                <w:color w:val="auto"/>
                <w:w w:val="86"/>
              </w:rPr>
              <w:t>Samsung</w:t>
            </w:r>
          </w:p>
        </w:tc>
        <w:tc>
          <w:tcPr>
            <w:tcW w:w="126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91"/>
              </w:rPr>
              <w:t>174,000</w:t>
            </w:r>
          </w:p>
        </w:tc>
        <w:tc>
          <w:tcPr>
            <w:tcW w:w="180" w:type="dxa"/>
            <w:vAlign w:val="bottom"/>
            <w:shd w:val="clear" w:color="auto" w:fill="E5FFFF"/>
          </w:tcPr>
          <w:p>
            <w:pPr>
              <w:spacing w:after="0"/>
              <w:rPr>
                <w:sz w:val="23"/>
                <w:szCs w:val="23"/>
                <w:color w:val="auto"/>
              </w:rPr>
            </w:pPr>
          </w:p>
        </w:tc>
        <w:tc>
          <w:tcPr>
            <w:tcW w:w="1300" w:type="dxa"/>
            <w:vAlign w:val="bottom"/>
            <w:gridSpan w:val="2"/>
            <w:shd w:val="clear" w:color="auto" w:fill="E5FFFF"/>
          </w:tcPr>
          <w:p>
            <w:pPr>
              <w:jc w:val="center"/>
              <w:ind w:right="160"/>
              <w:spacing w:after="0"/>
              <w:rPr>
                <w:sz w:val="20"/>
                <w:szCs w:val="20"/>
                <w:color w:val="auto"/>
              </w:rPr>
            </w:pPr>
            <w:r>
              <w:rPr>
                <w:rFonts w:ascii="Arial" w:cs="Arial" w:eastAsia="Arial" w:hAnsi="Arial"/>
                <w:sz w:val="17"/>
                <w:szCs w:val="17"/>
                <w:color w:val="auto"/>
                <w:w w:val="89"/>
              </w:rPr>
              <w:t>Cheniere</w:t>
            </w:r>
          </w:p>
        </w:tc>
        <w:tc>
          <w:tcPr>
            <w:tcW w:w="1600" w:type="dxa"/>
            <w:vAlign w:val="bottom"/>
            <w:gridSpan w:val="2"/>
            <w:shd w:val="clear" w:color="auto" w:fill="E5FFFF"/>
          </w:tcPr>
          <w:p>
            <w:pPr>
              <w:jc w:val="center"/>
              <w:ind w:right="160"/>
              <w:spacing w:after="0"/>
              <w:rPr>
                <w:sz w:val="20"/>
                <w:szCs w:val="20"/>
                <w:color w:val="auto"/>
              </w:rPr>
            </w:pPr>
            <w:r>
              <w:rPr>
                <w:rFonts w:ascii="Arial" w:cs="Arial" w:eastAsia="Arial" w:hAnsi="Arial"/>
                <w:sz w:val="17"/>
                <w:szCs w:val="17"/>
                <w:color w:val="auto"/>
                <w:w w:val="93"/>
              </w:rPr>
              <w:t>LP-2S</w:t>
            </w:r>
          </w:p>
        </w:tc>
        <w:tc>
          <w:tcPr>
            <w:tcW w:w="216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89"/>
              </w:rPr>
              <w:t>2027</w:t>
            </w:r>
          </w:p>
        </w:tc>
      </w:tr>
      <w:tr>
        <w:trPr>
          <w:trHeight w:val="267"/>
        </w:trPr>
        <w:tc>
          <w:tcPr>
            <w:tcW w:w="2000" w:type="dxa"/>
            <w:vAlign w:val="bottom"/>
            <w:gridSpan w:val="2"/>
          </w:tcPr>
          <w:p>
            <w:pPr>
              <w:ind w:left="420"/>
              <w:spacing w:after="0"/>
              <w:rPr>
                <w:sz w:val="20"/>
                <w:szCs w:val="20"/>
                <w:color w:val="auto"/>
              </w:rPr>
            </w:pPr>
            <w:r>
              <w:rPr>
                <w:rFonts w:ascii="Arial" w:cs="Arial" w:eastAsia="Arial" w:hAnsi="Arial"/>
                <w:sz w:val="17"/>
                <w:szCs w:val="17"/>
                <w:color w:val="auto"/>
              </w:rPr>
              <w:t>Hull No. 2311</w:t>
            </w:r>
          </w:p>
        </w:tc>
        <w:tc>
          <w:tcPr>
            <w:tcW w:w="2220" w:type="dxa"/>
            <w:vAlign w:val="bottom"/>
            <w:gridSpan w:val="2"/>
          </w:tcPr>
          <w:p>
            <w:pPr>
              <w:jc w:val="center"/>
              <w:ind w:right="300"/>
              <w:spacing w:after="0"/>
              <w:rPr>
                <w:sz w:val="20"/>
                <w:szCs w:val="20"/>
                <w:color w:val="auto"/>
              </w:rPr>
            </w:pPr>
            <w:r>
              <w:rPr>
                <w:rFonts w:ascii="Arial" w:cs="Arial" w:eastAsia="Arial" w:hAnsi="Arial"/>
                <w:sz w:val="17"/>
                <w:szCs w:val="17"/>
                <w:color w:val="auto"/>
                <w:w w:val="91"/>
              </w:rPr>
              <w:t>Q2 2021</w:t>
            </w:r>
          </w:p>
        </w:tc>
        <w:tc>
          <w:tcPr>
            <w:tcW w:w="1280" w:type="dxa"/>
            <w:vAlign w:val="bottom"/>
            <w:gridSpan w:val="2"/>
          </w:tcPr>
          <w:p>
            <w:pPr>
              <w:jc w:val="center"/>
              <w:ind w:right="180"/>
              <w:spacing w:after="0"/>
              <w:rPr>
                <w:sz w:val="20"/>
                <w:szCs w:val="20"/>
                <w:color w:val="auto"/>
              </w:rPr>
            </w:pPr>
            <w:r>
              <w:rPr>
                <w:rFonts w:ascii="Arial" w:cs="Arial" w:eastAsia="Arial" w:hAnsi="Arial"/>
                <w:sz w:val="17"/>
                <w:szCs w:val="17"/>
                <w:color w:val="auto"/>
                <w:w w:val="86"/>
              </w:rPr>
              <w:t>Samsung</w:t>
            </w:r>
          </w:p>
        </w:tc>
        <w:tc>
          <w:tcPr>
            <w:tcW w:w="1260" w:type="dxa"/>
            <w:vAlign w:val="bottom"/>
          </w:tcPr>
          <w:p>
            <w:pPr>
              <w:jc w:val="center"/>
              <w:spacing w:after="0"/>
              <w:rPr>
                <w:sz w:val="20"/>
                <w:szCs w:val="20"/>
                <w:color w:val="auto"/>
              </w:rPr>
            </w:pPr>
            <w:r>
              <w:rPr>
                <w:rFonts w:ascii="Arial" w:cs="Arial" w:eastAsia="Arial" w:hAnsi="Arial"/>
                <w:sz w:val="17"/>
                <w:szCs w:val="17"/>
                <w:color w:val="auto"/>
                <w:w w:val="91"/>
              </w:rPr>
              <w:t>180,000</w:t>
            </w:r>
          </w:p>
        </w:tc>
        <w:tc>
          <w:tcPr>
            <w:tcW w:w="180" w:type="dxa"/>
            <w:vAlign w:val="bottom"/>
          </w:tcPr>
          <w:p>
            <w:pPr>
              <w:spacing w:after="0"/>
              <w:rPr>
                <w:sz w:val="23"/>
                <w:szCs w:val="23"/>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7"/>
                <w:szCs w:val="17"/>
                <w:color w:val="auto"/>
                <w:w w:val="89"/>
              </w:rPr>
              <w:t>Cheniere</w:t>
            </w:r>
          </w:p>
        </w:tc>
        <w:tc>
          <w:tcPr>
            <w:tcW w:w="1600" w:type="dxa"/>
            <w:vAlign w:val="bottom"/>
            <w:gridSpan w:val="2"/>
          </w:tcPr>
          <w:p>
            <w:pPr>
              <w:jc w:val="center"/>
              <w:ind w:right="160"/>
              <w:spacing w:after="0"/>
              <w:rPr>
                <w:sz w:val="20"/>
                <w:szCs w:val="20"/>
                <w:color w:val="auto"/>
              </w:rPr>
            </w:pPr>
            <w:r>
              <w:rPr>
                <w:rFonts w:ascii="Arial" w:cs="Arial" w:eastAsia="Arial" w:hAnsi="Arial"/>
                <w:sz w:val="17"/>
                <w:szCs w:val="17"/>
                <w:color w:val="auto"/>
                <w:w w:val="93"/>
              </w:rPr>
              <w:t>LP-2S</w:t>
            </w:r>
          </w:p>
        </w:tc>
        <w:tc>
          <w:tcPr>
            <w:tcW w:w="2160" w:type="dxa"/>
            <w:vAlign w:val="bottom"/>
          </w:tcPr>
          <w:p>
            <w:pPr>
              <w:jc w:val="center"/>
              <w:spacing w:after="0"/>
              <w:rPr>
                <w:sz w:val="20"/>
                <w:szCs w:val="20"/>
                <w:color w:val="auto"/>
              </w:rPr>
            </w:pPr>
            <w:r>
              <w:rPr>
                <w:rFonts w:ascii="Arial" w:cs="Arial" w:eastAsia="Arial" w:hAnsi="Arial"/>
                <w:sz w:val="17"/>
                <w:szCs w:val="17"/>
                <w:color w:val="auto"/>
                <w:w w:val="89"/>
              </w:rPr>
              <w:t>2028</w:t>
            </w:r>
          </w:p>
        </w:tc>
      </w:tr>
      <w:tr>
        <w:trPr>
          <w:trHeight w:val="274"/>
        </w:trPr>
        <w:tc>
          <w:tcPr>
            <w:tcW w:w="2000" w:type="dxa"/>
            <w:vAlign w:val="bottom"/>
            <w:gridSpan w:val="2"/>
            <w:shd w:val="clear" w:color="auto" w:fill="E5FFFF"/>
          </w:tcPr>
          <w:p>
            <w:pPr>
              <w:ind w:left="400"/>
              <w:spacing w:after="0"/>
              <w:rPr>
                <w:sz w:val="20"/>
                <w:szCs w:val="20"/>
                <w:color w:val="auto"/>
              </w:rPr>
            </w:pPr>
            <w:r>
              <w:rPr>
                <w:rFonts w:ascii="Arial" w:cs="Arial" w:eastAsia="Arial" w:hAnsi="Arial"/>
                <w:sz w:val="17"/>
                <w:szCs w:val="17"/>
                <w:color w:val="auto"/>
              </w:rPr>
              <w:t>Hull No. 2312</w:t>
            </w:r>
          </w:p>
        </w:tc>
        <w:tc>
          <w:tcPr>
            <w:tcW w:w="2220" w:type="dxa"/>
            <w:vAlign w:val="bottom"/>
            <w:gridSpan w:val="2"/>
            <w:shd w:val="clear" w:color="auto" w:fill="E5FFFF"/>
          </w:tcPr>
          <w:p>
            <w:pPr>
              <w:jc w:val="center"/>
              <w:ind w:right="300"/>
              <w:spacing w:after="0"/>
              <w:rPr>
                <w:sz w:val="20"/>
                <w:szCs w:val="20"/>
                <w:color w:val="auto"/>
              </w:rPr>
            </w:pPr>
            <w:r>
              <w:rPr>
                <w:rFonts w:ascii="Arial" w:cs="Arial" w:eastAsia="Arial" w:hAnsi="Arial"/>
                <w:sz w:val="17"/>
                <w:szCs w:val="17"/>
                <w:color w:val="auto"/>
                <w:w w:val="91"/>
              </w:rPr>
              <w:t>Q3 2021</w:t>
            </w:r>
          </w:p>
        </w:tc>
        <w:tc>
          <w:tcPr>
            <w:tcW w:w="1280" w:type="dxa"/>
            <w:vAlign w:val="bottom"/>
            <w:gridSpan w:val="2"/>
            <w:shd w:val="clear" w:color="auto" w:fill="E5FFFF"/>
          </w:tcPr>
          <w:p>
            <w:pPr>
              <w:jc w:val="center"/>
              <w:ind w:right="180"/>
              <w:spacing w:after="0"/>
              <w:rPr>
                <w:sz w:val="20"/>
                <w:szCs w:val="20"/>
                <w:color w:val="auto"/>
              </w:rPr>
            </w:pPr>
            <w:r>
              <w:rPr>
                <w:rFonts w:ascii="Arial" w:cs="Arial" w:eastAsia="Arial" w:hAnsi="Arial"/>
                <w:sz w:val="17"/>
                <w:szCs w:val="17"/>
                <w:color w:val="auto"/>
                <w:w w:val="86"/>
              </w:rPr>
              <w:t>Samsung</w:t>
            </w:r>
          </w:p>
        </w:tc>
        <w:tc>
          <w:tcPr>
            <w:tcW w:w="126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91"/>
              </w:rPr>
              <w:t>180,000</w:t>
            </w:r>
          </w:p>
        </w:tc>
        <w:tc>
          <w:tcPr>
            <w:tcW w:w="180" w:type="dxa"/>
            <w:vAlign w:val="bottom"/>
            <w:shd w:val="clear" w:color="auto" w:fill="E5FFFF"/>
          </w:tcPr>
          <w:p>
            <w:pPr>
              <w:spacing w:after="0"/>
              <w:rPr>
                <w:sz w:val="23"/>
                <w:szCs w:val="23"/>
                <w:color w:val="auto"/>
              </w:rPr>
            </w:pPr>
          </w:p>
        </w:tc>
        <w:tc>
          <w:tcPr>
            <w:tcW w:w="1300" w:type="dxa"/>
            <w:vAlign w:val="bottom"/>
            <w:gridSpan w:val="2"/>
            <w:shd w:val="clear" w:color="auto" w:fill="E5FFFF"/>
          </w:tcPr>
          <w:p>
            <w:pPr>
              <w:jc w:val="center"/>
              <w:ind w:right="160"/>
              <w:spacing w:after="0"/>
              <w:rPr>
                <w:sz w:val="20"/>
                <w:szCs w:val="20"/>
                <w:color w:val="auto"/>
              </w:rPr>
            </w:pPr>
            <w:r>
              <w:rPr>
                <w:rFonts w:ascii="Arial" w:cs="Arial" w:eastAsia="Arial" w:hAnsi="Arial"/>
                <w:sz w:val="17"/>
                <w:szCs w:val="17"/>
                <w:color w:val="auto"/>
                <w:w w:val="89"/>
              </w:rPr>
              <w:t>Cheniere</w:t>
            </w:r>
          </w:p>
        </w:tc>
        <w:tc>
          <w:tcPr>
            <w:tcW w:w="1600" w:type="dxa"/>
            <w:vAlign w:val="bottom"/>
            <w:gridSpan w:val="2"/>
            <w:shd w:val="clear" w:color="auto" w:fill="E5FFFF"/>
          </w:tcPr>
          <w:p>
            <w:pPr>
              <w:jc w:val="center"/>
              <w:ind w:right="160"/>
              <w:spacing w:after="0"/>
              <w:rPr>
                <w:sz w:val="20"/>
                <w:szCs w:val="20"/>
                <w:color w:val="auto"/>
              </w:rPr>
            </w:pPr>
            <w:r>
              <w:rPr>
                <w:rFonts w:ascii="Arial" w:cs="Arial" w:eastAsia="Arial" w:hAnsi="Arial"/>
                <w:sz w:val="17"/>
                <w:szCs w:val="17"/>
                <w:color w:val="auto"/>
                <w:w w:val="93"/>
              </w:rPr>
              <w:t>LP-2S</w:t>
            </w:r>
          </w:p>
        </w:tc>
        <w:tc>
          <w:tcPr>
            <w:tcW w:w="216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89"/>
              </w:rPr>
              <w:t>2028</w:t>
            </w:r>
          </w:p>
        </w:tc>
      </w:tr>
    </w:tbl>
    <w:p>
      <w:pPr>
        <w:spacing w:after="0" w:line="86" w:lineRule="exact"/>
        <w:rPr>
          <w:sz w:val="20"/>
          <w:szCs w:val="20"/>
          <w:color w:val="auto"/>
        </w:rPr>
      </w:pPr>
    </w:p>
    <w:p>
      <w:pPr>
        <w:ind w:left="6"/>
        <w:spacing w:after="0"/>
        <w:rPr>
          <w:sz w:val="20"/>
          <w:szCs w:val="20"/>
          <w:color w:val="auto"/>
        </w:rPr>
      </w:pPr>
      <w:r>
        <w:rPr>
          <w:rFonts w:ascii="Arial" w:cs="Arial" w:eastAsia="Arial" w:hAnsi="Arial"/>
          <w:sz w:val="19"/>
          <w:szCs w:val="19"/>
          <w:color w:val="auto"/>
        </w:rPr>
        <w:t>___________</w:t>
      </w:r>
    </w:p>
    <w:p>
      <w:pPr>
        <w:ind w:left="266" w:hanging="266"/>
        <w:spacing w:after="0" w:line="190" w:lineRule="auto"/>
        <w:tabs>
          <w:tab w:leader="none" w:pos="266"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Expected delivery quarters are presented.</w:t>
      </w:r>
    </w:p>
    <w:p>
      <w:pPr>
        <w:ind w:left="266" w:hanging="266"/>
        <w:spacing w:after="0" w:line="197" w:lineRule="auto"/>
        <w:tabs>
          <w:tab w:leader="none" w:pos="266"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Charter expiration to be determined based upon actual date of delivery.</w:t>
      </w:r>
    </w:p>
    <w:p>
      <w:pPr>
        <w:spacing w:after="0" w:line="197" w:lineRule="exact"/>
        <w:rPr>
          <w:sz w:val="20"/>
          <w:szCs w:val="20"/>
          <w:color w:val="auto"/>
        </w:rPr>
      </w:pPr>
    </w:p>
    <w:p>
      <w:pPr>
        <w:ind w:left="6"/>
        <w:spacing w:after="0"/>
        <w:rPr>
          <w:sz w:val="20"/>
          <w:szCs w:val="20"/>
          <w:color w:val="auto"/>
        </w:rPr>
      </w:pPr>
      <w:r>
        <w:rPr>
          <w:rFonts w:ascii="Arial" w:cs="Arial" w:eastAsia="Arial" w:hAnsi="Arial"/>
          <w:sz w:val="17"/>
          <w:szCs w:val="17"/>
          <w:b w:val="1"/>
          <w:bCs w:val="1"/>
          <w:u w:val="single" w:color="auto"/>
          <w:color w:val="auto"/>
        </w:rPr>
        <w:t>Conference Call</w:t>
      </w:r>
    </w:p>
    <w:p>
      <w:pPr>
        <w:spacing w:after="0" w:line="253" w:lineRule="exact"/>
        <w:rPr>
          <w:sz w:val="20"/>
          <w:szCs w:val="20"/>
          <w:color w:val="auto"/>
        </w:rPr>
      </w:pPr>
    </w:p>
    <w:p>
      <w:pPr>
        <w:jc w:val="both"/>
        <w:ind w:left="6" w:right="20"/>
        <w:spacing w:after="0" w:line="275" w:lineRule="auto"/>
        <w:rPr>
          <w:sz w:val="20"/>
          <w:szCs w:val="20"/>
          <w:color w:val="auto"/>
        </w:rPr>
      </w:pPr>
      <w:r>
        <w:rPr>
          <w:rFonts w:ascii="Arial" w:cs="Arial" w:eastAsia="Arial" w:hAnsi="Arial"/>
          <w:sz w:val="17"/>
          <w:szCs w:val="17"/>
          <w:color w:val="auto"/>
        </w:rPr>
        <w:t>GasLog will host a conference call to discuss its results for the fourth quarter of 2018 at 8:30 a.m. EDT (1:30 p.m. GMT) on Thursday, February 14, 2019. Paul Wogan, Chief Executive Officer, and Alastair Maxwell, Chief Financial Officer, will review the Company’s operational and financial performance for the period. Management’s presentation will be followed by a Q&amp;A session.</w:t>
      </w:r>
    </w:p>
    <w:p>
      <w:pPr>
        <w:spacing w:after="0" w:line="198" w:lineRule="exact"/>
        <w:rPr>
          <w:sz w:val="20"/>
          <w:szCs w:val="20"/>
          <w:color w:val="auto"/>
        </w:rPr>
      </w:pPr>
    </w:p>
    <w:p>
      <w:pPr>
        <w:ind w:left="6"/>
        <w:spacing w:after="0"/>
        <w:rPr>
          <w:sz w:val="20"/>
          <w:szCs w:val="20"/>
          <w:color w:val="auto"/>
        </w:rPr>
      </w:pPr>
      <w:r>
        <w:rPr>
          <w:rFonts w:ascii="Arial" w:cs="Arial" w:eastAsia="Arial" w:hAnsi="Arial"/>
          <w:sz w:val="17"/>
          <w:szCs w:val="17"/>
          <w:color w:val="auto"/>
        </w:rPr>
        <w:t>The dial-in numbers for the conference call are as follows:</w:t>
      </w:r>
    </w:p>
    <w:p>
      <w:pPr>
        <w:spacing w:after="0" w:line="247" w:lineRule="exact"/>
        <w:rPr>
          <w:sz w:val="20"/>
          <w:szCs w:val="20"/>
          <w:color w:val="auto"/>
        </w:rPr>
      </w:pPr>
    </w:p>
    <w:p>
      <w:pPr>
        <w:ind w:left="6"/>
        <w:spacing w:after="0"/>
        <w:rPr>
          <w:sz w:val="20"/>
          <w:szCs w:val="20"/>
          <w:color w:val="auto"/>
        </w:rPr>
      </w:pPr>
      <w:r>
        <w:rPr>
          <w:rFonts w:ascii="Arial" w:cs="Arial" w:eastAsia="Arial" w:hAnsi="Arial"/>
          <w:sz w:val="17"/>
          <w:szCs w:val="17"/>
          <w:color w:val="auto"/>
        </w:rPr>
        <w:t>+1 855 253 8928 (USA)</w:t>
      </w:r>
    </w:p>
    <w:p>
      <w:pPr>
        <w:spacing w:after="0" w:line="21" w:lineRule="exact"/>
        <w:rPr>
          <w:sz w:val="20"/>
          <w:szCs w:val="20"/>
          <w:color w:val="auto"/>
        </w:rPr>
      </w:pPr>
    </w:p>
    <w:p>
      <w:pPr>
        <w:ind w:left="6"/>
        <w:spacing w:after="0"/>
        <w:rPr>
          <w:sz w:val="20"/>
          <w:szCs w:val="20"/>
          <w:color w:val="auto"/>
        </w:rPr>
      </w:pPr>
      <w:r>
        <w:rPr>
          <w:rFonts w:ascii="Arial" w:cs="Arial" w:eastAsia="Arial" w:hAnsi="Arial"/>
          <w:sz w:val="17"/>
          <w:szCs w:val="17"/>
          <w:color w:val="auto"/>
        </w:rPr>
        <w:t>+44 20 3107 0289 (United Kingdom)</w:t>
      </w:r>
    </w:p>
    <w:p>
      <w:pPr>
        <w:spacing w:after="0" w:line="18" w:lineRule="exact"/>
        <w:rPr>
          <w:sz w:val="20"/>
          <w:szCs w:val="20"/>
          <w:color w:val="auto"/>
        </w:rPr>
      </w:pPr>
    </w:p>
    <w:p>
      <w:pPr>
        <w:ind w:left="6"/>
        <w:spacing w:after="0"/>
        <w:rPr>
          <w:sz w:val="20"/>
          <w:szCs w:val="20"/>
          <w:color w:val="auto"/>
        </w:rPr>
      </w:pPr>
      <w:r>
        <w:rPr>
          <w:rFonts w:ascii="Arial" w:cs="Arial" w:eastAsia="Arial" w:hAnsi="Arial"/>
          <w:sz w:val="17"/>
          <w:szCs w:val="17"/>
          <w:color w:val="auto"/>
        </w:rPr>
        <w:t>+33 1 70 80 71 53 (France)</w:t>
      </w:r>
    </w:p>
    <w:p>
      <w:pPr>
        <w:spacing w:after="0" w:line="18" w:lineRule="exact"/>
        <w:rPr>
          <w:sz w:val="20"/>
          <w:szCs w:val="20"/>
          <w:color w:val="auto"/>
        </w:rPr>
      </w:pPr>
    </w:p>
    <w:p>
      <w:pPr>
        <w:ind w:left="6"/>
        <w:spacing w:after="0"/>
        <w:rPr>
          <w:sz w:val="20"/>
          <w:szCs w:val="20"/>
          <w:color w:val="auto"/>
        </w:rPr>
      </w:pPr>
      <w:r>
        <w:rPr>
          <w:rFonts w:ascii="Arial" w:cs="Arial" w:eastAsia="Arial" w:hAnsi="Arial"/>
          <w:sz w:val="17"/>
          <w:szCs w:val="17"/>
          <w:color w:val="auto"/>
        </w:rPr>
        <w:t>+852 3011 4522 (Hong Kong)</w:t>
      </w:r>
    </w:p>
    <w:p>
      <w:pPr>
        <w:spacing w:after="0" w:line="244" w:lineRule="exact"/>
        <w:rPr>
          <w:sz w:val="20"/>
          <w:szCs w:val="20"/>
          <w:color w:val="auto"/>
        </w:rPr>
      </w:pPr>
    </w:p>
    <w:p>
      <w:pPr>
        <w:ind w:left="6"/>
        <w:spacing w:after="0"/>
        <w:rPr>
          <w:sz w:val="20"/>
          <w:szCs w:val="20"/>
          <w:color w:val="auto"/>
        </w:rPr>
      </w:pPr>
      <w:r>
        <w:rPr>
          <w:rFonts w:ascii="Arial" w:cs="Arial" w:eastAsia="Arial" w:hAnsi="Arial"/>
          <w:sz w:val="17"/>
          <w:szCs w:val="17"/>
          <w:color w:val="auto"/>
        </w:rPr>
        <w:t>Conference ID: 6870419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233045</wp:posOffset>
            </wp:positionV>
            <wp:extent cx="7646670" cy="311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6"/>
          </w:cols>
          <w:pgMar w:left="114" w:top="218" w:right="120"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 xml:space="preserve">A live webcast of the conference call will also be available on the Investor Relations page of the Company’s website at </w:t>
      </w:r>
      <w:r>
        <w:rPr>
          <w:rFonts w:ascii="Arial" w:cs="Arial" w:eastAsia="Arial" w:hAnsi="Arial"/>
          <w:sz w:val="16"/>
          <w:szCs w:val="16"/>
          <w:u w:val="single" w:color="auto"/>
          <w:color w:val="0000FF"/>
        </w:rPr>
        <w:t>http://www.gaslogltd.com/investor-relations</w:t>
      </w:r>
      <w:r>
        <w:rPr>
          <w:rFonts w:ascii="Arial" w:cs="Arial" w:eastAsia="Arial" w:hAnsi="Arial"/>
          <w:sz w:val="16"/>
          <w:szCs w:val="16"/>
          <w:color w:val="auto"/>
        </w:rPr>
        <w:t>.</w:t>
      </w:r>
    </w:p>
    <w:p>
      <w:pPr>
        <w:spacing w:after="0" w:line="187" w:lineRule="exact"/>
        <w:rPr>
          <w:sz w:val="20"/>
          <w:szCs w:val="20"/>
          <w:color w:val="auto"/>
        </w:rPr>
      </w:pPr>
    </w:p>
    <w:p>
      <w:pPr>
        <w:ind w:right="1460"/>
        <w:spacing w:after="0" w:line="288" w:lineRule="auto"/>
        <w:rPr>
          <w:sz w:val="20"/>
          <w:szCs w:val="20"/>
          <w:color w:val="auto"/>
        </w:rPr>
      </w:pPr>
      <w:r>
        <w:rPr>
          <w:rFonts w:ascii="Arial" w:cs="Arial" w:eastAsia="Arial" w:hAnsi="Arial"/>
          <w:sz w:val="17"/>
          <w:szCs w:val="17"/>
          <w:color w:val="auto"/>
        </w:rPr>
        <w:t xml:space="preserve">For those unable to participate in the conference call, a replay of the webcast will be available on the Investor Relations page of the Company’s website at </w:t>
      </w:r>
      <w:r>
        <w:rPr>
          <w:rFonts w:ascii="Arial" w:cs="Arial" w:eastAsia="Arial" w:hAnsi="Arial"/>
          <w:sz w:val="17"/>
          <w:szCs w:val="17"/>
          <w:u w:val="single" w:color="auto"/>
          <w:color w:val="0000FF"/>
        </w:rPr>
        <w:t>http://www.gaslogltd.com/investor-relations.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About GasLog</w:t>
      </w:r>
    </w:p>
    <w:p>
      <w:pPr>
        <w:spacing w:after="0" w:line="181" w:lineRule="exact"/>
        <w:rPr>
          <w:sz w:val="20"/>
          <w:szCs w:val="20"/>
          <w:color w:val="auto"/>
        </w:rPr>
      </w:pPr>
    </w:p>
    <w:p>
      <w:pPr>
        <w:ind w:right="140"/>
        <w:spacing w:after="0" w:line="318" w:lineRule="auto"/>
        <w:rPr>
          <w:sz w:val="20"/>
          <w:szCs w:val="20"/>
          <w:color w:val="auto"/>
        </w:rPr>
      </w:pPr>
      <w:r>
        <w:rPr>
          <w:rFonts w:ascii="Arial" w:cs="Arial" w:eastAsia="Arial" w:hAnsi="Arial"/>
          <w:sz w:val="15"/>
          <w:szCs w:val="15"/>
          <w:color w:val="auto"/>
        </w:rPr>
        <w:t xml:space="preserve">GasLog is an international owner, operator and manager of LNG carriers providing support to international energy companies as part of their LNG logistics chain. GasLog’s consolidated owned fleet consists of 34 LNG carriers (25 ships on the water and nine on order). GasLog also has an additional LNG carrier which was sold to a subsidiary of Mitsui &amp; Co. Ltd. and leased back under a long-term bareboat charter. GasLog’s consolidated fleet currently includes 14 LNG carriers in operation owned by GasLog Partners. GasLog’s principal executive offices are at Gildo Pastor Center, 7 Rue du Gabian, MC 98000, Monaco. Visit GasLog’s website at </w:t>
      </w:r>
      <w:r>
        <w:rPr>
          <w:rFonts w:ascii="Arial" w:cs="Arial" w:eastAsia="Arial" w:hAnsi="Arial"/>
          <w:sz w:val="15"/>
          <w:szCs w:val="15"/>
          <w:u w:val="single" w:color="auto"/>
          <w:color w:val="0000FF"/>
        </w:rPr>
        <w:t>http://www.gaslogltd.com</w:t>
      </w:r>
      <w:r>
        <w:rPr>
          <w:rFonts w:ascii="Arial" w:cs="Arial" w:eastAsia="Arial" w:hAnsi="Arial"/>
          <w:sz w:val="13"/>
          <w:szCs w:val="13"/>
          <w:color w:val="auto"/>
        </w:rPr>
        <w:t>.</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Forward-Looking Statements</w:t>
      </w:r>
    </w:p>
    <w:p>
      <w:pPr>
        <w:spacing w:after="0" w:line="18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Factors that might cause future results and outcomes to differ include, but are not limited to, the following:</w:t>
      </w:r>
    </w:p>
    <w:p>
      <w:pPr>
        <w:spacing w:after="0" w:line="175" w:lineRule="exact"/>
        <w:rPr>
          <w:sz w:val="20"/>
          <w:szCs w:val="20"/>
          <w:color w:val="auto"/>
        </w:rPr>
      </w:pPr>
    </w:p>
    <w:p>
      <w:pPr>
        <w:ind w:left="680" w:right="120" w:hanging="344"/>
        <w:spacing w:after="0" w:line="264" w:lineRule="auto"/>
        <w:tabs>
          <w:tab w:leader="none" w:pos="656" w:val="left"/>
        </w:tabs>
        <w:numPr>
          <w:ilvl w:val="0"/>
          <w:numId w:val="7"/>
        </w:numPr>
        <w:rPr>
          <w:rFonts w:ascii="Arial" w:cs="Arial" w:eastAsia="Arial" w:hAnsi="Arial"/>
          <w:sz w:val="13"/>
          <w:szCs w:val="13"/>
          <w:color w:val="auto"/>
        </w:rPr>
      </w:pPr>
      <w:r>
        <w:rPr>
          <w:rFonts w:ascii="Arial" w:cs="Arial" w:eastAsia="Arial" w:hAnsi="Arial"/>
          <w:sz w:val="17"/>
          <w:szCs w:val="17"/>
          <w:color w:val="auto"/>
        </w:rPr>
        <w:t>general LNG shipping market conditions and trends, including spot and multi-year charter rates, ship values, factors affecting supply and demand of LNG and LNG shipping, technological advancements and opportunities for the profitable operations of LNG carriers;</w:t>
      </w:r>
    </w:p>
    <w:p>
      <w:pPr>
        <w:ind w:left="660" w:hanging="324"/>
        <w:spacing w:after="0"/>
        <w:tabs>
          <w:tab w:leader="none" w:pos="660" w:val="left"/>
        </w:tabs>
        <w:numPr>
          <w:ilvl w:val="0"/>
          <w:numId w:val="7"/>
        </w:numPr>
        <w:rPr>
          <w:rFonts w:ascii="Arial" w:cs="Arial" w:eastAsia="Arial" w:hAnsi="Arial"/>
          <w:sz w:val="13"/>
          <w:szCs w:val="13"/>
          <w:color w:val="auto"/>
        </w:rPr>
      </w:pPr>
      <w:r>
        <w:rPr>
          <w:rFonts w:ascii="Arial" w:cs="Arial" w:eastAsia="Arial" w:hAnsi="Arial"/>
          <w:sz w:val="17"/>
          <w:szCs w:val="17"/>
          <w:color w:val="auto"/>
        </w:rPr>
        <w:t>fluctuations in spot and long-term charter hire rates and vessel values;</w:t>
      </w:r>
    </w:p>
    <w:p>
      <w:pPr>
        <w:spacing w:after="0" w:line="18" w:lineRule="exact"/>
        <w:rPr>
          <w:rFonts w:ascii="Arial" w:cs="Arial" w:eastAsia="Arial" w:hAnsi="Arial"/>
          <w:sz w:val="13"/>
          <w:szCs w:val="13"/>
          <w:color w:val="auto"/>
        </w:rPr>
      </w:pPr>
    </w:p>
    <w:p>
      <w:pPr>
        <w:ind w:left="660" w:hanging="324"/>
        <w:spacing w:after="0"/>
        <w:tabs>
          <w:tab w:leader="none" w:pos="660" w:val="left"/>
        </w:tabs>
        <w:numPr>
          <w:ilvl w:val="0"/>
          <w:numId w:val="7"/>
        </w:numPr>
        <w:rPr>
          <w:rFonts w:ascii="Arial" w:cs="Arial" w:eastAsia="Arial" w:hAnsi="Arial"/>
          <w:sz w:val="13"/>
          <w:szCs w:val="13"/>
          <w:color w:val="auto"/>
        </w:rPr>
      </w:pPr>
      <w:r>
        <w:rPr>
          <w:rFonts w:ascii="Arial" w:cs="Arial" w:eastAsia="Arial" w:hAnsi="Arial"/>
          <w:sz w:val="17"/>
          <w:szCs w:val="17"/>
          <w:color w:val="auto"/>
        </w:rPr>
        <w:t>increased exposure to the spot market and fluctuations in spot charter rates;</w:t>
      </w:r>
    </w:p>
    <w:p>
      <w:pPr>
        <w:spacing w:after="0" w:line="18" w:lineRule="exact"/>
        <w:rPr>
          <w:rFonts w:ascii="Arial" w:cs="Arial" w:eastAsia="Arial" w:hAnsi="Arial"/>
          <w:sz w:val="13"/>
          <w:szCs w:val="13"/>
          <w:color w:val="auto"/>
        </w:rPr>
      </w:pPr>
    </w:p>
    <w:p>
      <w:pPr>
        <w:ind w:left="680" w:right="180" w:hanging="344"/>
        <w:spacing w:after="0" w:line="279" w:lineRule="auto"/>
        <w:tabs>
          <w:tab w:leader="none" w:pos="656" w:val="left"/>
        </w:tabs>
        <w:numPr>
          <w:ilvl w:val="0"/>
          <w:numId w:val="7"/>
        </w:numPr>
        <w:rPr>
          <w:rFonts w:ascii="Arial" w:cs="Arial" w:eastAsia="Arial" w:hAnsi="Arial"/>
          <w:sz w:val="13"/>
          <w:szCs w:val="13"/>
          <w:color w:val="auto"/>
        </w:rPr>
      </w:pPr>
      <w:r>
        <w:rPr>
          <w:rFonts w:ascii="Arial" w:cs="Arial" w:eastAsia="Arial" w:hAnsi="Arial"/>
          <w:sz w:val="16"/>
          <w:szCs w:val="16"/>
          <w:color w:val="auto"/>
        </w:rPr>
        <w:t>our ability to maximize the use of our vessels, including the re-deployment or disposition of vessels which are not under multi-year charters, including the risk that certain of our vessels may no longer have the latest technology at such time which may impact the rate at which we can charter such vessels;</w:t>
      </w:r>
    </w:p>
    <w:p>
      <w:pPr>
        <w:ind w:left="660" w:hanging="324"/>
        <w:spacing w:after="0"/>
        <w:tabs>
          <w:tab w:leader="none" w:pos="660" w:val="left"/>
        </w:tabs>
        <w:numPr>
          <w:ilvl w:val="0"/>
          <w:numId w:val="7"/>
        </w:numPr>
        <w:rPr>
          <w:rFonts w:ascii="Arial" w:cs="Arial" w:eastAsia="Arial" w:hAnsi="Arial"/>
          <w:sz w:val="13"/>
          <w:szCs w:val="13"/>
          <w:color w:val="auto"/>
        </w:rPr>
      </w:pPr>
      <w:r>
        <w:rPr>
          <w:rFonts w:ascii="Arial" w:cs="Arial" w:eastAsia="Arial" w:hAnsi="Arial"/>
          <w:sz w:val="17"/>
          <w:szCs w:val="17"/>
          <w:color w:val="auto"/>
        </w:rPr>
        <w:t>changes in our operating expenses, including crew wages, maintenance, dry-docking and insurance costs and bunker prices;</w:t>
      </w:r>
    </w:p>
    <w:p>
      <w:pPr>
        <w:spacing w:after="0" w:line="18" w:lineRule="exact"/>
        <w:rPr>
          <w:rFonts w:ascii="Arial" w:cs="Arial" w:eastAsia="Arial" w:hAnsi="Arial"/>
          <w:sz w:val="13"/>
          <w:szCs w:val="13"/>
          <w:color w:val="auto"/>
        </w:rPr>
      </w:pPr>
    </w:p>
    <w:p>
      <w:pPr>
        <w:ind w:left="660" w:hanging="324"/>
        <w:spacing w:after="0"/>
        <w:tabs>
          <w:tab w:leader="none" w:pos="660" w:val="left"/>
        </w:tabs>
        <w:numPr>
          <w:ilvl w:val="0"/>
          <w:numId w:val="7"/>
        </w:numPr>
        <w:rPr>
          <w:rFonts w:ascii="Arial" w:cs="Arial" w:eastAsia="Arial" w:hAnsi="Arial"/>
          <w:sz w:val="13"/>
          <w:szCs w:val="13"/>
          <w:color w:val="auto"/>
        </w:rPr>
      </w:pPr>
      <w:r>
        <w:rPr>
          <w:rFonts w:ascii="Arial" w:cs="Arial" w:eastAsia="Arial" w:hAnsi="Arial"/>
          <w:sz w:val="17"/>
          <w:szCs w:val="17"/>
          <w:color w:val="auto"/>
        </w:rPr>
        <w:t>number of off-hire days and dry-docking requirements including our ability to complete scheduled dry-dockings on time and within budget;</w:t>
      </w:r>
    </w:p>
    <w:p>
      <w:pPr>
        <w:spacing w:after="0" w:line="18" w:lineRule="exact"/>
        <w:rPr>
          <w:rFonts w:ascii="Arial" w:cs="Arial" w:eastAsia="Arial" w:hAnsi="Arial"/>
          <w:sz w:val="13"/>
          <w:szCs w:val="13"/>
          <w:color w:val="auto"/>
        </w:rPr>
      </w:pPr>
    </w:p>
    <w:p>
      <w:pPr>
        <w:ind w:left="660" w:hanging="324"/>
        <w:spacing w:after="0"/>
        <w:tabs>
          <w:tab w:leader="none" w:pos="660" w:val="left"/>
        </w:tabs>
        <w:numPr>
          <w:ilvl w:val="0"/>
          <w:numId w:val="7"/>
        </w:numPr>
        <w:rPr>
          <w:rFonts w:ascii="Arial" w:cs="Arial" w:eastAsia="Arial" w:hAnsi="Arial"/>
          <w:sz w:val="13"/>
          <w:szCs w:val="13"/>
          <w:color w:val="auto"/>
        </w:rPr>
      </w:pPr>
      <w:r>
        <w:rPr>
          <w:rFonts w:ascii="Arial" w:cs="Arial" w:eastAsia="Arial" w:hAnsi="Arial"/>
          <w:sz w:val="17"/>
          <w:szCs w:val="17"/>
          <w:color w:val="auto"/>
        </w:rPr>
        <w:t>planned capital expenditures and availability of capital resources to fund capital expenditures;</w:t>
      </w:r>
    </w:p>
    <w:p>
      <w:pPr>
        <w:spacing w:after="0" w:line="18" w:lineRule="exact"/>
        <w:rPr>
          <w:rFonts w:ascii="Arial" w:cs="Arial" w:eastAsia="Arial" w:hAnsi="Arial"/>
          <w:sz w:val="13"/>
          <w:szCs w:val="13"/>
          <w:color w:val="auto"/>
        </w:rPr>
      </w:pPr>
    </w:p>
    <w:p>
      <w:pPr>
        <w:ind w:left="660" w:hanging="324"/>
        <w:spacing w:after="0"/>
        <w:tabs>
          <w:tab w:leader="none" w:pos="660" w:val="left"/>
        </w:tabs>
        <w:numPr>
          <w:ilvl w:val="0"/>
          <w:numId w:val="7"/>
        </w:numPr>
        <w:rPr>
          <w:rFonts w:ascii="Arial" w:cs="Arial" w:eastAsia="Arial" w:hAnsi="Arial"/>
          <w:sz w:val="13"/>
          <w:szCs w:val="13"/>
          <w:color w:val="auto"/>
        </w:rPr>
      </w:pPr>
      <w:r>
        <w:rPr>
          <w:rFonts w:ascii="Arial" w:cs="Arial" w:eastAsia="Arial" w:hAnsi="Arial"/>
          <w:sz w:val="17"/>
          <w:szCs w:val="17"/>
          <w:color w:val="auto"/>
        </w:rPr>
        <w:t>our ability to maintain long term relationships and enter into time charters with new and existing customers;</w:t>
      </w:r>
    </w:p>
    <w:p>
      <w:pPr>
        <w:spacing w:after="0" w:line="18" w:lineRule="exact"/>
        <w:rPr>
          <w:rFonts w:ascii="Arial" w:cs="Arial" w:eastAsia="Arial" w:hAnsi="Arial"/>
          <w:sz w:val="13"/>
          <w:szCs w:val="13"/>
          <w:color w:val="auto"/>
        </w:rPr>
      </w:pPr>
    </w:p>
    <w:p>
      <w:pPr>
        <w:ind w:left="660" w:hanging="324"/>
        <w:spacing w:after="0"/>
        <w:tabs>
          <w:tab w:leader="none" w:pos="660" w:val="left"/>
        </w:tabs>
        <w:numPr>
          <w:ilvl w:val="0"/>
          <w:numId w:val="7"/>
        </w:numPr>
        <w:rPr>
          <w:rFonts w:ascii="Arial" w:cs="Arial" w:eastAsia="Arial" w:hAnsi="Arial"/>
          <w:sz w:val="13"/>
          <w:szCs w:val="13"/>
          <w:color w:val="auto"/>
        </w:rPr>
      </w:pPr>
      <w:r>
        <w:rPr>
          <w:rFonts w:ascii="Arial" w:cs="Arial" w:eastAsia="Arial" w:hAnsi="Arial"/>
          <w:sz w:val="17"/>
          <w:szCs w:val="17"/>
          <w:color w:val="auto"/>
        </w:rPr>
        <w:t>fluctuations in prices for crude oil, petroleum products and natural gas, including LNG;</w:t>
      </w:r>
    </w:p>
    <w:p>
      <w:pPr>
        <w:spacing w:after="0" w:line="18" w:lineRule="exact"/>
        <w:rPr>
          <w:rFonts w:ascii="Arial" w:cs="Arial" w:eastAsia="Arial" w:hAnsi="Arial"/>
          <w:sz w:val="13"/>
          <w:szCs w:val="13"/>
          <w:color w:val="auto"/>
        </w:rPr>
      </w:pPr>
    </w:p>
    <w:p>
      <w:pPr>
        <w:ind w:left="660" w:hanging="324"/>
        <w:spacing w:after="0"/>
        <w:tabs>
          <w:tab w:leader="none" w:pos="660" w:val="left"/>
        </w:tabs>
        <w:numPr>
          <w:ilvl w:val="0"/>
          <w:numId w:val="7"/>
        </w:numPr>
        <w:rPr>
          <w:rFonts w:ascii="Arial" w:cs="Arial" w:eastAsia="Arial" w:hAnsi="Arial"/>
          <w:sz w:val="13"/>
          <w:szCs w:val="13"/>
          <w:color w:val="auto"/>
        </w:rPr>
      </w:pPr>
      <w:r>
        <w:rPr>
          <w:rFonts w:ascii="Arial" w:cs="Arial" w:eastAsia="Arial" w:hAnsi="Arial"/>
          <w:sz w:val="17"/>
          <w:szCs w:val="17"/>
          <w:color w:val="auto"/>
        </w:rPr>
        <w:t>changes in the ownership of our charterers;</w:t>
      </w:r>
    </w:p>
    <w:p>
      <w:pPr>
        <w:spacing w:after="0" w:line="18" w:lineRule="exact"/>
        <w:rPr>
          <w:rFonts w:ascii="Arial" w:cs="Arial" w:eastAsia="Arial" w:hAnsi="Arial"/>
          <w:sz w:val="13"/>
          <w:szCs w:val="13"/>
          <w:color w:val="auto"/>
        </w:rPr>
      </w:pPr>
    </w:p>
    <w:p>
      <w:pPr>
        <w:ind w:left="660" w:hanging="324"/>
        <w:spacing w:after="0"/>
        <w:tabs>
          <w:tab w:leader="none" w:pos="660" w:val="left"/>
        </w:tabs>
        <w:numPr>
          <w:ilvl w:val="0"/>
          <w:numId w:val="7"/>
        </w:numPr>
        <w:rPr>
          <w:rFonts w:ascii="Arial" w:cs="Arial" w:eastAsia="Arial" w:hAnsi="Arial"/>
          <w:sz w:val="13"/>
          <w:szCs w:val="13"/>
          <w:color w:val="auto"/>
        </w:rPr>
      </w:pPr>
      <w:r>
        <w:rPr>
          <w:rFonts w:ascii="Arial" w:cs="Arial" w:eastAsia="Arial" w:hAnsi="Arial"/>
          <w:sz w:val="17"/>
          <w:szCs w:val="17"/>
          <w:color w:val="auto"/>
        </w:rPr>
        <w:t>our customers’ performance of their obligations under our time charters and other contracts;</w:t>
      </w:r>
    </w:p>
    <w:p>
      <w:pPr>
        <w:spacing w:after="0" w:line="18" w:lineRule="exact"/>
        <w:rPr>
          <w:rFonts w:ascii="Arial" w:cs="Arial" w:eastAsia="Arial" w:hAnsi="Arial"/>
          <w:sz w:val="13"/>
          <w:szCs w:val="13"/>
          <w:color w:val="auto"/>
        </w:rPr>
      </w:pPr>
    </w:p>
    <w:p>
      <w:pPr>
        <w:ind w:left="660" w:hanging="324"/>
        <w:spacing w:after="0"/>
        <w:tabs>
          <w:tab w:leader="none" w:pos="660" w:val="left"/>
        </w:tabs>
        <w:numPr>
          <w:ilvl w:val="0"/>
          <w:numId w:val="7"/>
        </w:numPr>
        <w:rPr>
          <w:rFonts w:ascii="Arial" w:cs="Arial" w:eastAsia="Arial" w:hAnsi="Arial"/>
          <w:sz w:val="13"/>
          <w:szCs w:val="13"/>
          <w:color w:val="auto"/>
        </w:rPr>
      </w:pPr>
      <w:r>
        <w:rPr>
          <w:rFonts w:ascii="Arial" w:cs="Arial" w:eastAsia="Arial" w:hAnsi="Arial"/>
          <w:sz w:val="17"/>
          <w:szCs w:val="17"/>
          <w:color w:val="auto"/>
        </w:rPr>
        <w:t>our future operating performance and expenses, financial condition, liquidity and cash available for dividends and distributions;</w:t>
      </w:r>
    </w:p>
    <w:p>
      <w:pPr>
        <w:spacing w:after="0" w:line="18" w:lineRule="exact"/>
        <w:rPr>
          <w:rFonts w:ascii="Arial" w:cs="Arial" w:eastAsia="Arial" w:hAnsi="Arial"/>
          <w:sz w:val="13"/>
          <w:szCs w:val="13"/>
          <w:color w:val="auto"/>
        </w:rPr>
      </w:pPr>
    </w:p>
    <w:p>
      <w:pPr>
        <w:ind w:left="680" w:right="380" w:hanging="344"/>
        <w:spacing w:after="0" w:line="262" w:lineRule="auto"/>
        <w:tabs>
          <w:tab w:leader="none" w:pos="656" w:val="left"/>
        </w:tabs>
        <w:numPr>
          <w:ilvl w:val="0"/>
          <w:numId w:val="7"/>
        </w:numPr>
        <w:rPr>
          <w:rFonts w:ascii="Arial" w:cs="Arial" w:eastAsia="Arial" w:hAnsi="Arial"/>
          <w:sz w:val="13"/>
          <w:szCs w:val="13"/>
          <w:color w:val="auto"/>
        </w:rPr>
      </w:pPr>
      <w:r>
        <w:rPr>
          <w:rFonts w:ascii="Arial" w:cs="Arial" w:eastAsia="Arial" w:hAnsi="Arial"/>
          <w:sz w:val="17"/>
          <w:szCs w:val="17"/>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spacing w:after="0" w:line="1" w:lineRule="exact"/>
        <w:rPr>
          <w:rFonts w:ascii="Arial" w:cs="Arial" w:eastAsia="Arial" w:hAnsi="Arial"/>
          <w:sz w:val="13"/>
          <w:szCs w:val="13"/>
          <w:color w:val="auto"/>
        </w:rPr>
      </w:pPr>
    </w:p>
    <w:p>
      <w:pPr>
        <w:ind w:left="660" w:hanging="324"/>
        <w:spacing w:after="0"/>
        <w:tabs>
          <w:tab w:leader="none" w:pos="660" w:val="left"/>
        </w:tabs>
        <w:numPr>
          <w:ilvl w:val="0"/>
          <w:numId w:val="7"/>
        </w:numPr>
        <w:rPr>
          <w:rFonts w:ascii="Arial" w:cs="Arial" w:eastAsia="Arial" w:hAnsi="Arial"/>
          <w:sz w:val="13"/>
          <w:szCs w:val="13"/>
          <w:color w:val="auto"/>
        </w:rPr>
      </w:pPr>
      <w:r>
        <w:rPr>
          <w:rFonts w:ascii="Arial" w:cs="Arial" w:eastAsia="Arial" w:hAnsi="Arial"/>
          <w:sz w:val="16"/>
          <w:szCs w:val="16"/>
          <w:color w:val="auto"/>
        </w:rPr>
        <w:t>future, pending or recent acquisitions of or orders for ships or other assets, business strategy, areas of possible expansion and expected capital spending;</w:t>
      </w:r>
    </w:p>
    <w:p>
      <w:pPr>
        <w:spacing w:after="0" w:line="29" w:lineRule="exact"/>
        <w:rPr>
          <w:rFonts w:ascii="Arial" w:cs="Arial" w:eastAsia="Arial" w:hAnsi="Arial"/>
          <w:sz w:val="13"/>
          <w:szCs w:val="13"/>
          <w:color w:val="auto"/>
        </w:rPr>
      </w:pPr>
    </w:p>
    <w:p>
      <w:pPr>
        <w:ind w:left="660" w:hanging="324"/>
        <w:spacing w:after="0"/>
        <w:tabs>
          <w:tab w:leader="none" w:pos="660" w:val="left"/>
        </w:tabs>
        <w:numPr>
          <w:ilvl w:val="0"/>
          <w:numId w:val="7"/>
        </w:numPr>
        <w:rPr>
          <w:rFonts w:ascii="Arial" w:cs="Arial" w:eastAsia="Arial" w:hAnsi="Arial"/>
          <w:sz w:val="13"/>
          <w:szCs w:val="13"/>
          <w:color w:val="auto"/>
        </w:rPr>
      </w:pPr>
      <w:r>
        <w:rPr>
          <w:rFonts w:ascii="Arial" w:cs="Arial" w:eastAsia="Arial" w:hAnsi="Arial"/>
          <w:sz w:val="17"/>
          <w:szCs w:val="17"/>
          <w:color w:val="auto"/>
        </w:rPr>
        <w:t>the time that it may take to construct and deliver newbuildings and the useful lives of our ships;</w:t>
      </w:r>
    </w:p>
    <w:p>
      <w:pPr>
        <w:spacing w:after="0" w:line="18" w:lineRule="exact"/>
        <w:rPr>
          <w:rFonts w:ascii="Arial" w:cs="Arial" w:eastAsia="Arial" w:hAnsi="Arial"/>
          <w:sz w:val="13"/>
          <w:szCs w:val="13"/>
          <w:color w:val="auto"/>
        </w:rPr>
      </w:pPr>
    </w:p>
    <w:p>
      <w:pPr>
        <w:ind w:left="660" w:hanging="324"/>
        <w:spacing w:after="0"/>
        <w:tabs>
          <w:tab w:leader="none" w:pos="660" w:val="left"/>
        </w:tabs>
        <w:numPr>
          <w:ilvl w:val="0"/>
          <w:numId w:val="7"/>
        </w:numPr>
        <w:rPr>
          <w:rFonts w:ascii="Arial" w:cs="Arial" w:eastAsia="Arial" w:hAnsi="Arial"/>
          <w:sz w:val="13"/>
          <w:szCs w:val="13"/>
          <w:color w:val="auto"/>
        </w:rPr>
      </w:pPr>
      <w:r>
        <w:rPr>
          <w:rFonts w:ascii="Arial" w:cs="Arial" w:eastAsia="Arial" w:hAnsi="Arial"/>
          <w:sz w:val="17"/>
          <w:szCs w:val="17"/>
          <w:color w:val="auto"/>
        </w:rPr>
        <w:t>fluctuations in currencies and interest rates;</w:t>
      </w:r>
    </w:p>
    <w:p>
      <w:pPr>
        <w:spacing w:after="0" w:line="18" w:lineRule="exact"/>
        <w:rPr>
          <w:rFonts w:ascii="Arial" w:cs="Arial" w:eastAsia="Arial" w:hAnsi="Arial"/>
          <w:sz w:val="13"/>
          <w:szCs w:val="13"/>
          <w:color w:val="auto"/>
        </w:rPr>
      </w:pPr>
    </w:p>
    <w:p>
      <w:pPr>
        <w:ind w:left="680" w:hanging="344"/>
        <w:spacing w:after="0" w:line="262" w:lineRule="auto"/>
        <w:tabs>
          <w:tab w:leader="none" w:pos="656" w:val="left"/>
        </w:tabs>
        <w:numPr>
          <w:ilvl w:val="0"/>
          <w:numId w:val="7"/>
        </w:numPr>
        <w:rPr>
          <w:rFonts w:ascii="Arial" w:cs="Arial" w:eastAsia="Arial" w:hAnsi="Arial"/>
          <w:sz w:val="13"/>
          <w:szCs w:val="13"/>
          <w:color w:val="auto"/>
        </w:rPr>
      </w:pPr>
      <w:r>
        <w:rPr>
          <w:rFonts w:ascii="Arial" w:cs="Arial" w:eastAsia="Arial" w:hAnsi="Arial"/>
          <w:sz w:val="17"/>
          <w:szCs w:val="17"/>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spacing w:after="0" w:line="1" w:lineRule="exact"/>
        <w:rPr>
          <w:rFonts w:ascii="Arial" w:cs="Arial" w:eastAsia="Arial" w:hAnsi="Arial"/>
          <w:sz w:val="13"/>
          <w:szCs w:val="13"/>
          <w:color w:val="auto"/>
        </w:rPr>
      </w:pPr>
    </w:p>
    <w:p>
      <w:pPr>
        <w:ind w:left="660" w:hanging="324"/>
        <w:spacing w:after="0"/>
        <w:tabs>
          <w:tab w:leader="none" w:pos="660" w:val="left"/>
        </w:tabs>
        <w:numPr>
          <w:ilvl w:val="0"/>
          <w:numId w:val="7"/>
        </w:numPr>
        <w:rPr>
          <w:rFonts w:ascii="Arial" w:cs="Arial" w:eastAsia="Arial" w:hAnsi="Arial"/>
          <w:sz w:val="13"/>
          <w:szCs w:val="13"/>
          <w:color w:val="auto"/>
        </w:rPr>
      </w:pPr>
      <w:r>
        <w:rPr>
          <w:rFonts w:ascii="Arial" w:cs="Arial" w:eastAsia="Arial" w:hAnsi="Arial"/>
          <w:sz w:val="17"/>
          <w:szCs w:val="17"/>
          <w:color w:val="auto"/>
        </w:rPr>
        <w:t>risks inherent in ship operation, including the discharge of pollutants;</w:t>
      </w:r>
    </w:p>
    <w:p>
      <w:pPr>
        <w:spacing w:after="0" w:line="18" w:lineRule="exact"/>
        <w:rPr>
          <w:rFonts w:ascii="Arial" w:cs="Arial" w:eastAsia="Arial" w:hAnsi="Arial"/>
          <w:sz w:val="13"/>
          <w:szCs w:val="13"/>
          <w:color w:val="auto"/>
        </w:rPr>
      </w:pPr>
    </w:p>
    <w:p>
      <w:pPr>
        <w:ind w:left="660" w:hanging="324"/>
        <w:spacing w:after="0"/>
        <w:tabs>
          <w:tab w:leader="none" w:pos="660" w:val="left"/>
        </w:tabs>
        <w:numPr>
          <w:ilvl w:val="0"/>
          <w:numId w:val="7"/>
        </w:numPr>
        <w:rPr>
          <w:rFonts w:ascii="Arial" w:cs="Arial" w:eastAsia="Arial" w:hAnsi="Arial"/>
          <w:sz w:val="13"/>
          <w:szCs w:val="13"/>
          <w:color w:val="auto"/>
        </w:rPr>
      </w:pPr>
      <w:r>
        <w:rPr>
          <w:rFonts w:ascii="Arial" w:cs="Arial" w:eastAsia="Arial" w:hAnsi="Arial"/>
          <w:sz w:val="17"/>
          <w:szCs w:val="17"/>
          <w:color w:val="auto"/>
        </w:rPr>
        <w:t>our ability to retain key employees and the availability of skilled labour, ship crews and management;</w:t>
      </w:r>
    </w:p>
    <w:p>
      <w:pPr>
        <w:spacing w:after="0" w:line="18" w:lineRule="exact"/>
        <w:rPr>
          <w:rFonts w:ascii="Arial" w:cs="Arial" w:eastAsia="Arial" w:hAnsi="Arial"/>
          <w:sz w:val="13"/>
          <w:szCs w:val="13"/>
          <w:color w:val="auto"/>
        </w:rPr>
      </w:pPr>
    </w:p>
    <w:p>
      <w:pPr>
        <w:ind w:left="660" w:hanging="324"/>
        <w:spacing w:after="0"/>
        <w:tabs>
          <w:tab w:leader="none" w:pos="660" w:val="left"/>
        </w:tabs>
        <w:numPr>
          <w:ilvl w:val="0"/>
          <w:numId w:val="7"/>
        </w:numPr>
        <w:rPr>
          <w:rFonts w:ascii="Arial" w:cs="Arial" w:eastAsia="Arial" w:hAnsi="Arial"/>
          <w:sz w:val="13"/>
          <w:szCs w:val="13"/>
          <w:color w:val="auto"/>
        </w:rPr>
      </w:pPr>
      <w:r>
        <w:rPr>
          <w:rFonts w:ascii="Arial" w:cs="Arial" w:eastAsia="Arial" w:hAnsi="Arial"/>
          <w:sz w:val="17"/>
          <w:szCs w:val="17"/>
          <w:color w:val="auto"/>
        </w:rPr>
        <w:t>potential disruption of shipping routes due to accidents, political events, piracy or acts by terrorists;</w:t>
      </w:r>
    </w:p>
    <w:p>
      <w:pPr>
        <w:spacing w:after="0" w:line="18" w:lineRule="exact"/>
        <w:rPr>
          <w:rFonts w:ascii="Arial" w:cs="Arial" w:eastAsia="Arial" w:hAnsi="Arial"/>
          <w:sz w:val="13"/>
          <w:szCs w:val="13"/>
          <w:color w:val="auto"/>
        </w:rPr>
      </w:pPr>
    </w:p>
    <w:p>
      <w:pPr>
        <w:ind w:left="660" w:hanging="324"/>
        <w:spacing w:after="0"/>
        <w:tabs>
          <w:tab w:leader="none" w:pos="660" w:val="left"/>
        </w:tabs>
        <w:numPr>
          <w:ilvl w:val="0"/>
          <w:numId w:val="7"/>
        </w:numPr>
        <w:rPr>
          <w:rFonts w:ascii="Arial" w:cs="Arial" w:eastAsia="Arial" w:hAnsi="Arial"/>
          <w:sz w:val="13"/>
          <w:szCs w:val="13"/>
          <w:color w:val="auto"/>
        </w:rPr>
      </w:pPr>
      <w:r>
        <w:rPr>
          <w:rFonts w:ascii="Arial" w:cs="Arial" w:eastAsia="Arial" w:hAnsi="Arial"/>
          <w:sz w:val="17"/>
          <w:szCs w:val="17"/>
          <w:color w:val="auto"/>
        </w:rPr>
        <w:t>potential liability from future litigation;</w:t>
      </w:r>
    </w:p>
    <w:p>
      <w:pPr>
        <w:spacing w:after="0" w:line="18" w:lineRule="exact"/>
        <w:rPr>
          <w:rFonts w:ascii="Arial" w:cs="Arial" w:eastAsia="Arial" w:hAnsi="Arial"/>
          <w:sz w:val="13"/>
          <w:szCs w:val="13"/>
          <w:color w:val="auto"/>
        </w:rPr>
      </w:pPr>
    </w:p>
    <w:p>
      <w:pPr>
        <w:ind w:left="660" w:hanging="324"/>
        <w:spacing w:after="0"/>
        <w:tabs>
          <w:tab w:leader="none" w:pos="660" w:val="left"/>
        </w:tabs>
        <w:numPr>
          <w:ilvl w:val="0"/>
          <w:numId w:val="7"/>
        </w:numPr>
        <w:rPr>
          <w:rFonts w:ascii="Arial" w:cs="Arial" w:eastAsia="Arial" w:hAnsi="Arial"/>
          <w:sz w:val="13"/>
          <w:szCs w:val="13"/>
          <w:color w:val="auto"/>
        </w:rPr>
      </w:pPr>
      <w:r>
        <w:rPr>
          <w:rFonts w:ascii="Arial" w:cs="Arial" w:eastAsia="Arial" w:hAnsi="Arial"/>
          <w:sz w:val="16"/>
          <w:szCs w:val="16"/>
          <w:color w:val="auto"/>
        </w:rPr>
        <w:t>any malfunction or disruption of information technology systems and networks that our operations rely on or any impact of a possible cybersecurity breach; and</w:t>
      </w:r>
    </w:p>
    <w:p>
      <w:pPr>
        <w:spacing w:after="0" w:line="29" w:lineRule="exact"/>
        <w:rPr>
          <w:rFonts w:ascii="Arial" w:cs="Arial" w:eastAsia="Arial" w:hAnsi="Arial"/>
          <w:sz w:val="13"/>
          <w:szCs w:val="13"/>
          <w:color w:val="auto"/>
        </w:rPr>
      </w:pPr>
    </w:p>
    <w:p>
      <w:pPr>
        <w:ind w:left="660" w:hanging="324"/>
        <w:spacing w:after="0"/>
        <w:tabs>
          <w:tab w:leader="none" w:pos="660" w:val="left"/>
        </w:tabs>
        <w:numPr>
          <w:ilvl w:val="0"/>
          <w:numId w:val="7"/>
        </w:numPr>
        <w:rPr>
          <w:rFonts w:ascii="Arial" w:cs="Arial" w:eastAsia="Arial" w:hAnsi="Arial"/>
          <w:sz w:val="12"/>
          <w:szCs w:val="12"/>
          <w:color w:val="auto"/>
        </w:rPr>
      </w:pPr>
      <w:r>
        <w:rPr>
          <w:rFonts w:ascii="Arial" w:cs="Arial" w:eastAsia="Arial" w:hAnsi="Arial"/>
          <w:sz w:val="15"/>
          <w:szCs w:val="15"/>
          <w:color w:val="auto"/>
        </w:rPr>
        <w:t xml:space="preserve">other risks and uncertainties described in the Company’s Annual Report on Form 20-F filed with the SEC on February 28, 2018 and available at </w:t>
      </w:r>
      <w:r>
        <w:rPr>
          <w:rFonts w:ascii="Arial" w:cs="Arial" w:eastAsia="Arial" w:hAnsi="Arial"/>
          <w:sz w:val="15"/>
          <w:szCs w:val="15"/>
          <w:u w:val="single" w:color="auto"/>
          <w:color w:val="0000FF"/>
        </w:rPr>
        <w:t>http://www.sec.gov</w:t>
      </w:r>
      <w:r>
        <w:rPr>
          <w:rFonts w:ascii="Arial" w:cs="Arial" w:eastAsia="Arial" w:hAnsi="Arial"/>
          <w:sz w:val="15"/>
          <w:szCs w:val="15"/>
          <w:color w:val="auto"/>
        </w:rPr>
        <w:t>.</w:t>
      </w:r>
    </w:p>
    <w:p>
      <w:pPr>
        <w:spacing w:after="0" w:line="196"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30" w:lineRule="exact"/>
        <w:rPr>
          <w:sz w:val="20"/>
          <w:szCs w:val="20"/>
          <w:color w:val="auto"/>
        </w:rPr>
      </w:pPr>
    </w:p>
    <w:p>
      <w:pPr>
        <w:ind w:right="200"/>
        <w:spacing w:after="0" w:line="321" w:lineRule="auto"/>
        <w:rPr>
          <w:sz w:val="20"/>
          <w:szCs w:val="20"/>
          <w:color w:val="auto"/>
        </w:rPr>
      </w:pPr>
      <w:r>
        <w:rPr>
          <w:rFonts w:ascii="Arial" w:cs="Arial" w:eastAsia="Arial" w:hAnsi="Arial"/>
          <w:sz w:val="16"/>
          <w:szCs w:val="16"/>
          <w:color w:val="auto"/>
        </w:rPr>
        <w:t>The declaration and payment of dividends are at all times subject to the discretion of our board of directors and will depend on, amongst other things, risks and uncertainties described above, restrictions in our credit facilities, the provisions of Bermuda law and such other factors as our board of directors may deem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646670" cy="311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218" w:right="120"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Alastair Maxwell</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Phone: +44-203-388-3100</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Phil Corbett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Head of Investor Relations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Phone: +44-203-388-3116</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Joseph Nelson</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Deputy Head of Investor Relations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Phone: +1-212-223-0643</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Email: </w:t>
      </w:r>
      <w:r>
        <w:rPr>
          <w:rFonts w:ascii="Arial" w:cs="Arial" w:eastAsia="Arial" w:hAnsi="Arial"/>
          <w:sz w:val="17"/>
          <w:szCs w:val="17"/>
          <w:u w:val="single" w:color="auto"/>
          <w:color w:val="0000FF"/>
        </w:rPr>
        <w:t>ir@gaslogltd.com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646670" cy="311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0680"/>
          </w:cols>
          <w:pgMar w:left="120" w:top="212"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2"/>
        </w:trPr>
        <w:tc>
          <w:tcPr>
            <w:tcW w:w="7520" w:type="dxa"/>
            <w:vAlign w:val="bottom"/>
          </w:tcPr>
          <w:p>
            <w:pPr>
              <w:spacing w:after="0"/>
              <w:rPr>
                <w:sz w:val="20"/>
                <w:szCs w:val="20"/>
                <w:color w:val="auto"/>
              </w:rPr>
            </w:pPr>
            <w:r>
              <w:rPr>
                <w:rFonts w:ascii="Arial" w:cs="Arial" w:eastAsia="Arial" w:hAnsi="Arial"/>
                <w:sz w:val="17"/>
                <w:szCs w:val="17"/>
                <w:b w:val="1"/>
                <w:bCs w:val="1"/>
                <w:color w:val="auto"/>
              </w:rPr>
              <w:t>EXHIBIT I - Unaudited Interim Financial Information</w:t>
            </w:r>
          </w:p>
        </w:tc>
        <w:tc>
          <w:tcPr>
            <w:tcW w:w="2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2"/>
        </w:trPr>
        <w:tc>
          <w:tcPr>
            <w:tcW w:w="7520" w:type="dxa"/>
            <w:vAlign w:val="bottom"/>
          </w:tcPr>
          <w:p>
            <w:pPr>
              <w:spacing w:after="0"/>
              <w:rPr>
                <w:sz w:val="20"/>
                <w:szCs w:val="20"/>
                <w:color w:val="auto"/>
              </w:rPr>
            </w:pPr>
            <w:r>
              <w:rPr>
                <w:rFonts w:ascii="Arial" w:cs="Arial" w:eastAsia="Arial" w:hAnsi="Arial"/>
                <w:sz w:val="17"/>
                <w:szCs w:val="17"/>
                <w:b w:val="1"/>
                <w:bCs w:val="1"/>
                <w:color w:val="auto"/>
              </w:rPr>
              <w:t>Unaudited condensed consolidated statements of financial position</w:t>
            </w: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7520" w:type="dxa"/>
            <w:vAlign w:val="bottom"/>
          </w:tcPr>
          <w:p>
            <w:pPr>
              <w:spacing w:after="0"/>
              <w:rPr>
                <w:sz w:val="20"/>
                <w:szCs w:val="20"/>
                <w:color w:val="auto"/>
              </w:rPr>
            </w:pPr>
            <w:r>
              <w:rPr>
                <w:rFonts w:ascii="Arial" w:cs="Arial" w:eastAsia="Arial" w:hAnsi="Arial"/>
                <w:sz w:val="17"/>
                <w:szCs w:val="17"/>
                <w:b w:val="1"/>
                <w:bCs w:val="1"/>
                <w:color w:val="auto"/>
              </w:rPr>
              <w:t>As of December 31, 2017 and 2018</w:t>
            </w: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20" w:type="dxa"/>
            <w:vAlign w:val="bottom"/>
          </w:tcPr>
          <w:p>
            <w:pPr>
              <w:spacing w:after="0"/>
              <w:rPr>
                <w:sz w:val="20"/>
                <w:szCs w:val="20"/>
                <w:color w:val="auto"/>
              </w:rPr>
            </w:pPr>
            <w:r>
              <w:rPr>
                <w:rFonts w:ascii="Arial" w:cs="Arial" w:eastAsia="Arial" w:hAnsi="Arial"/>
                <w:sz w:val="17"/>
                <w:szCs w:val="17"/>
                <w:b w:val="1"/>
                <w:bCs w:val="1"/>
                <w:color w:val="auto"/>
              </w:rPr>
              <w:t>(Amounts expressed in thousands of U.S. Dollars)</w:t>
            </w:r>
          </w:p>
        </w:tc>
        <w:tc>
          <w:tcPr>
            <w:tcW w:w="2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2"/>
        </w:trPr>
        <w:tc>
          <w:tcPr>
            <w:tcW w:w="7520" w:type="dxa"/>
            <w:vAlign w:val="bottom"/>
          </w:tcPr>
          <w:p>
            <w:pPr>
              <w:spacing w:after="0"/>
              <w:rPr>
                <w:sz w:val="24"/>
                <w:szCs w:val="24"/>
                <w:color w:val="auto"/>
              </w:rPr>
            </w:pPr>
          </w:p>
        </w:tc>
        <w:tc>
          <w:tcPr>
            <w:tcW w:w="232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December 31, 2017</w:t>
            </w:r>
          </w:p>
        </w:tc>
        <w:tc>
          <w:tcPr>
            <w:tcW w:w="216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rPr>
              <w:t>December 31, 2018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75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7"/>
                <w:szCs w:val="17"/>
                <w:b w:val="1"/>
                <w:bCs w:val="1"/>
                <w:color w:val="auto"/>
              </w:rPr>
              <w:t>Assets</w:t>
            </w:r>
          </w:p>
        </w:tc>
        <w:tc>
          <w:tcPr>
            <w:tcW w:w="2200" w:type="dxa"/>
            <w:vAlign w:val="bottom"/>
            <w:tcBorders>
              <w:top w:val="single" w:sz="8" w:color="auto"/>
            </w:tcBorders>
            <w:shd w:val="clear" w:color="auto" w:fill="E5FFFF"/>
          </w:tcPr>
          <w:p>
            <w:pPr>
              <w:spacing w:after="0"/>
              <w:rPr>
                <w:sz w:val="17"/>
                <w:szCs w:val="17"/>
                <w:color w:val="auto"/>
              </w:rPr>
            </w:pPr>
          </w:p>
        </w:tc>
        <w:tc>
          <w:tcPr>
            <w:tcW w:w="120" w:type="dxa"/>
            <w:vAlign w:val="bottom"/>
            <w:tcBorders>
              <w:top w:val="single" w:sz="8" w:color="E5FFFF"/>
            </w:tcBorders>
            <w:shd w:val="clear" w:color="auto" w:fill="E5FFFF"/>
          </w:tcPr>
          <w:p>
            <w:pPr>
              <w:spacing w:after="0"/>
              <w:rPr>
                <w:sz w:val="17"/>
                <w:szCs w:val="17"/>
                <w:color w:val="auto"/>
              </w:rPr>
            </w:pPr>
          </w:p>
        </w:tc>
        <w:tc>
          <w:tcPr>
            <w:tcW w:w="2040" w:type="dxa"/>
            <w:vAlign w:val="bottom"/>
            <w:tcBorders>
              <w:top w:val="single" w:sz="8" w:color="auto"/>
            </w:tcBorders>
            <w:shd w:val="clear" w:color="auto" w:fill="E5FFFF"/>
          </w:tcPr>
          <w:p>
            <w:pPr>
              <w:spacing w:after="0"/>
              <w:rPr>
                <w:sz w:val="17"/>
                <w:szCs w:val="17"/>
                <w:color w:val="auto"/>
              </w:rPr>
            </w:pPr>
          </w:p>
        </w:tc>
        <w:tc>
          <w:tcPr>
            <w:tcW w:w="120" w:type="dxa"/>
            <w:vAlign w:val="bottom"/>
            <w:tcBorders>
              <w:top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520" w:type="dxa"/>
            <w:vAlign w:val="bottom"/>
          </w:tcPr>
          <w:p>
            <w:pPr>
              <w:spacing w:after="0"/>
              <w:rPr>
                <w:sz w:val="20"/>
                <w:szCs w:val="20"/>
                <w:color w:val="auto"/>
              </w:rPr>
            </w:pPr>
            <w:r>
              <w:rPr>
                <w:rFonts w:ascii="Arial" w:cs="Arial" w:eastAsia="Arial" w:hAnsi="Arial"/>
                <w:sz w:val="17"/>
                <w:szCs w:val="17"/>
                <w:b w:val="1"/>
                <w:bCs w:val="1"/>
                <w:color w:val="auto"/>
              </w:rPr>
              <w:t>Non-current assets</w:t>
            </w: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20" w:type="dxa"/>
            <w:vAlign w:val="bottom"/>
            <w:shd w:val="clear" w:color="auto" w:fill="E5FFFF"/>
          </w:tcPr>
          <w:p>
            <w:pPr>
              <w:spacing w:after="0"/>
              <w:rPr>
                <w:sz w:val="20"/>
                <w:szCs w:val="20"/>
                <w:color w:val="auto"/>
              </w:rPr>
            </w:pPr>
            <w:r>
              <w:rPr>
                <w:rFonts w:ascii="Arial" w:cs="Arial" w:eastAsia="Arial" w:hAnsi="Arial"/>
                <w:sz w:val="17"/>
                <w:szCs w:val="17"/>
                <w:color w:val="auto"/>
              </w:rPr>
              <w:t>Goodwill</w:t>
            </w:r>
          </w:p>
        </w:tc>
        <w:tc>
          <w:tcPr>
            <w:tcW w:w="2320" w:type="dxa"/>
            <w:vAlign w:val="bottom"/>
            <w:gridSpan w:val="2"/>
            <w:shd w:val="clear" w:color="auto" w:fill="E5FFFF"/>
          </w:tcPr>
          <w:p>
            <w:pPr>
              <w:jc w:val="right"/>
              <w:ind w:right="120"/>
              <w:spacing w:after="0"/>
              <w:rPr>
                <w:sz w:val="20"/>
                <w:szCs w:val="20"/>
                <w:color w:val="auto"/>
              </w:rPr>
            </w:pPr>
            <w:r>
              <w:rPr>
                <w:rFonts w:ascii="Arial" w:cs="Arial" w:eastAsia="Arial" w:hAnsi="Arial"/>
                <w:sz w:val="17"/>
                <w:szCs w:val="17"/>
                <w:color w:val="auto"/>
              </w:rPr>
              <w:t>9,511</w:t>
            </w:r>
          </w:p>
        </w:tc>
        <w:tc>
          <w:tcPr>
            <w:tcW w:w="2160" w:type="dxa"/>
            <w:vAlign w:val="bottom"/>
            <w:gridSpan w:val="2"/>
            <w:shd w:val="clear" w:color="auto" w:fill="E5FFFF"/>
          </w:tcPr>
          <w:p>
            <w:pPr>
              <w:jc w:val="right"/>
              <w:ind w:right="120"/>
              <w:spacing w:after="0"/>
              <w:rPr>
                <w:sz w:val="20"/>
                <w:szCs w:val="20"/>
                <w:color w:val="auto"/>
              </w:rPr>
            </w:pPr>
            <w:r>
              <w:rPr>
                <w:rFonts w:ascii="Arial" w:cs="Arial" w:eastAsia="Arial" w:hAnsi="Arial"/>
                <w:sz w:val="17"/>
                <w:szCs w:val="17"/>
                <w:color w:val="auto"/>
              </w:rPr>
              <w:t>9,511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20" w:type="dxa"/>
            <w:vAlign w:val="bottom"/>
          </w:tcPr>
          <w:p>
            <w:pPr>
              <w:spacing w:after="0"/>
              <w:rPr>
                <w:sz w:val="20"/>
                <w:szCs w:val="20"/>
                <w:color w:val="auto"/>
              </w:rPr>
            </w:pPr>
            <w:r>
              <w:rPr>
                <w:rFonts w:ascii="Arial" w:cs="Arial" w:eastAsia="Arial" w:hAnsi="Arial"/>
                <w:sz w:val="17"/>
                <w:szCs w:val="17"/>
                <w:color w:val="auto"/>
              </w:rPr>
              <w:t>Investment in associates</w:t>
            </w:r>
          </w:p>
        </w:tc>
        <w:tc>
          <w:tcPr>
            <w:tcW w:w="2320" w:type="dxa"/>
            <w:vAlign w:val="bottom"/>
            <w:gridSpan w:val="2"/>
          </w:tcPr>
          <w:p>
            <w:pPr>
              <w:jc w:val="right"/>
              <w:ind w:right="120"/>
              <w:spacing w:after="0"/>
              <w:rPr>
                <w:sz w:val="20"/>
                <w:szCs w:val="20"/>
                <w:color w:val="auto"/>
              </w:rPr>
            </w:pPr>
            <w:r>
              <w:rPr>
                <w:rFonts w:ascii="Arial" w:cs="Arial" w:eastAsia="Arial" w:hAnsi="Arial"/>
                <w:sz w:val="17"/>
                <w:szCs w:val="17"/>
                <w:color w:val="auto"/>
              </w:rPr>
              <w:t>20,800</w:t>
            </w:r>
          </w:p>
        </w:tc>
        <w:tc>
          <w:tcPr>
            <w:tcW w:w="2040" w:type="dxa"/>
            <w:vAlign w:val="bottom"/>
          </w:tcPr>
          <w:p>
            <w:pPr>
              <w:jc w:val="right"/>
              <w:spacing w:after="0"/>
              <w:rPr>
                <w:sz w:val="20"/>
                <w:szCs w:val="20"/>
                <w:color w:val="auto"/>
              </w:rPr>
            </w:pPr>
            <w:r>
              <w:rPr>
                <w:rFonts w:ascii="Arial" w:cs="Arial" w:eastAsia="Arial" w:hAnsi="Arial"/>
                <w:sz w:val="17"/>
                <w:szCs w:val="17"/>
                <w:color w:val="auto"/>
              </w:rPr>
              <w:t>20,713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20" w:type="dxa"/>
            <w:vAlign w:val="bottom"/>
            <w:shd w:val="clear" w:color="auto" w:fill="E5FFFF"/>
          </w:tcPr>
          <w:p>
            <w:pPr>
              <w:spacing w:after="0"/>
              <w:rPr>
                <w:sz w:val="20"/>
                <w:szCs w:val="20"/>
                <w:color w:val="auto"/>
              </w:rPr>
            </w:pPr>
            <w:r>
              <w:rPr>
                <w:rFonts w:ascii="Arial" w:cs="Arial" w:eastAsia="Arial" w:hAnsi="Arial"/>
                <w:sz w:val="17"/>
                <w:szCs w:val="17"/>
                <w:color w:val="auto"/>
              </w:rPr>
              <w:t>Deferred financing costs</w:t>
            </w:r>
          </w:p>
        </w:tc>
        <w:tc>
          <w:tcPr>
            <w:tcW w:w="2320" w:type="dxa"/>
            <w:vAlign w:val="bottom"/>
            <w:gridSpan w:val="2"/>
            <w:shd w:val="clear" w:color="auto" w:fill="E5FFFF"/>
          </w:tcPr>
          <w:p>
            <w:pPr>
              <w:jc w:val="right"/>
              <w:ind w:right="120"/>
              <w:spacing w:after="0"/>
              <w:rPr>
                <w:sz w:val="20"/>
                <w:szCs w:val="20"/>
                <w:color w:val="auto"/>
              </w:rPr>
            </w:pPr>
            <w:r>
              <w:rPr>
                <w:rFonts w:ascii="Arial" w:cs="Arial" w:eastAsia="Arial" w:hAnsi="Arial"/>
                <w:sz w:val="17"/>
                <w:szCs w:val="17"/>
                <w:color w:val="auto"/>
              </w:rPr>
              <w:t>17,519</w:t>
            </w:r>
          </w:p>
        </w:tc>
        <w:tc>
          <w:tcPr>
            <w:tcW w:w="20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4,576</w:t>
            </w:r>
          </w:p>
        </w:tc>
        <w:tc>
          <w:tcPr>
            <w:tcW w:w="12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20" w:type="dxa"/>
            <w:vAlign w:val="bottom"/>
          </w:tcPr>
          <w:p>
            <w:pPr>
              <w:spacing w:after="0"/>
              <w:rPr>
                <w:sz w:val="20"/>
                <w:szCs w:val="20"/>
                <w:color w:val="auto"/>
              </w:rPr>
            </w:pPr>
            <w:r>
              <w:rPr>
                <w:rFonts w:ascii="Arial" w:cs="Arial" w:eastAsia="Arial" w:hAnsi="Arial"/>
                <w:sz w:val="17"/>
                <w:szCs w:val="17"/>
                <w:color w:val="auto"/>
              </w:rPr>
              <w:t>Other non-current assets</w:t>
            </w:r>
          </w:p>
        </w:tc>
        <w:tc>
          <w:tcPr>
            <w:tcW w:w="2320" w:type="dxa"/>
            <w:vAlign w:val="bottom"/>
            <w:gridSpan w:val="2"/>
          </w:tcPr>
          <w:p>
            <w:pPr>
              <w:jc w:val="right"/>
              <w:ind w:right="120"/>
              <w:spacing w:after="0"/>
              <w:rPr>
                <w:sz w:val="20"/>
                <w:szCs w:val="20"/>
                <w:color w:val="auto"/>
              </w:rPr>
            </w:pPr>
            <w:r>
              <w:rPr>
                <w:rFonts w:ascii="Arial" w:cs="Arial" w:eastAsia="Arial" w:hAnsi="Arial"/>
                <w:sz w:val="17"/>
                <w:szCs w:val="17"/>
                <w:color w:val="auto"/>
              </w:rPr>
              <w:t>428</w:t>
            </w:r>
          </w:p>
        </w:tc>
        <w:tc>
          <w:tcPr>
            <w:tcW w:w="2040" w:type="dxa"/>
            <w:vAlign w:val="bottom"/>
          </w:tcPr>
          <w:p>
            <w:pPr>
              <w:jc w:val="right"/>
              <w:spacing w:after="0"/>
              <w:rPr>
                <w:sz w:val="20"/>
                <w:szCs w:val="20"/>
                <w:color w:val="auto"/>
              </w:rPr>
            </w:pPr>
            <w:r>
              <w:rPr>
                <w:rFonts w:ascii="Arial" w:cs="Arial" w:eastAsia="Arial" w:hAnsi="Arial"/>
                <w:sz w:val="17"/>
                <w:szCs w:val="17"/>
                <w:color w:val="auto"/>
              </w:rPr>
              <w:t>2,543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20" w:type="dxa"/>
            <w:vAlign w:val="bottom"/>
            <w:shd w:val="clear" w:color="auto" w:fill="E5FFFF"/>
          </w:tcPr>
          <w:p>
            <w:pPr>
              <w:spacing w:after="0"/>
              <w:rPr>
                <w:sz w:val="20"/>
                <w:szCs w:val="20"/>
                <w:color w:val="auto"/>
              </w:rPr>
            </w:pPr>
            <w:r>
              <w:rPr>
                <w:rFonts w:ascii="Arial" w:cs="Arial" w:eastAsia="Arial" w:hAnsi="Arial"/>
                <w:sz w:val="17"/>
                <w:szCs w:val="17"/>
                <w:color w:val="auto"/>
              </w:rPr>
              <w:t>Derivative financial instruments</w:t>
            </w:r>
          </w:p>
        </w:tc>
        <w:tc>
          <w:tcPr>
            <w:tcW w:w="2320" w:type="dxa"/>
            <w:vAlign w:val="bottom"/>
            <w:gridSpan w:val="2"/>
            <w:shd w:val="clear" w:color="auto" w:fill="E5FFFF"/>
          </w:tcPr>
          <w:p>
            <w:pPr>
              <w:jc w:val="right"/>
              <w:ind w:right="120"/>
              <w:spacing w:after="0"/>
              <w:rPr>
                <w:sz w:val="20"/>
                <w:szCs w:val="20"/>
                <w:color w:val="auto"/>
              </w:rPr>
            </w:pPr>
            <w:r>
              <w:rPr>
                <w:rFonts w:ascii="Arial" w:cs="Arial" w:eastAsia="Arial" w:hAnsi="Arial"/>
                <w:sz w:val="17"/>
                <w:szCs w:val="17"/>
                <w:color w:val="auto"/>
              </w:rPr>
              <w:t>16,012</w:t>
            </w:r>
          </w:p>
        </w:tc>
        <w:tc>
          <w:tcPr>
            <w:tcW w:w="20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8,966</w:t>
            </w:r>
          </w:p>
        </w:tc>
        <w:tc>
          <w:tcPr>
            <w:tcW w:w="12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20" w:type="dxa"/>
            <w:vAlign w:val="bottom"/>
          </w:tcPr>
          <w:p>
            <w:pPr>
              <w:spacing w:after="0"/>
              <w:rPr>
                <w:sz w:val="20"/>
                <w:szCs w:val="20"/>
                <w:color w:val="auto"/>
              </w:rPr>
            </w:pPr>
            <w:r>
              <w:rPr>
                <w:rFonts w:ascii="Arial" w:cs="Arial" w:eastAsia="Arial" w:hAnsi="Arial"/>
                <w:sz w:val="17"/>
                <w:szCs w:val="17"/>
                <w:color w:val="auto"/>
              </w:rPr>
              <w:t>Tangible fixed assets</w:t>
            </w:r>
          </w:p>
        </w:tc>
        <w:tc>
          <w:tcPr>
            <w:tcW w:w="2320" w:type="dxa"/>
            <w:vAlign w:val="bottom"/>
            <w:gridSpan w:val="2"/>
          </w:tcPr>
          <w:p>
            <w:pPr>
              <w:jc w:val="right"/>
              <w:ind w:right="120"/>
              <w:spacing w:after="0"/>
              <w:rPr>
                <w:sz w:val="20"/>
                <w:szCs w:val="20"/>
                <w:color w:val="auto"/>
              </w:rPr>
            </w:pPr>
            <w:r>
              <w:rPr>
                <w:rFonts w:ascii="Arial" w:cs="Arial" w:eastAsia="Arial" w:hAnsi="Arial"/>
                <w:sz w:val="17"/>
                <w:szCs w:val="17"/>
                <w:color w:val="auto"/>
              </w:rPr>
              <w:t>3,772,566</w:t>
            </w:r>
          </w:p>
        </w:tc>
        <w:tc>
          <w:tcPr>
            <w:tcW w:w="2040" w:type="dxa"/>
            <w:vAlign w:val="bottom"/>
          </w:tcPr>
          <w:p>
            <w:pPr>
              <w:jc w:val="right"/>
              <w:spacing w:after="0"/>
              <w:rPr>
                <w:sz w:val="20"/>
                <w:szCs w:val="20"/>
                <w:color w:val="auto"/>
              </w:rPr>
            </w:pPr>
            <w:r>
              <w:rPr>
                <w:rFonts w:ascii="Arial" w:cs="Arial" w:eastAsia="Arial" w:hAnsi="Arial"/>
                <w:sz w:val="17"/>
                <w:szCs w:val="17"/>
                <w:color w:val="auto"/>
              </w:rPr>
              <w:t>4,323,582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20" w:type="dxa"/>
            <w:vAlign w:val="bottom"/>
            <w:shd w:val="clear" w:color="auto" w:fill="E5FFFF"/>
          </w:tcPr>
          <w:p>
            <w:pPr>
              <w:spacing w:after="0"/>
              <w:rPr>
                <w:sz w:val="20"/>
                <w:szCs w:val="20"/>
                <w:color w:val="auto"/>
              </w:rPr>
            </w:pPr>
            <w:r>
              <w:rPr>
                <w:rFonts w:ascii="Arial" w:cs="Arial" w:eastAsia="Arial" w:hAnsi="Arial"/>
                <w:sz w:val="17"/>
                <w:szCs w:val="17"/>
                <w:color w:val="auto"/>
              </w:rPr>
              <w:t>Vessels under construction</w:t>
            </w:r>
          </w:p>
        </w:tc>
        <w:tc>
          <w:tcPr>
            <w:tcW w:w="2320" w:type="dxa"/>
            <w:vAlign w:val="bottom"/>
            <w:gridSpan w:val="2"/>
            <w:shd w:val="clear" w:color="auto" w:fill="E5FFFF"/>
          </w:tcPr>
          <w:p>
            <w:pPr>
              <w:jc w:val="right"/>
              <w:ind w:right="120"/>
              <w:spacing w:after="0"/>
              <w:rPr>
                <w:sz w:val="20"/>
                <w:szCs w:val="20"/>
                <w:color w:val="auto"/>
              </w:rPr>
            </w:pPr>
            <w:r>
              <w:rPr>
                <w:rFonts w:ascii="Arial" w:cs="Arial" w:eastAsia="Arial" w:hAnsi="Arial"/>
                <w:sz w:val="17"/>
                <w:szCs w:val="17"/>
                <w:color w:val="auto"/>
              </w:rPr>
              <w:t>166,655</w:t>
            </w:r>
          </w:p>
        </w:tc>
        <w:tc>
          <w:tcPr>
            <w:tcW w:w="20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159,275</w:t>
            </w:r>
          </w:p>
        </w:tc>
        <w:tc>
          <w:tcPr>
            <w:tcW w:w="12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20" w:type="dxa"/>
            <w:vAlign w:val="bottom"/>
          </w:tcPr>
          <w:p>
            <w:pPr>
              <w:spacing w:after="0"/>
              <w:rPr>
                <w:sz w:val="20"/>
                <w:szCs w:val="20"/>
                <w:color w:val="auto"/>
              </w:rPr>
            </w:pPr>
            <w:r>
              <w:rPr>
                <w:rFonts w:ascii="Arial" w:cs="Arial" w:eastAsia="Arial" w:hAnsi="Arial"/>
                <w:sz w:val="17"/>
                <w:szCs w:val="17"/>
                <w:color w:val="auto"/>
              </w:rPr>
              <w:t>Vessel held under finance lease</w:t>
            </w:r>
          </w:p>
        </w:tc>
        <w:tc>
          <w:tcPr>
            <w:tcW w:w="2320" w:type="dxa"/>
            <w:vAlign w:val="bottom"/>
            <w:gridSpan w:val="2"/>
          </w:tcPr>
          <w:p>
            <w:pPr>
              <w:jc w:val="right"/>
              <w:ind w:right="120"/>
              <w:spacing w:after="0"/>
              <w:rPr>
                <w:sz w:val="20"/>
                <w:szCs w:val="20"/>
                <w:color w:val="auto"/>
              </w:rPr>
            </w:pPr>
            <w:r>
              <w:rPr>
                <w:rFonts w:ascii="Arial" w:cs="Arial" w:eastAsia="Arial" w:hAnsi="Arial"/>
                <w:sz w:val="17"/>
                <w:szCs w:val="17"/>
                <w:color w:val="auto"/>
              </w:rPr>
              <w:t>214,329</w:t>
            </w:r>
          </w:p>
        </w:tc>
        <w:tc>
          <w:tcPr>
            <w:tcW w:w="2040" w:type="dxa"/>
            <w:vAlign w:val="bottom"/>
          </w:tcPr>
          <w:p>
            <w:pPr>
              <w:jc w:val="right"/>
              <w:spacing w:after="0"/>
              <w:rPr>
                <w:sz w:val="20"/>
                <w:szCs w:val="20"/>
                <w:color w:val="auto"/>
              </w:rPr>
            </w:pPr>
            <w:r>
              <w:rPr>
                <w:rFonts w:ascii="Arial" w:cs="Arial" w:eastAsia="Arial" w:hAnsi="Arial"/>
                <w:sz w:val="17"/>
                <w:szCs w:val="17"/>
                <w:color w:val="auto"/>
              </w:rPr>
              <w:t>206,753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5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7"/>
                <w:szCs w:val="17"/>
                <w:b w:val="1"/>
                <w:bCs w:val="1"/>
                <w:color w:val="auto"/>
              </w:rPr>
              <w:t>Total non-current assets</w:t>
            </w:r>
          </w:p>
        </w:tc>
        <w:tc>
          <w:tcPr>
            <w:tcW w:w="22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4,217,820</w:t>
            </w:r>
          </w:p>
        </w:tc>
        <w:tc>
          <w:tcPr>
            <w:tcW w:w="120" w:type="dxa"/>
            <w:vAlign w:val="bottom"/>
            <w:tcBorders>
              <w:top w:val="single" w:sz="8" w:color="E5FFFF"/>
            </w:tcBorders>
            <w:shd w:val="clear" w:color="auto" w:fill="E5FFFF"/>
          </w:tcPr>
          <w:p>
            <w:pPr>
              <w:spacing w:after="0"/>
              <w:rPr>
                <w:sz w:val="18"/>
                <w:szCs w:val="18"/>
                <w:color w:val="auto"/>
              </w:rPr>
            </w:pPr>
          </w:p>
        </w:tc>
        <w:tc>
          <w:tcPr>
            <w:tcW w:w="20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4,735,919</w:t>
            </w:r>
          </w:p>
        </w:tc>
        <w:tc>
          <w:tcPr>
            <w:tcW w:w="120" w:type="dxa"/>
            <w:vAlign w:val="bottom"/>
            <w:tcBorders>
              <w:top w:val="single" w:sz="8" w:color="E5FFFF"/>
            </w:tcBorders>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520" w:type="dxa"/>
            <w:vAlign w:val="bottom"/>
          </w:tcPr>
          <w:p>
            <w:pPr>
              <w:spacing w:after="0" w:line="194" w:lineRule="exact"/>
              <w:rPr>
                <w:sz w:val="20"/>
                <w:szCs w:val="20"/>
                <w:color w:val="auto"/>
              </w:rPr>
            </w:pPr>
            <w:r>
              <w:rPr>
                <w:rFonts w:ascii="Arial" w:cs="Arial" w:eastAsia="Arial" w:hAnsi="Arial"/>
                <w:sz w:val="17"/>
                <w:szCs w:val="17"/>
                <w:b w:val="1"/>
                <w:bCs w:val="1"/>
                <w:color w:val="auto"/>
              </w:rPr>
              <w:t>Current assets</w:t>
            </w:r>
          </w:p>
        </w:tc>
        <w:tc>
          <w:tcPr>
            <w:tcW w:w="2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520" w:type="dxa"/>
            <w:vAlign w:val="bottom"/>
            <w:shd w:val="clear" w:color="auto" w:fill="E5FFFF"/>
          </w:tcPr>
          <w:p>
            <w:pPr>
              <w:spacing w:after="0"/>
              <w:rPr>
                <w:sz w:val="20"/>
                <w:szCs w:val="20"/>
                <w:color w:val="auto"/>
              </w:rPr>
            </w:pPr>
            <w:r>
              <w:rPr>
                <w:rFonts w:ascii="Arial" w:cs="Arial" w:eastAsia="Arial" w:hAnsi="Arial"/>
                <w:sz w:val="17"/>
                <w:szCs w:val="17"/>
                <w:color w:val="auto"/>
              </w:rPr>
              <w:t>Trade and other receivables</w:t>
            </w:r>
          </w:p>
        </w:tc>
        <w:tc>
          <w:tcPr>
            <w:tcW w:w="2320" w:type="dxa"/>
            <w:vAlign w:val="bottom"/>
            <w:gridSpan w:val="2"/>
            <w:shd w:val="clear" w:color="auto" w:fill="E5FFFF"/>
          </w:tcPr>
          <w:p>
            <w:pPr>
              <w:jc w:val="right"/>
              <w:ind w:right="120"/>
              <w:spacing w:after="0"/>
              <w:rPr>
                <w:sz w:val="20"/>
                <w:szCs w:val="20"/>
                <w:color w:val="auto"/>
              </w:rPr>
            </w:pPr>
            <w:r>
              <w:rPr>
                <w:rFonts w:ascii="Arial" w:cs="Arial" w:eastAsia="Arial" w:hAnsi="Arial"/>
                <w:sz w:val="17"/>
                <w:szCs w:val="17"/>
                <w:color w:val="auto"/>
              </w:rPr>
              <w:t>10,706</w:t>
            </w:r>
          </w:p>
        </w:tc>
        <w:tc>
          <w:tcPr>
            <w:tcW w:w="20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20,244</w:t>
            </w:r>
          </w:p>
        </w:tc>
        <w:tc>
          <w:tcPr>
            <w:tcW w:w="12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20" w:type="dxa"/>
            <w:vAlign w:val="bottom"/>
          </w:tcPr>
          <w:p>
            <w:pPr>
              <w:spacing w:after="0"/>
              <w:rPr>
                <w:sz w:val="20"/>
                <w:szCs w:val="20"/>
                <w:color w:val="auto"/>
              </w:rPr>
            </w:pPr>
            <w:r>
              <w:rPr>
                <w:rFonts w:ascii="Arial" w:cs="Arial" w:eastAsia="Arial" w:hAnsi="Arial"/>
                <w:sz w:val="17"/>
                <w:szCs w:val="17"/>
                <w:color w:val="auto"/>
              </w:rPr>
              <w:t>Dividends receivable and other amounts due from related parties</w:t>
            </w:r>
          </w:p>
        </w:tc>
        <w:tc>
          <w:tcPr>
            <w:tcW w:w="2320" w:type="dxa"/>
            <w:vAlign w:val="bottom"/>
            <w:gridSpan w:val="2"/>
          </w:tcPr>
          <w:p>
            <w:pPr>
              <w:jc w:val="right"/>
              <w:ind w:right="120"/>
              <w:spacing w:after="0"/>
              <w:rPr>
                <w:sz w:val="20"/>
                <w:szCs w:val="20"/>
                <w:color w:val="auto"/>
              </w:rPr>
            </w:pPr>
            <w:r>
              <w:rPr>
                <w:rFonts w:ascii="Arial" w:cs="Arial" w:eastAsia="Arial" w:hAnsi="Arial"/>
                <w:sz w:val="17"/>
                <w:szCs w:val="17"/>
                <w:color w:val="auto"/>
              </w:rPr>
              <w:t>8,666</w:t>
            </w:r>
          </w:p>
        </w:tc>
        <w:tc>
          <w:tcPr>
            <w:tcW w:w="2040" w:type="dxa"/>
            <w:vAlign w:val="bottom"/>
          </w:tcPr>
          <w:p>
            <w:pPr>
              <w:jc w:val="right"/>
              <w:spacing w:after="0"/>
              <w:rPr>
                <w:sz w:val="20"/>
                <w:szCs w:val="20"/>
                <w:color w:val="auto"/>
              </w:rPr>
            </w:pPr>
            <w:r>
              <w:rPr>
                <w:rFonts w:ascii="Arial" w:cs="Arial" w:eastAsia="Arial" w:hAnsi="Arial"/>
                <w:sz w:val="17"/>
                <w:szCs w:val="17"/>
                <w:color w:val="auto"/>
              </w:rPr>
              <w:t>33,395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20" w:type="dxa"/>
            <w:vAlign w:val="bottom"/>
            <w:shd w:val="clear" w:color="auto" w:fill="E5FFFF"/>
          </w:tcPr>
          <w:p>
            <w:pPr>
              <w:spacing w:after="0"/>
              <w:rPr>
                <w:sz w:val="20"/>
                <w:szCs w:val="20"/>
                <w:color w:val="auto"/>
              </w:rPr>
            </w:pPr>
            <w:r>
              <w:rPr>
                <w:rFonts w:ascii="Arial" w:cs="Arial" w:eastAsia="Arial" w:hAnsi="Arial"/>
                <w:sz w:val="17"/>
                <w:szCs w:val="17"/>
                <w:color w:val="auto"/>
              </w:rPr>
              <w:t>Derivative financial instruments</w:t>
            </w:r>
          </w:p>
        </w:tc>
        <w:tc>
          <w:tcPr>
            <w:tcW w:w="2320" w:type="dxa"/>
            <w:vAlign w:val="bottom"/>
            <w:gridSpan w:val="2"/>
            <w:shd w:val="clear" w:color="auto" w:fill="E5FFFF"/>
          </w:tcPr>
          <w:p>
            <w:pPr>
              <w:jc w:val="right"/>
              <w:ind w:right="120"/>
              <w:spacing w:after="0"/>
              <w:rPr>
                <w:sz w:val="20"/>
                <w:szCs w:val="20"/>
                <w:color w:val="auto"/>
              </w:rPr>
            </w:pPr>
            <w:r>
              <w:rPr>
                <w:rFonts w:ascii="Arial" w:cs="Arial" w:eastAsia="Arial" w:hAnsi="Arial"/>
                <w:sz w:val="17"/>
                <w:szCs w:val="17"/>
                <w:color w:val="auto"/>
              </w:rPr>
              <w:t>2,199</w:t>
            </w:r>
          </w:p>
        </w:tc>
        <w:tc>
          <w:tcPr>
            <w:tcW w:w="20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6,222</w:t>
            </w:r>
          </w:p>
        </w:tc>
        <w:tc>
          <w:tcPr>
            <w:tcW w:w="12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20" w:type="dxa"/>
            <w:vAlign w:val="bottom"/>
          </w:tcPr>
          <w:p>
            <w:pPr>
              <w:spacing w:after="0"/>
              <w:rPr>
                <w:sz w:val="20"/>
                <w:szCs w:val="20"/>
                <w:color w:val="auto"/>
              </w:rPr>
            </w:pPr>
            <w:r>
              <w:rPr>
                <w:rFonts w:ascii="Arial" w:cs="Arial" w:eastAsia="Arial" w:hAnsi="Arial"/>
                <w:sz w:val="17"/>
                <w:szCs w:val="17"/>
                <w:color w:val="auto"/>
              </w:rPr>
              <w:t>Inventories</w:t>
            </w:r>
          </w:p>
        </w:tc>
        <w:tc>
          <w:tcPr>
            <w:tcW w:w="2320" w:type="dxa"/>
            <w:vAlign w:val="bottom"/>
            <w:gridSpan w:val="2"/>
          </w:tcPr>
          <w:p>
            <w:pPr>
              <w:jc w:val="right"/>
              <w:ind w:right="120"/>
              <w:spacing w:after="0"/>
              <w:rPr>
                <w:sz w:val="20"/>
                <w:szCs w:val="20"/>
                <w:color w:val="auto"/>
              </w:rPr>
            </w:pPr>
            <w:r>
              <w:rPr>
                <w:rFonts w:ascii="Arial" w:cs="Arial" w:eastAsia="Arial" w:hAnsi="Arial"/>
                <w:sz w:val="17"/>
                <w:szCs w:val="17"/>
                <w:color w:val="auto"/>
              </w:rPr>
              <w:t>6,839</w:t>
            </w:r>
          </w:p>
        </w:tc>
        <w:tc>
          <w:tcPr>
            <w:tcW w:w="2040" w:type="dxa"/>
            <w:vAlign w:val="bottom"/>
          </w:tcPr>
          <w:p>
            <w:pPr>
              <w:jc w:val="right"/>
              <w:spacing w:after="0"/>
              <w:rPr>
                <w:sz w:val="20"/>
                <w:szCs w:val="20"/>
                <w:color w:val="auto"/>
              </w:rPr>
            </w:pPr>
            <w:r>
              <w:rPr>
                <w:rFonts w:ascii="Arial" w:cs="Arial" w:eastAsia="Arial" w:hAnsi="Arial"/>
                <w:sz w:val="17"/>
                <w:szCs w:val="17"/>
                <w:color w:val="auto"/>
              </w:rPr>
              <w:t>7,753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20" w:type="dxa"/>
            <w:vAlign w:val="bottom"/>
            <w:shd w:val="clear" w:color="auto" w:fill="E5FFFF"/>
          </w:tcPr>
          <w:p>
            <w:pPr>
              <w:spacing w:after="0"/>
              <w:rPr>
                <w:sz w:val="20"/>
                <w:szCs w:val="20"/>
                <w:color w:val="auto"/>
              </w:rPr>
            </w:pPr>
            <w:r>
              <w:rPr>
                <w:rFonts w:ascii="Arial" w:cs="Arial" w:eastAsia="Arial" w:hAnsi="Arial"/>
                <w:sz w:val="17"/>
                <w:szCs w:val="17"/>
                <w:color w:val="auto"/>
              </w:rPr>
              <w:t>Prepayments and other current assets</w:t>
            </w:r>
          </w:p>
        </w:tc>
        <w:tc>
          <w:tcPr>
            <w:tcW w:w="2320" w:type="dxa"/>
            <w:vAlign w:val="bottom"/>
            <w:gridSpan w:val="2"/>
            <w:shd w:val="clear" w:color="auto" w:fill="E5FFFF"/>
          </w:tcPr>
          <w:p>
            <w:pPr>
              <w:jc w:val="right"/>
              <w:ind w:right="120"/>
              <w:spacing w:after="0"/>
              <w:rPr>
                <w:sz w:val="20"/>
                <w:szCs w:val="20"/>
                <w:color w:val="auto"/>
              </w:rPr>
            </w:pPr>
            <w:r>
              <w:rPr>
                <w:rFonts w:ascii="Arial" w:cs="Arial" w:eastAsia="Arial" w:hAnsi="Arial"/>
                <w:sz w:val="17"/>
                <w:szCs w:val="17"/>
                <w:color w:val="auto"/>
              </w:rPr>
              <w:t>4,569</w:t>
            </w:r>
          </w:p>
        </w:tc>
        <w:tc>
          <w:tcPr>
            <w:tcW w:w="20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3,680</w:t>
            </w:r>
          </w:p>
        </w:tc>
        <w:tc>
          <w:tcPr>
            <w:tcW w:w="12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20" w:type="dxa"/>
            <w:vAlign w:val="bottom"/>
          </w:tcPr>
          <w:p>
            <w:pPr>
              <w:spacing w:after="0"/>
              <w:rPr>
                <w:sz w:val="20"/>
                <w:szCs w:val="20"/>
                <w:color w:val="auto"/>
              </w:rPr>
            </w:pPr>
            <w:r>
              <w:rPr>
                <w:rFonts w:ascii="Arial" w:cs="Arial" w:eastAsia="Arial" w:hAnsi="Arial"/>
                <w:sz w:val="17"/>
                <w:szCs w:val="17"/>
                <w:color w:val="auto"/>
              </w:rPr>
              <w:t>Short-term investments</w:t>
            </w:r>
          </w:p>
        </w:tc>
        <w:tc>
          <w:tcPr>
            <w:tcW w:w="2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2040" w:type="dxa"/>
            <w:vAlign w:val="bottom"/>
          </w:tcPr>
          <w:p>
            <w:pPr>
              <w:jc w:val="right"/>
              <w:spacing w:after="0"/>
              <w:rPr>
                <w:sz w:val="20"/>
                <w:szCs w:val="20"/>
                <w:color w:val="auto"/>
              </w:rPr>
            </w:pPr>
            <w:r>
              <w:rPr>
                <w:rFonts w:ascii="Arial" w:cs="Arial" w:eastAsia="Arial" w:hAnsi="Arial"/>
                <w:sz w:val="17"/>
                <w:szCs w:val="17"/>
                <w:color w:val="auto"/>
              </w:rPr>
              <w:t>25,000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20" w:type="dxa"/>
            <w:vAlign w:val="bottom"/>
            <w:shd w:val="clear" w:color="auto" w:fill="E5FFFF"/>
          </w:tcPr>
          <w:p>
            <w:pPr>
              <w:spacing w:after="0"/>
              <w:rPr>
                <w:sz w:val="20"/>
                <w:szCs w:val="20"/>
                <w:color w:val="auto"/>
              </w:rPr>
            </w:pPr>
            <w:r>
              <w:rPr>
                <w:rFonts w:ascii="Arial" w:cs="Arial" w:eastAsia="Arial" w:hAnsi="Arial"/>
                <w:sz w:val="17"/>
                <w:szCs w:val="17"/>
                <w:color w:val="auto"/>
              </w:rPr>
              <w:t>Cash and cash equivalents</w:t>
            </w:r>
          </w:p>
        </w:tc>
        <w:tc>
          <w:tcPr>
            <w:tcW w:w="2320" w:type="dxa"/>
            <w:vAlign w:val="bottom"/>
            <w:gridSpan w:val="2"/>
            <w:shd w:val="clear" w:color="auto" w:fill="E5FFFF"/>
          </w:tcPr>
          <w:p>
            <w:pPr>
              <w:jc w:val="right"/>
              <w:ind w:right="120"/>
              <w:spacing w:after="0"/>
              <w:rPr>
                <w:sz w:val="20"/>
                <w:szCs w:val="20"/>
                <w:color w:val="auto"/>
              </w:rPr>
            </w:pPr>
            <w:r>
              <w:rPr>
                <w:rFonts w:ascii="Arial" w:cs="Arial" w:eastAsia="Arial" w:hAnsi="Arial"/>
                <w:sz w:val="17"/>
                <w:szCs w:val="17"/>
                <w:color w:val="auto"/>
              </w:rPr>
              <w:t>384,092</w:t>
            </w:r>
          </w:p>
        </w:tc>
        <w:tc>
          <w:tcPr>
            <w:tcW w:w="20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342,594</w:t>
            </w:r>
          </w:p>
        </w:tc>
        <w:tc>
          <w:tcPr>
            <w:tcW w:w="12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520" w:type="dxa"/>
            <w:vAlign w:val="bottom"/>
            <w:tcBorders>
              <w:bottom w:val="single" w:sz="8" w:color="E5FFFF"/>
            </w:tcBorders>
          </w:tcPr>
          <w:p>
            <w:pPr>
              <w:spacing w:after="0"/>
              <w:rPr>
                <w:sz w:val="20"/>
                <w:szCs w:val="20"/>
                <w:color w:val="auto"/>
              </w:rPr>
            </w:pPr>
            <w:r>
              <w:rPr>
                <w:rFonts w:ascii="Arial" w:cs="Arial" w:eastAsia="Arial" w:hAnsi="Arial"/>
                <w:sz w:val="17"/>
                <w:szCs w:val="17"/>
                <w:b w:val="1"/>
                <w:bCs w:val="1"/>
                <w:color w:val="auto"/>
              </w:rPr>
              <w:t>Total current assets</w:t>
            </w:r>
          </w:p>
        </w:tc>
        <w:tc>
          <w:tcPr>
            <w:tcW w:w="2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417,071</w:t>
            </w:r>
          </w:p>
        </w:tc>
        <w:tc>
          <w:tcPr>
            <w:tcW w:w="120" w:type="dxa"/>
            <w:vAlign w:val="bottom"/>
            <w:tcBorders>
              <w:bottom w:val="single" w:sz="8" w:color="E5FFFF"/>
            </w:tcBorders>
          </w:tcPr>
          <w:p>
            <w:pPr>
              <w:spacing w:after="0"/>
              <w:rPr>
                <w:sz w:val="18"/>
                <w:szCs w:val="18"/>
                <w:color w:val="auto"/>
              </w:rPr>
            </w:pPr>
          </w:p>
        </w:tc>
        <w:tc>
          <w:tcPr>
            <w:tcW w:w="2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438,888</w:t>
            </w:r>
          </w:p>
        </w:tc>
        <w:tc>
          <w:tcPr>
            <w:tcW w:w="120" w:type="dxa"/>
            <w:vAlign w:val="bottom"/>
            <w:tcBorders>
              <w:bottom w:val="single" w:sz="8" w:color="E5FF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52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7"/>
                <w:szCs w:val="17"/>
                <w:b w:val="1"/>
                <w:bCs w:val="1"/>
                <w:color w:val="auto"/>
              </w:rPr>
              <w:t>Total assets</w:t>
            </w:r>
          </w:p>
        </w:tc>
        <w:tc>
          <w:tcPr>
            <w:tcW w:w="2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4,634,891</w:t>
            </w:r>
          </w:p>
        </w:tc>
        <w:tc>
          <w:tcPr>
            <w:tcW w:w="120" w:type="dxa"/>
            <w:vAlign w:val="bottom"/>
            <w:tcBorders>
              <w:bottom w:val="single" w:sz="8" w:color="E5FFFF"/>
            </w:tcBorders>
            <w:shd w:val="clear" w:color="auto" w:fill="E5FFFF"/>
          </w:tcPr>
          <w:p>
            <w:pPr>
              <w:spacing w:after="0"/>
              <w:rPr>
                <w:sz w:val="18"/>
                <w:szCs w:val="18"/>
                <w:color w:val="auto"/>
              </w:rPr>
            </w:pPr>
          </w:p>
        </w:tc>
        <w:tc>
          <w:tcPr>
            <w:tcW w:w="20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5,174,807</w:t>
            </w:r>
          </w:p>
        </w:tc>
        <w:tc>
          <w:tcPr>
            <w:tcW w:w="120" w:type="dxa"/>
            <w:vAlign w:val="bottom"/>
            <w:tcBorders>
              <w:bottom w:val="single" w:sz="8" w:color="E5FFFF"/>
            </w:tcBorders>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Arial" w:cs="Arial" w:eastAsia="Arial" w:hAnsi="Arial"/>
                <w:sz w:val="17"/>
                <w:szCs w:val="17"/>
                <w:b w:val="1"/>
                <w:bCs w:val="1"/>
                <w:color w:val="auto"/>
              </w:rPr>
              <w:t>Equity and liabilities</w:t>
            </w:r>
          </w:p>
        </w:tc>
        <w:tc>
          <w:tcPr>
            <w:tcW w:w="2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7520" w:type="dxa"/>
            <w:vAlign w:val="bottom"/>
            <w:vMerge w:val="continue"/>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7520" w:type="dxa"/>
            <w:vAlign w:val="bottom"/>
            <w:shd w:val="clear" w:color="auto" w:fill="E5FFFF"/>
          </w:tcPr>
          <w:p>
            <w:pPr>
              <w:spacing w:after="0"/>
              <w:rPr>
                <w:sz w:val="20"/>
                <w:szCs w:val="20"/>
                <w:color w:val="auto"/>
              </w:rPr>
            </w:pPr>
            <w:r>
              <w:rPr>
                <w:rFonts w:ascii="Arial" w:cs="Arial" w:eastAsia="Arial" w:hAnsi="Arial"/>
                <w:sz w:val="17"/>
                <w:szCs w:val="17"/>
                <w:b w:val="1"/>
                <w:bCs w:val="1"/>
                <w:color w:val="auto"/>
              </w:rPr>
              <w:t>Equity</w:t>
            </w:r>
          </w:p>
        </w:tc>
        <w:tc>
          <w:tcPr>
            <w:tcW w:w="2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20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20" w:type="dxa"/>
            <w:vAlign w:val="bottom"/>
          </w:tcPr>
          <w:p>
            <w:pPr>
              <w:spacing w:after="0"/>
              <w:rPr>
                <w:sz w:val="20"/>
                <w:szCs w:val="20"/>
                <w:color w:val="auto"/>
              </w:rPr>
            </w:pPr>
            <w:r>
              <w:rPr>
                <w:rFonts w:ascii="Arial" w:cs="Arial" w:eastAsia="Arial" w:hAnsi="Arial"/>
                <w:sz w:val="17"/>
                <w:szCs w:val="17"/>
                <w:color w:val="auto"/>
              </w:rPr>
              <w:t>Preference shares</w:t>
            </w:r>
          </w:p>
        </w:tc>
        <w:tc>
          <w:tcPr>
            <w:tcW w:w="2320" w:type="dxa"/>
            <w:vAlign w:val="bottom"/>
            <w:gridSpan w:val="2"/>
          </w:tcPr>
          <w:p>
            <w:pPr>
              <w:jc w:val="right"/>
              <w:ind w:right="120"/>
              <w:spacing w:after="0"/>
              <w:rPr>
                <w:sz w:val="20"/>
                <w:szCs w:val="20"/>
                <w:color w:val="auto"/>
              </w:rPr>
            </w:pPr>
            <w:r>
              <w:rPr>
                <w:rFonts w:ascii="Arial" w:cs="Arial" w:eastAsia="Arial" w:hAnsi="Arial"/>
                <w:sz w:val="17"/>
                <w:szCs w:val="17"/>
                <w:color w:val="auto"/>
              </w:rPr>
              <w:t>46</w:t>
            </w:r>
          </w:p>
        </w:tc>
        <w:tc>
          <w:tcPr>
            <w:tcW w:w="2040" w:type="dxa"/>
            <w:vAlign w:val="bottom"/>
          </w:tcPr>
          <w:p>
            <w:pPr>
              <w:jc w:val="right"/>
              <w:spacing w:after="0"/>
              <w:rPr>
                <w:sz w:val="20"/>
                <w:szCs w:val="20"/>
                <w:color w:val="auto"/>
              </w:rPr>
            </w:pPr>
            <w:r>
              <w:rPr>
                <w:rFonts w:ascii="Arial" w:cs="Arial" w:eastAsia="Arial" w:hAnsi="Arial"/>
                <w:sz w:val="17"/>
                <w:szCs w:val="17"/>
                <w:color w:val="auto"/>
              </w:rPr>
              <w:t>46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20" w:type="dxa"/>
            <w:vAlign w:val="bottom"/>
            <w:shd w:val="clear" w:color="auto" w:fill="E5FFFF"/>
          </w:tcPr>
          <w:p>
            <w:pPr>
              <w:spacing w:after="0"/>
              <w:rPr>
                <w:sz w:val="20"/>
                <w:szCs w:val="20"/>
                <w:color w:val="auto"/>
              </w:rPr>
            </w:pPr>
            <w:r>
              <w:rPr>
                <w:rFonts w:ascii="Arial" w:cs="Arial" w:eastAsia="Arial" w:hAnsi="Arial"/>
                <w:sz w:val="17"/>
                <w:szCs w:val="17"/>
                <w:color w:val="auto"/>
              </w:rPr>
              <w:t>Share capital</w:t>
            </w:r>
          </w:p>
        </w:tc>
        <w:tc>
          <w:tcPr>
            <w:tcW w:w="2320" w:type="dxa"/>
            <w:vAlign w:val="bottom"/>
            <w:gridSpan w:val="2"/>
            <w:shd w:val="clear" w:color="auto" w:fill="E5FFFF"/>
          </w:tcPr>
          <w:p>
            <w:pPr>
              <w:jc w:val="right"/>
              <w:ind w:right="120"/>
              <w:spacing w:after="0"/>
              <w:rPr>
                <w:sz w:val="20"/>
                <w:szCs w:val="20"/>
                <w:color w:val="auto"/>
              </w:rPr>
            </w:pPr>
            <w:r>
              <w:rPr>
                <w:rFonts w:ascii="Arial" w:cs="Arial" w:eastAsia="Arial" w:hAnsi="Arial"/>
                <w:sz w:val="17"/>
                <w:szCs w:val="17"/>
                <w:color w:val="auto"/>
              </w:rPr>
              <w:t>810</w:t>
            </w:r>
          </w:p>
        </w:tc>
        <w:tc>
          <w:tcPr>
            <w:tcW w:w="20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810</w:t>
            </w:r>
          </w:p>
        </w:tc>
        <w:tc>
          <w:tcPr>
            <w:tcW w:w="12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20" w:type="dxa"/>
            <w:vAlign w:val="bottom"/>
          </w:tcPr>
          <w:p>
            <w:pPr>
              <w:spacing w:after="0"/>
              <w:rPr>
                <w:sz w:val="20"/>
                <w:szCs w:val="20"/>
                <w:color w:val="auto"/>
              </w:rPr>
            </w:pPr>
            <w:r>
              <w:rPr>
                <w:rFonts w:ascii="Arial" w:cs="Arial" w:eastAsia="Arial" w:hAnsi="Arial"/>
                <w:sz w:val="17"/>
                <w:szCs w:val="17"/>
                <w:color w:val="auto"/>
              </w:rPr>
              <w:t>Contributed surplus</w:t>
            </w:r>
          </w:p>
        </w:tc>
        <w:tc>
          <w:tcPr>
            <w:tcW w:w="2320" w:type="dxa"/>
            <w:vAlign w:val="bottom"/>
            <w:gridSpan w:val="2"/>
          </w:tcPr>
          <w:p>
            <w:pPr>
              <w:jc w:val="right"/>
              <w:ind w:right="120"/>
              <w:spacing w:after="0"/>
              <w:rPr>
                <w:sz w:val="20"/>
                <w:szCs w:val="20"/>
                <w:color w:val="auto"/>
              </w:rPr>
            </w:pPr>
            <w:r>
              <w:rPr>
                <w:rFonts w:ascii="Arial" w:cs="Arial" w:eastAsia="Arial" w:hAnsi="Arial"/>
                <w:sz w:val="17"/>
                <w:szCs w:val="17"/>
                <w:color w:val="auto"/>
              </w:rPr>
              <w:t>911,766</w:t>
            </w:r>
          </w:p>
        </w:tc>
        <w:tc>
          <w:tcPr>
            <w:tcW w:w="2040" w:type="dxa"/>
            <w:vAlign w:val="bottom"/>
          </w:tcPr>
          <w:p>
            <w:pPr>
              <w:jc w:val="right"/>
              <w:spacing w:after="0"/>
              <w:rPr>
                <w:sz w:val="20"/>
                <w:szCs w:val="20"/>
                <w:color w:val="auto"/>
              </w:rPr>
            </w:pPr>
            <w:r>
              <w:rPr>
                <w:rFonts w:ascii="Arial" w:cs="Arial" w:eastAsia="Arial" w:hAnsi="Arial"/>
                <w:sz w:val="17"/>
                <w:szCs w:val="17"/>
                <w:color w:val="auto"/>
              </w:rPr>
              <w:t>850,576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20" w:type="dxa"/>
            <w:vAlign w:val="bottom"/>
            <w:shd w:val="clear" w:color="auto" w:fill="E5FFFF"/>
          </w:tcPr>
          <w:p>
            <w:pPr>
              <w:spacing w:after="0"/>
              <w:rPr>
                <w:sz w:val="20"/>
                <w:szCs w:val="20"/>
                <w:color w:val="auto"/>
              </w:rPr>
            </w:pPr>
            <w:r>
              <w:rPr>
                <w:rFonts w:ascii="Arial" w:cs="Arial" w:eastAsia="Arial" w:hAnsi="Arial"/>
                <w:sz w:val="17"/>
                <w:szCs w:val="17"/>
                <w:color w:val="auto"/>
              </w:rPr>
              <w:t>Reserves</w:t>
            </w:r>
          </w:p>
        </w:tc>
        <w:tc>
          <w:tcPr>
            <w:tcW w:w="2320" w:type="dxa"/>
            <w:vAlign w:val="bottom"/>
            <w:gridSpan w:val="2"/>
            <w:shd w:val="clear" w:color="auto" w:fill="E5FFFF"/>
          </w:tcPr>
          <w:p>
            <w:pPr>
              <w:jc w:val="right"/>
              <w:ind w:right="120"/>
              <w:spacing w:after="0"/>
              <w:rPr>
                <w:sz w:val="20"/>
                <w:szCs w:val="20"/>
                <w:color w:val="auto"/>
              </w:rPr>
            </w:pPr>
            <w:r>
              <w:rPr>
                <w:rFonts w:ascii="Arial" w:cs="Arial" w:eastAsia="Arial" w:hAnsi="Arial"/>
                <w:sz w:val="17"/>
                <w:szCs w:val="17"/>
                <w:color w:val="auto"/>
              </w:rPr>
              <w:t>18,347</w:t>
            </w:r>
          </w:p>
        </w:tc>
        <w:tc>
          <w:tcPr>
            <w:tcW w:w="20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18,962</w:t>
            </w:r>
          </w:p>
        </w:tc>
        <w:tc>
          <w:tcPr>
            <w:tcW w:w="12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20" w:type="dxa"/>
            <w:vAlign w:val="bottom"/>
          </w:tcPr>
          <w:p>
            <w:pPr>
              <w:spacing w:after="0"/>
              <w:rPr>
                <w:sz w:val="20"/>
                <w:szCs w:val="20"/>
                <w:color w:val="auto"/>
              </w:rPr>
            </w:pPr>
            <w:r>
              <w:rPr>
                <w:rFonts w:ascii="Arial" w:cs="Arial" w:eastAsia="Arial" w:hAnsi="Arial"/>
                <w:sz w:val="17"/>
                <w:szCs w:val="17"/>
                <w:color w:val="auto"/>
              </w:rPr>
              <w:t>Treasury shares</w:t>
            </w:r>
          </w:p>
        </w:tc>
        <w:tc>
          <w:tcPr>
            <w:tcW w:w="2320" w:type="dxa"/>
            <w:vAlign w:val="bottom"/>
            <w:gridSpan w:val="2"/>
          </w:tcPr>
          <w:p>
            <w:pPr>
              <w:jc w:val="right"/>
              <w:ind w:right="60"/>
              <w:spacing w:after="0"/>
              <w:rPr>
                <w:sz w:val="20"/>
                <w:szCs w:val="20"/>
                <w:color w:val="auto"/>
              </w:rPr>
            </w:pPr>
            <w:r>
              <w:rPr>
                <w:rFonts w:ascii="Arial" w:cs="Arial" w:eastAsia="Arial" w:hAnsi="Arial"/>
                <w:sz w:val="17"/>
                <w:szCs w:val="17"/>
                <w:color w:val="auto"/>
              </w:rPr>
              <w:t>(6,960)</w:t>
            </w:r>
          </w:p>
        </w:tc>
        <w:tc>
          <w:tcPr>
            <w:tcW w:w="2160" w:type="dxa"/>
            <w:vAlign w:val="bottom"/>
            <w:gridSpan w:val="2"/>
          </w:tcPr>
          <w:p>
            <w:pPr>
              <w:jc w:val="right"/>
              <w:ind w:right="60"/>
              <w:spacing w:after="0"/>
              <w:rPr>
                <w:sz w:val="20"/>
                <w:szCs w:val="20"/>
                <w:color w:val="auto"/>
              </w:rPr>
            </w:pPr>
            <w:r>
              <w:rPr>
                <w:rFonts w:ascii="Arial" w:cs="Arial" w:eastAsia="Arial" w:hAnsi="Arial"/>
                <w:sz w:val="17"/>
                <w:szCs w:val="17"/>
                <w:color w:val="auto"/>
              </w:rPr>
              <w:t>(3,266)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20" w:type="dxa"/>
            <w:vAlign w:val="bottom"/>
            <w:shd w:val="clear" w:color="auto" w:fill="E5FFFF"/>
          </w:tcPr>
          <w:p>
            <w:pPr>
              <w:spacing w:after="0"/>
              <w:rPr>
                <w:sz w:val="20"/>
                <w:szCs w:val="20"/>
                <w:color w:val="auto"/>
              </w:rPr>
            </w:pPr>
            <w:r>
              <w:rPr>
                <w:rFonts w:ascii="Arial" w:cs="Arial" w:eastAsia="Arial" w:hAnsi="Arial"/>
                <w:sz w:val="17"/>
                <w:szCs w:val="17"/>
                <w:color w:val="auto"/>
              </w:rPr>
              <w:t>(Accumulated deficit)/retained earnings</w:t>
            </w:r>
          </w:p>
        </w:tc>
        <w:tc>
          <w:tcPr>
            <w:tcW w:w="2320" w:type="dxa"/>
            <w:vAlign w:val="bottom"/>
            <w:gridSpan w:val="2"/>
            <w:shd w:val="clear" w:color="auto" w:fill="E5FFFF"/>
          </w:tcPr>
          <w:p>
            <w:pPr>
              <w:jc w:val="right"/>
              <w:ind w:right="60"/>
              <w:spacing w:after="0"/>
              <w:rPr>
                <w:sz w:val="20"/>
                <w:szCs w:val="20"/>
                <w:color w:val="auto"/>
              </w:rPr>
            </w:pPr>
            <w:r>
              <w:rPr>
                <w:rFonts w:ascii="Arial" w:cs="Arial" w:eastAsia="Arial" w:hAnsi="Arial"/>
                <w:sz w:val="17"/>
                <w:szCs w:val="17"/>
                <w:color w:val="auto"/>
              </w:rPr>
              <w:t>(5,980)</w:t>
            </w:r>
          </w:p>
        </w:tc>
        <w:tc>
          <w:tcPr>
            <w:tcW w:w="20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12,614</w:t>
            </w:r>
          </w:p>
        </w:tc>
        <w:tc>
          <w:tcPr>
            <w:tcW w:w="12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520" w:type="dxa"/>
            <w:vAlign w:val="bottom"/>
          </w:tcPr>
          <w:p>
            <w:pPr>
              <w:spacing w:after="0"/>
              <w:rPr>
                <w:sz w:val="20"/>
                <w:szCs w:val="20"/>
                <w:color w:val="auto"/>
              </w:rPr>
            </w:pPr>
            <w:r>
              <w:rPr>
                <w:rFonts w:ascii="Arial" w:cs="Arial" w:eastAsia="Arial" w:hAnsi="Arial"/>
                <w:sz w:val="17"/>
                <w:szCs w:val="17"/>
                <w:b w:val="1"/>
                <w:bCs w:val="1"/>
                <w:color w:val="auto"/>
              </w:rPr>
              <w:t>Equity attributable to owners of the Group</w:t>
            </w:r>
          </w:p>
        </w:tc>
        <w:tc>
          <w:tcPr>
            <w:tcW w:w="22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918,029</w:t>
            </w:r>
          </w:p>
        </w:tc>
        <w:tc>
          <w:tcPr>
            <w:tcW w:w="120" w:type="dxa"/>
            <w:vAlign w:val="bottom"/>
          </w:tcPr>
          <w:p>
            <w:pPr>
              <w:spacing w:after="0"/>
              <w:rPr>
                <w:sz w:val="18"/>
                <w:szCs w:val="18"/>
                <w:color w:val="auto"/>
              </w:rPr>
            </w:pP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879,742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20" w:type="dxa"/>
            <w:vAlign w:val="bottom"/>
            <w:shd w:val="clear" w:color="auto" w:fill="E5FFFF"/>
          </w:tcPr>
          <w:p>
            <w:pPr>
              <w:spacing w:after="0"/>
              <w:rPr>
                <w:sz w:val="20"/>
                <w:szCs w:val="20"/>
                <w:color w:val="auto"/>
              </w:rPr>
            </w:pPr>
            <w:r>
              <w:rPr>
                <w:rFonts w:ascii="Arial" w:cs="Arial" w:eastAsia="Arial" w:hAnsi="Arial"/>
                <w:sz w:val="17"/>
                <w:szCs w:val="17"/>
                <w:color w:val="auto"/>
              </w:rPr>
              <w:t>Non-controlling interests</w:t>
            </w:r>
          </w:p>
        </w:tc>
        <w:tc>
          <w:tcPr>
            <w:tcW w:w="2320" w:type="dxa"/>
            <w:vAlign w:val="bottom"/>
            <w:gridSpan w:val="2"/>
            <w:shd w:val="clear" w:color="auto" w:fill="E5FFFF"/>
          </w:tcPr>
          <w:p>
            <w:pPr>
              <w:jc w:val="right"/>
              <w:ind w:right="120"/>
              <w:spacing w:after="0"/>
              <w:rPr>
                <w:sz w:val="20"/>
                <w:szCs w:val="20"/>
                <w:color w:val="auto"/>
              </w:rPr>
            </w:pPr>
            <w:r>
              <w:rPr>
                <w:rFonts w:ascii="Arial" w:cs="Arial" w:eastAsia="Arial" w:hAnsi="Arial"/>
                <w:sz w:val="17"/>
                <w:szCs w:val="17"/>
                <w:color w:val="auto"/>
              </w:rPr>
              <w:t>845,105</w:t>
            </w:r>
          </w:p>
        </w:tc>
        <w:tc>
          <w:tcPr>
            <w:tcW w:w="20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1,103,380</w:t>
            </w:r>
          </w:p>
        </w:tc>
        <w:tc>
          <w:tcPr>
            <w:tcW w:w="12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520" w:type="dxa"/>
            <w:vAlign w:val="bottom"/>
            <w:tcBorders>
              <w:bottom w:val="single" w:sz="8" w:color="E5FFFF"/>
            </w:tcBorders>
          </w:tcPr>
          <w:p>
            <w:pPr>
              <w:spacing w:after="0"/>
              <w:rPr>
                <w:sz w:val="20"/>
                <w:szCs w:val="20"/>
                <w:color w:val="auto"/>
              </w:rPr>
            </w:pPr>
            <w:r>
              <w:rPr>
                <w:rFonts w:ascii="Arial" w:cs="Arial" w:eastAsia="Arial" w:hAnsi="Arial"/>
                <w:sz w:val="17"/>
                <w:szCs w:val="17"/>
                <w:b w:val="1"/>
                <w:bCs w:val="1"/>
                <w:color w:val="auto"/>
              </w:rPr>
              <w:t>Total equity</w:t>
            </w:r>
          </w:p>
        </w:tc>
        <w:tc>
          <w:tcPr>
            <w:tcW w:w="2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1,763,134</w:t>
            </w:r>
          </w:p>
        </w:tc>
        <w:tc>
          <w:tcPr>
            <w:tcW w:w="120" w:type="dxa"/>
            <w:vAlign w:val="bottom"/>
            <w:tcBorders>
              <w:bottom w:val="single" w:sz="8" w:color="E5FFFF"/>
            </w:tcBorders>
          </w:tcPr>
          <w:p>
            <w:pPr>
              <w:spacing w:after="0"/>
              <w:rPr>
                <w:sz w:val="18"/>
                <w:szCs w:val="18"/>
                <w:color w:val="auto"/>
              </w:rPr>
            </w:pPr>
          </w:p>
        </w:tc>
        <w:tc>
          <w:tcPr>
            <w:tcW w:w="2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1,983,122</w:t>
            </w:r>
          </w:p>
        </w:tc>
        <w:tc>
          <w:tcPr>
            <w:tcW w:w="120" w:type="dxa"/>
            <w:vAlign w:val="bottom"/>
            <w:tcBorders>
              <w:bottom w:val="single" w:sz="8" w:color="E5FF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520" w:type="dxa"/>
            <w:vAlign w:val="bottom"/>
            <w:shd w:val="clear" w:color="auto" w:fill="E5FFFF"/>
          </w:tcPr>
          <w:p>
            <w:pPr>
              <w:spacing w:after="0" w:line="194" w:lineRule="exact"/>
              <w:rPr>
                <w:sz w:val="20"/>
                <w:szCs w:val="20"/>
                <w:color w:val="auto"/>
              </w:rPr>
            </w:pPr>
            <w:r>
              <w:rPr>
                <w:rFonts w:ascii="Arial" w:cs="Arial" w:eastAsia="Arial" w:hAnsi="Arial"/>
                <w:sz w:val="17"/>
                <w:szCs w:val="17"/>
                <w:b w:val="1"/>
                <w:bCs w:val="1"/>
                <w:color w:val="auto"/>
              </w:rPr>
              <w:t>Current liabilities</w:t>
            </w:r>
          </w:p>
        </w:tc>
        <w:tc>
          <w:tcPr>
            <w:tcW w:w="220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204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520" w:type="dxa"/>
            <w:vAlign w:val="bottom"/>
          </w:tcPr>
          <w:p>
            <w:pPr>
              <w:spacing w:after="0"/>
              <w:rPr>
                <w:sz w:val="20"/>
                <w:szCs w:val="20"/>
                <w:color w:val="auto"/>
              </w:rPr>
            </w:pPr>
            <w:r>
              <w:rPr>
                <w:rFonts w:ascii="Arial" w:cs="Arial" w:eastAsia="Arial" w:hAnsi="Arial"/>
                <w:sz w:val="17"/>
                <w:szCs w:val="17"/>
                <w:color w:val="auto"/>
              </w:rPr>
              <w:t>Trade accounts payable</w:t>
            </w:r>
          </w:p>
        </w:tc>
        <w:tc>
          <w:tcPr>
            <w:tcW w:w="2320" w:type="dxa"/>
            <w:vAlign w:val="bottom"/>
            <w:gridSpan w:val="2"/>
          </w:tcPr>
          <w:p>
            <w:pPr>
              <w:jc w:val="right"/>
              <w:ind w:right="120"/>
              <w:spacing w:after="0"/>
              <w:rPr>
                <w:sz w:val="20"/>
                <w:szCs w:val="20"/>
                <w:color w:val="auto"/>
              </w:rPr>
            </w:pPr>
            <w:r>
              <w:rPr>
                <w:rFonts w:ascii="Arial" w:cs="Arial" w:eastAsia="Arial" w:hAnsi="Arial"/>
                <w:sz w:val="17"/>
                <w:szCs w:val="17"/>
                <w:color w:val="auto"/>
              </w:rPr>
              <w:t>11,526</w:t>
            </w:r>
          </w:p>
        </w:tc>
        <w:tc>
          <w:tcPr>
            <w:tcW w:w="2160" w:type="dxa"/>
            <w:vAlign w:val="bottom"/>
            <w:gridSpan w:val="2"/>
          </w:tcPr>
          <w:p>
            <w:pPr>
              <w:jc w:val="right"/>
              <w:ind w:right="120"/>
              <w:spacing w:after="0"/>
              <w:rPr>
                <w:sz w:val="20"/>
                <w:szCs w:val="20"/>
                <w:color w:val="auto"/>
              </w:rPr>
            </w:pPr>
            <w:r>
              <w:rPr>
                <w:rFonts w:ascii="Arial" w:cs="Arial" w:eastAsia="Arial" w:hAnsi="Arial"/>
                <w:sz w:val="17"/>
                <w:szCs w:val="17"/>
                <w:color w:val="auto"/>
              </w:rPr>
              <w:t>11,890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20" w:type="dxa"/>
            <w:vAlign w:val="bottom"/>
            <w:shd w:val="clear" w:color="auto" w:fill="E5FFFF"/>
          </w:tcPr>
          <w:p>
            <w:pPr>
              <w:spacing w:after="0"/>
              <w:rPr>
                <w:sz w:val="20"/>
                <w:szCs w:val="20"/>
                <w:color w:val="auto"/>
              </w:rPr>
            </w:pPr>
            <w:r>
              <w:rPr>
                <w:rFonts w:ascii="Arial" w:cs="Arial" w:eastAsia="Arial" w:hAnsi="Arial"/>
                <w:sz w:val="17"/>
                <w:szCs w:val="17"/>
                <w:color w:val="auto"/>
              </w:rPr>
              <w:t>Ship management creditors</w:t>
            </w:r>
          </w:p>
        </w:tc>
        <w:tc>
          <w:tcPr>
            <w:tcW w:w="2320" w:type="dxa"/>
            <w:vAlign w:val="bottom"/>
            <w:gridSpan w:val="2"/>
            <w:shd w:val="clear" w:color="auto" w:fill="E5FFFF"/>
          </w:tcPr>
          <w:p>
            <w:pPr>
              <w:jc w:val="right"/>
              <w:ind w:right="120"/>
              <w:spacing w:after="0"/>
              <w:rPr>
                <w:sz w:val="20"/>
                <w:szCs w:val="20"/>
                <w:color w:val="auto"/>
              </w:rPr>
            </w:pPr>
            <w:r>
              <w:rPr>
                <w:rFonts w:ascii="Arial" w:cs="Arial" w:eastAsia="Arial" w:hAnsi="Arial"/>
                <w:sz w:val="17"/>
                <w:szCs w:val="17"/>
                <w:color w:val="auto"/>
              </w:rPr>
              <w:t>2,394</w:t>
            </w:r>
          </w:p>
        </w:tc>
        <w:tc>
          <w:tcPr>
            <w:tcW w:w="20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580</w:t>
            </w:r>
          </w:p>
        </w:tc>
        <w:tc>
          <w:tcPr>
            <w:tcW w:w="12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20" w:type="dxa"/>
            <w:vAlign w:val="bottom"/>
          </w:tcPr>
          <w:p>
            <w:pPr>
              <w:spacing w:after="0"/>
              <w:rPr>
                <w:sz w:val="20"/>
                <w:szCs w:val="20"/>
                <w:color w:val="auto"/>
              </w:rPr>
            </w:pPr>
            <w:r>
              <w:rPr>
                <w:rFonts w:ascii="Arial" w:cs="Arial" w:eastAsia="Arial" w:hAnsi="Arial"/>
                <w:sz w:val="17"/>
                <w:szCs w:val="17"/>
                <w:color w:val="auto"/>
              </w:rPr>
              <w:t>Amounts due to related parties</w:t>
            </w:r>
          </w:p>
        </w:tc>
        <w:tc>
          <w:tcPr>
            <w:tcW w:w="2320" w:type="dxa"/>
            <w:vAlign w:val="bottom"/>
            <w:gridSpan w:val="2"/>
          </w:tcPr>
          <w:p>
            <w:pPr>
              <w:jc w:val="right"/>
              <w:ind w:right="120"/>
              <w:spacing w:after="0"/>
              <w:rPr>
                <w:sz w:val="20"/>
                <w:szCs w:val="20"/>
                <w:color w:val="auto"/>
              </w:rPr>
            </w:pPr>
            <w:r>
              <w:rPr>
                <w:rFonts w:ascii="Arial" w:cs="Arial" w:eastAsia="Arial" w:hAnsi="Arial"/>
                <w:sz w:val="17"/>
                <w:szCs w:val="17"/>
                <w:color w:val="auto"/>
              </w:rPr>
              <w:t>35</w:t>
            </w:r>
          </w:p>
        </w:tc>
        <w:tc>
          <w:tcPr>
            <w:tcW w:w="2040" w:type="dxa"/>
            <w:vAlign w:val="bottom"/>
          </w:tcPr>
          <w:p>
            <w:pPr>
              <w:jc w:val="right"/>
              <w:spacing w:after="0"/>
              <w:rPr>
                <w:sz w:val="20"/>
                <w:szCs w:val="20"/>
                <w:color w:val="auto"/>
              </w:rPr>
            </w:pPr>
            <w:r>
              <w:rPr>
                <w:rFonts w:ascii="Arial" w:cs="Arial" w:eastAsia="Arial" w:hAnsi="Arial"/>
                <w:sz w:val="17"/>
                <w:szCs w:val="17"/>
                <w:color w:val="auto"/>
              </w:rPr>
              <w:t>169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20" w:type="dxa"/>
            <w:vAlign w:val="bottom"/>
            <w:shd w:val="clear" w:color="auto" w:fill="E5FFFF"/>
          </w:tcPr>
          <w:p>
            <w:pPr>
              <w:spacing w:after="0"/>
              <w:rPr>
                <w:sz w:val="20"/>
                <w:szCs w:val="20"/>
                <w:color w:val="auto"/>
              </w:rPr>
            </w:pPr>
            <w:r>
              <w:rPr>
                <w:rFonts w:ascii="Arial" w:cs="Arial" w:eastAsia="Arial" w:hAnsi="Arial"/>
                <w:sz w:val="17"/>
                <w:szCs w:val="17"/>
                <w:color w:val="auto"/>
              </w:rPr>
              <w:t>Derivative financial instruments</w:t>
            </w:r>
          </w:p>
        </w:tc>
        <w:tc>
          <w:tcPr>
            <w:tcW w:w="2320" w:type="dxa"/>
            <w:vAlign w:val="bottom"/>
            <w:gridSpan w:val="2"/>
            <w:shd w:val="clear" w:color="auto" w:fill="E5FFFF"/>
          </w:tcPr>
          <w:p>
            <w:pPr>
              <w:jc w:val="right"/>
              <w:ind w:right="120"/>
              <w:spacing w:after="0"/>
              <w:rPr>
                <w:sz w:val="20"/>
                <w:szCs w:val="20"/>
                <w:color w:val="auto"/>
              </w:rPr>
            </w:pPr>
            <w:r>
              <w:rPr>
                <w:rFonts w:ascii="Arial" w:cs="Arial" w:eastAsia="Arial" w:hAnsi="Arial"/>
                <w:sz w:val="17"/>
                <w:szCs w:val="17"/>
                <w:color w:val="auto"/>
              </w:rPr>
              <w:t>1,815</w:t>
            </w:r>
          </w:p>
        </w:tc>
        <w:tc>
          <w:tcPr>
            <w:tcW w:w="20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2,091</w:t>
            </w:r>
          </w:p>
        </w:tc>
        <w:tc>
          <w:tcPr>
            <w:tcW w:w="12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20" w:type="dxa"/>
            <w:vAlign w:val="bottom"/>
          </w:tcPr>
          <w:p>
            <w:pPr>
              <w:spacing w:after="0"/>
              <w:rPr>
                <w:sz w:val="20"/>
                <w:szCs w:val="20"/>
                <w:color w:val="auto"/>
              </w:rPr>
            </w:pPr>
            <w:r>
              <w:rPr>
                <w:rFonts w:ascii="Arial" w:cs="Arial" w:eastAsia="Arial" w:hAnsi="Arial"/>
                <w:sz w:val="17"/>
                <w:szCs w:val="17"/>
                <w:color w:val="auto"/>
              </w:rPr>
              <w:t>Other payables and accruals</w:t>
            </w:r>
          </w:p>
        </w:tc>
        <w:tc>
          <w:tcPr>
            <w:tcW w:w="2320" w:type="dxa"/>
            <w:vAlign w:val="bottom"/>
            <w:gridSpan w:val="2"/>
          </w:tcPr>
          <w:p>
            <w:pPr>
              <w:jc w:val="right"/>
              <w:ind w:right="120"/>
              <w:spacing w:after="0"/>
              <w:rPr>
                <w:sz w:val="20"/>
                <w:szCs w:val="20"/>
                <w:color w:val="auto"/>
              </w:rPr>
            </w:pPr>
            <w:r>
              <w:rPr>
                <w:rFonts w:ascii="Arial" w:cs="Arial" w:eastAsia="Arial" w:hAnsi="Arial"/>
                <w:sz w:val="17"/>
                <w:szCs w:val="17"/>
                <w:color w:val="auto"/>
              </w:rPr>
              <w:t>93,418</w:t>
            </w:r>
          </w:p>
        </w:tc>
        <w:tc>
          <w:tcPr>
            <w:tcW w:w="2040" w:type="dxa"/>
            <w:vAlign w:val="bottom"/>
          </w:tcPr>
          <w:p>
            <w:pPr>
              <w:jc w:val="right"/>
              <w:spacing w:after="0"/>
              <w:rPr>
                <w:sz w:val="20"/>
                <w:szCs w:val="20"/>
                <w:color w:val="auto"/>
              </w:rPr>
            </w:pPr>
            <w:r>
              <w:rPr>
                <w:rFonts w:ascii="Arial" w:cs="Arial" w:eastAsia="Arial" w:hAnsi="Arial"/>
                <w:sz w:val="17"/>
                <w:szCs w:val="17"/>
                <w:color w:val="auto"/>
              </w:rPr>
              <w:t>127,450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20" w:type="dxa"/>
            <w:vAlign w:val="bottom"/>
            <w:shd w:val="clear" w:color="auto" w:fill="E5FFFF"/>
          </w:tcPr>
          <w:p>
            <w:pPr>
              <w:spacing w:after="0"/>
              <w:rPr>
                <w:sz w:val="20"/>
                <w:szCs w:val="20"/>
                <w:color w:val="auto"/>
              </w:rPr>
            </w:pPr>
            <w:r>
              <w:rPr>
                <w:rFonts w:ascii="Arial" w:cs="Arial" w:eastAsia="Arial" w:hAnsi="Arial"/>
                <w:sz w:val="17"/>
                <w:szCs w:val="17"/>
                <w:color w:val="auto"/>
              </w:rPr>
              <w:t>Borrowings, current portion</w:t>
            </w:r>
          </w:p>
        </w:tc>
        <w:tc>
          <w:tcPr>
            <w:tcW w:w="2320" w:type="dxa"/>
            <w:vAlign w:val="bottom"/>
            <w:gridSpan w:val="2"/>
            <w:shd w:val="clear" w:color="auto" w:fill="E5FFFF"/>
          </w:tcPr>
          <w:p>
            <w:pPr>
              <w:jc w:val="right"/>
              <w:ind w:right="120"/>
              <w:spacing w:after="0"/>
              <w:rPr>
                <w:sz w:val="20"/>
                <w:szCs w:val="20"/>
                <w:color w:val="auto"/>
              </w:rPr>
            </w:pPr>
            <w:r>
              <w:rPr>
                <w:rFonts w:ascii="Arial" w:cs="Arial" w:eastAsia="Arial" w:hAnsi="Arial"/>
                <w:sz w:val="17"/>
                <w:szCs w:val="17"/>
                <w:color w:val="auto"/>
              </w:rPr>
              <w:t>179,367</w:t>
            </w:r>
          </w:p>
        </w:tc>
        <w:tc>
          <w:tcPr>
            <w:tcW w:w="20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520,550</w:t>
            </w:r>
          </w:p>
        </w:tc>
        <w:tc>
          <w:tcPr>
            <w:tcW w:w="12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20" w:type="dxa"/>
            <w:vAlign w:val="bottom"/>
          </w:tcPr>
          <w:p>
            <w:pPr>
              <w:spacing w:after="0"/>
              <w:rPr>
                <w:sz w:val="20"/>
                <w:szCs w:val="20"/>
                <w:color w:val="auto"/>
              </w:rPr>
            </w:pPr>
            <w:r>
              <w:rPr>
                <w:rFonts w:ascii="Arial" w:cs="Arial" w:eastAsia="Arial" w:hAnsi="Arial"/>
                <w:sz w:val="17"/>
                <w:szCs w:val="17"/>
                <w:color w:val="auto"/>
              </w:rPr>
              <w:t>Finance lease liability, current portion</w:t>
            </w:r>
          </w:p>
        </w:tc>
        <w:tc>
          <w:tcPr>
            <w:tcW w:w="2320" w:type="dxa"/>
            <w:vAlign w:val="bottom"/>
            <w:gridSpan w:val="2"/>
          </w:tcPr>
          <w:p>
            <w:pPr>
              <w:jc w:val="right"/>
              <w:ind w:right="120"/>
              <w:spacing w:after="0"/>
              <w:rPr>
                <w:sz w:val="20"/>
                <w:szCs w:val="20"/>
                <w:color w:val="auto"/>
              </w:rPr>
            </w:pPr>
            <w:r>
              <w:rPr>
                <w:rFonts w:ascii="Arial" w:cs="Arial" w:eastAsia="Arial" w:hAnsi="Arial"/>
                <w:sz w:val="17"/>
                <w:szCs w:val="17"/>
                <w:color w:val="auto"/>
              </w:rPr>
              <w:t>6,302</w:t>
            </w:r>
          </w:p>
        </w:tc>
        <w:tc>
          <w:tcPr>
            <w:tcW w:w="2040" w:type="dxa"/>
            <w:vAlign w:val="bottom"/>
          </w:tcPr>
          <w:p>
            <w:pPr>
              <w:jc w:val="right"/>
              <w:spacing w:after="0"/>
              <w:rPr>
                <w:sz w:val="20"/>
                <w:szCs w:val="20"/>
                <w:color w:val="auto"/>
              </w:rPr>
            </w:pPr>
            <w:r>
              <w:rPr>
                <w:rFonts w:ascii="Arial" w:cs="Arial" w:eastAsia="Arial" w:hAnsi="Arial"/>
                <w:sz w:val="17"/>
                <w:szCs w:val="17"/>
                <w:color w:val="auto"/>
              </w:rPr>
              <w:t>6,675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5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7"/>
                <w:szCs w:val="17"/>
                <w:b w:val="1"/>
                <w:bCs w:val="1"/>
                <w:color w:val="auto"/>
              </w:rPr>
              <w:t>Total current liabilities</w:t>
            </w:r>
          </w:p>
        </w:tc>
        <w:tc>
          <w:tcPr>
            <w:tcW w:w="22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294,857</w:t>
            </w:r>
          </w:p>
        </w:tc>
        <w:tc>
          <w:tcPr>
            <w:tcW w:w="120" w:type="dxa"/>
            <w:vAlign w:val="bottom"/>
            <w:tcBorders>
              <w:top w:val="single" w:sz="8" w:color="E5FFFF"/>
            </w:tcBorders>
            <w:shd w:val="clear" w:color="auto" w:fill="E5FFFF"/>
          </w:tcPr>
          <w:p>
            <w:pPr>
              <w:spacing w:after="0"/>
              <w:rPr>
                <w:sz w:val="18"/>
                <w:szCs w:val="18"/>
                <w:color w:val="auto"/>
              </w:rPr>
            </w:pPr>
          </w:p>
        </w:tc>
        <w:tc>
          <w:tcPr>
            <w:tcW w:w="20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669,405</w:t>
            </w:r>
          </w:p>
        </w:tc>
        <w:tc>
          <w:tcPr>
            <w:tcW w:w="120" w:type="dxa"/>
            <w:vAlign w:val="bottom"/>
            <w:tcBorders>
              <w:top w:val="single" w:sz="8" w:color="E5FFFF"/>
            </w:tcBorders>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520" w:type="dxa"/>
            <w:vAlign w:val="bottom"/>
          </w:tcPr>
          <w:p>
            <w:pPr>
              <w:spacing w:after="0" w:line="194" w:lineRule="exact"/>
              <w:rPr>
                <w:sz w:val="20"/>
                <w:szCs w:val="20"/>
                <w:color w:val="auto"/>
              </w:rPr>
            </w:pPr>
            <w:r>
              <w:rPr>
                <w:rFonts w:ascii="Arial" w:cs="Arial" w:eastAsia="Arial" w:hAnsi="Arial"/>
                <w:sz w:val="17"/>
                <w:szCs w:val="17"/>
                <w:b w:val="1"/>
                <w:bCs w:val="1"/>
                <w:color w:val="auto"/>
              </w:rPr>
              <w:t>Non-current liabilities</w:t>
            </w:r>
          </w:p>
        </w:tc>
        <w:tc>
          <w:tcPr>
            <w:tcW w:w="2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520" w:type="dxa"/>
            <w:vAlign w:val="bottom"/>
            <w:shd w:val="clear" w:color="auto" w:fill="E5FFFF"/>
          </w:tcPr>
          <w:p>
            <w:pPr>
              <w:spacing w:after="0"/>
              <w:rPr>
                <w:sz w:val="20"/>
                <w:szCs w:val="20"/>
                <w:color w:val="auto"/>
              </w:rPr>
            </w:pPr>
            <w:r>
              <w:rPr>
                <w:rFonts w:ascii="Arial" w:cs="Arial" w:eastAsia="Arial" w:hAnsi="Arial"/>
                <w:sz w:val="17"/>
                <w:szCs w:val="17"/>
                <w:color w:val="auto"/>
              </w:rPr>
              <w:t>Derivative financial instruments</w:t>
            </w:r>
          </w:p>
        </w:tc>
        <w:tc>
          <w:tcPr>
            <w:tcW w:w="2320" w:type="dxa"/>
            <w:vAlign w:val="bottom"/>
            <w:gridSpan w:val="2"/>
            <w:shd w:val="clear" w:color="auto" w:fill="E5FFFF"/>
          </w:tcPr>
          <w:p>
            <w:pPr>
              <w:jc w:val="right"/>
              <w:ind w:right="120"/>
              <w:spacing w:after="0"/>
              <w:rPr>
                <w:sz w:val="20"/>
                <w:szCs w:val="20"/>
                <w:color w:val="auto"/>
              </w:rPr>
            </w:pPr>
            <w:r>
              <w:rPr>
                <w:rFonts w:ascii="Arial" w:cs="Arial" w:eastAsia="Arial" w:hAnsi="Arial"/>
                <w:sz w:val="17"/>
                <w:szCs w:val="17"/>
                <w:color w:val="auto"/>
              </w:rPr>
              <w:t>—</w:t>
            </w:r>
          </w:p>
        </w:tc>
        <w:tc>
          <w:tcPr>
            <w:tcW w:w="20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10,001</w:t>
            </w:r>
          </w:p>
        </w:tc>
        <w:tc>
          <w:tcPr>
            <w:tcW w:w="12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20" w:type="dxa"/>
            <w:vAlign w:val="bottom"/>
          </w:tcPr>
          <w:p>
            <w:pPr>
              <w:spacing w:after="0"/>
              <w:rPr>
                <w:sz w:val="20"/>
                <w:szCs w:val="20"/>
                <w:color w:val="auto"/>
              </w:rPr>
            </w:pPr>
            <w:r>
              <w:rPr>
                <w:rFonts w:ascii="Arial" w:cs="Arial" w:eastAsia="Arial" w:hAnsi="Arial"/>
                <w:sz w:val="17"/>
                <w:szCs w:val="17"/>
                <w:color w:val="auto"/>
              </w:rPr>
              <w:t>Borrowings, non-current portion</w:t>
            </w:r>
          </w:p>
        </w:tc>
        <w:tc>
          <w:tcPr>
            <w:tcW w:w="2320" w:type="dxa"/>
            <w:vAlign w:val="bottom"/>
            <w:gridSpan w:val="2"/>
          </w:tcPr>
          <w:p>
            <w:pPr>
              <w:jc w:val="right"/>
              <w:ind w:right="120"/>
              <w:spacing w:after="0"/>
              <w:rPr>
                <w:sz w:val="20"/>
                <w:szCs w:val="20"/>
                <w:color w:val="auto"/>
              </w:rPr>
            </w:pPr>
            <w:r>
              <w:rPr>
                <w:rFonts w:ascii="Arial" w:cs="Arial" w:eastAsia="Arial" w:hAnsi="Arial"/>
                <w:sz w:val="17"/>
                <w:szCs w:val="17"/>
                <w:color w:val="auto"/>
              </w:rPr>
              <w:t>2,368,189</w:t>
            </w:r>
          </w:p>
        </w:tc>
        <w:tc>
          <w:tcPr>
            <w:tcW w:w="2040" w:type="dxa"/>
            <w:vAlign w:val="bottom"/>
          </w:tcPr>
          <w:p>
            <w:pPr>
              <w:jc w:val="right"/>
              <w:spacing w:after="0"/>
              <w:rPr>
                <w:sz w:val="20"/>
                <w:szCs w:val="20"/>
                <w:color w:val="auto"/>
              </w:rPr>
            </w:pPr>
            <w:r>
              <w:rPr>
                <w:rFonts w:ascii="Arial" w:cs="Arial" w:eastAsia="Arial" w:hAnsi="Arial"/>
                <w:sz w:val="17"/>
                <w:szCs w:val="17"/>
                <w:color w:val="auto"/>
              </w:rPr>
              <w:t>2,307,909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20" w:type="dxa"/>
            <w:vAlign w:val="bottom"/>
            <w:shd w:val="clear" w:color="auto" w:fill="E5FFFF"/>
          </w:tcPr>
          <w:p>
            <w:pPr>
              <w:spacing w:after="0"/>
              <w:rPr>
                <w:sz w:val="20"/>
                <w:szCs w:val="20"/>
                <w:color w:val="auto"/>
              </w:rPr>
            </w:pPr>
            <w:r>
              <w:rPr>
                <w:rFonts w:ascii="Arial" w:cs="Arial" w:eastAsia="Arial" w:hAnsi="Arial"/>
                <w:sz w:val="17"/>
                <w:szCs w:val="17"/>
                <w:color w:val="auto"/>
              </w:rPr>
              <w:t>Finance lease liability, non-current portion</w:t>
            </w:r>
          </w:p>
        </w:tc>
        <w:tc>
          <w:tcPr>
            <w:tcW w:w="2320" w:type="dxa"/>
            <w:vAlign w:val="bottom"/>
            <w:gridSpan w:val="2"/>
            <w:shd w:val="clear" w:color="auto" w:fill="E5FFFF"/>
          </w:tcPr>
          <w:p>
            <w:pPr>
              <w:jc w:val="right"/>
              <w:ind w:right="120"/>
              <w:spacing w:after="0"/>
              <w:rPr>
                <w:sz w:val="20"/>
                <w:szCs w:val="20"/>
                <w:color w:val="auto"/>
              </w:rPr>
            </w:pPr>
            <w:r>
              <w:rPr>
                <w:rFonts w:ascii="Arial" w:cs="Arial" w:eastAsia="Arial" w:hAnsi="Arial"/>
                <w:sz w:val="17"/>
                <w:szCs w:val="17"/>
                <w:color w:val="auto"/>
              </w:rPr>
              <w:t>207,126</w:t>
            </w:r>
          </w:p>
        </w:tc>
        <w:tc>
          <w:tcPr>
            <w:tcW w:w="20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199,424</w:t>
            </w:r>
          </w:p>
        </w:tc>
        <w:tc>
          <w:tcPr>
            <w:tcW w:w="12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20" w:type="dxa"/>
            <w:vAlign w:val="bottom"/>
          </w:tcPr>
          <w:p>
            <w:pPr>
              <w:spacing w:after="0"/>
              <w:rPr>
                <w:sz w:val="20"/>
                <w:szCs w:val="20"/>
                <w:color w:val="auto"/>
              </w:rPr>
            </w:pPr>
            <w:r>
              <w:rPr>
                <w:rFonts w:ascii="Arial" w:cs="Arial" w:eastAsia="Arial" w:hAnsi="Arial"/>
                <w:sz w:val="17"/>
                <w:szCs w:val="17"/>
                <w:color w:val="auto"/>
              </w:rPr>
              <w:t>Other non-current liabilities</w:t>
            </w:r>
          </w:p>
        </w:tc>
        <w:tc>
          <w:tcPr>
            <w:tcW w:w="2320" w:type="dxa"/>
            <w:vAlign w:val="bottom"/>
            <w:gridSpan w:val="2"/>
          </w:tcPr>
          <w:p>
            <w:pPr>
              <w:jc w:val="right"/>
              <w:ind w:right="120"/>
              <w:spacing w:after="0"/>
              <w:rPr>
                <w:sz w:val="20"/>
                <w:szCs w:val="20"/>
                <w:color w:val="auto"/>
              </w:rPr>
            </w:pPr>
            <w:r>
              <w:rPr>
                <w:rFonts w:ascii="Arial" w:cs="Arial" w:eastAsia="Arial" w:hAnsi="Arial"/>
                <w:sz w:val="17"/>
                <w:szCs w:val="17"/>
                <w:color w:val="auto"/>
              </w:rPr>
              <w:t>1,585</w:t>
            </w:r>
          </w:p>
        </w:tc>
        <w:tc>
          <w:tcPr>
            <w:tcW w:w="2040" w:type="dxa"/>
            <w:vAlign w:val="bottom"/>
          </w:tcPr>
          <w:p>
            <w:pPr>
              <w:jc w:val="right"/>
              <w:spacing w:after="0"/>
              <w:rPr>
                <w:sz w:val="20"/>
                <w:szCs w:val="20"/>
                <w:color w:val="auto"/>
              </w:rPr>
            </w:pPr>
            <w:r>
              <w:rPr>
                <w:rFonts w:ascii="Arial" w:cs="Arial" w:eastAsia="Arial" w:hAnsi="Arial"/>
                <w:sz w:val="17"/>
                <w:szCs w:val="17"/>
                <w:color w:val="auto"/>
              </w:rPr>
              <w:t>4,946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5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7"/>
                <w:szCs w:val="17"/>
                <w:b w:val="1"/>
                <w:bCs w:val="1"/>
                <w:color w:val="auto"/>
              </w:rPr>
              <w:t>Total non-current liabilities</w:t>
            </w:r>
          </w:p>
        </w:tc>
        <w:tc>
          <w:tcPr>
            <w:tcW w:w="22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2,576,900</w:t>
            </w:r>
          </w:p>
        </w:tc>
        <w:tc>
          <w:tcPr>
            <w:tcW w:w="120" w:type="dxa"/>
            <w:vAlign w:val="bottom"/>
            <w:tcBorders>
              <w:top w:val="single" w:sz="8" w:color="E5FFFF"/>
            </w:tcBorders>
            <w:shd w:val="clear" w:color="auto" w:fill="E5FFFF"/>
          </w:tcPr>
          <w:p>
            <w:pPr>
              <w:spacing w:after="0"/>
              <w:rPr>
                <w:sz w:val="18"/>
                <w:szCs w:val="18"/>
                <w:color w:val="auto"/>
              </w:rPr>
            </w:pPr>
          </w:p>
        </w:tc>
        <w:tc>
          <w:tcPr>
            <w:tcW w:w="20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2,522,280</w:t>
            </w:r>
          </w:p>
        </w:tc>
        <w:tc>
          <w:tcPr>
            <w:tcW w:w="120" w:type="dxa"/>
            <w:vAlign w:val="bottom"/>
            <w:tcBorders>
              <w:top w:val="single" w:sz="8" w:color="E5FFFF"/>
            </w:tcBorders>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520" w:type="dxa"/>
            <w:vAlign w:val="bottom"/>
          </w:tcPr>
          <w:p>
            <w:pPr>
              <w:spacing w:after="0"/>
              <w:rPr>
                <w:sz w:val="20"/>
                <w:szCs w:val="20"/>
                <w:color w:val="auto"/>
              </w:rPr>
            </w:pPr>
            <w:r>
              <w:rPr>
                <w:rFonts w:ascii="Arial" w:cs="Arial" w:eastAsia="Arial" w:hAnsi="Arial"/>
                <w:sz w:val="17"/>
                <w:szCs w:val="17"/>
                <w:b w:val="1"/>
                <w:bCs w:val="1"/>
                <w:color w:val="auto"/>
              </w:rPr>
              <w:t>Total equity and liabilities</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4,634,891</w:t>
            </w:r>
          </w:p>
        </w:tc>
        <w:tc>
          <w:tcPr>
            <w:tcW w:w="120" w:type="dxa"/>
            <w:vAlign w:val="bottom"/>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5,174,807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7520" w:type="dxa"/>
            <w:vAlign w:val="bottom"/>
            <w:tcBorders>
              <w:bottom w:val="single" w:sz="8" w:color="808080"/>
            </w:tcBorders>
          </w:tcPr>
          <w:p>
            <w:pPr>
              <w:spacing w:after="0"/>
              <w:rPr>
                <w:sz w:val="24"/>
                <w:szCs w:val="24"/>
                <w:color w:val="auto"/>
              </w:rPr>
            </w:pPr>
          </w:p>
        </w:tc>
        <w:tc>
          <w:tcPr>
            <w:tcW w:w="22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0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7628255</wp:posOffset>
            </wp:positionH>
            <wp:positionV relativeFrom="paragraph">
              <wp:posOffset>-30480</wp:posOffset>
            </wp:positionV>
            <wp:extent cx="12700" cy="311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12700" cy="311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2240" w:h="15840" w:orient="portrait"/>
          <w:cols w:equalWidth="0" w:num="1">
            <w:col w:w="12040"/>
          </w:cols>
          <w:pgMar w:left="120" w:top="212" w:right="80"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Unaudited condensed consolidated statements of profit or loss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three months and years ended December 31, 2017 and 2018</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expressed in thousands of U.S. Dollars, except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3480" w:type="dxa"/>
            <w:vAlign w:val="bottom"/>
            <w:gridSpan w:val="4"/>
          </w:tcPr>
          <w:p>
            <w:pPr>
              <w:jc w:val="right"/>
              <w:ind w:right="800"/>
              <w:spacing w:after="0"/>
              <w:rPr>
                <w:sz w:val="20"/>
                <w:szCs w:val="20"/>
                <w:color w:val="auto"/>
              </w:rPr>
            </w:pPr>
            <w:r>
              <w:rPr>
                <w:rFonts w:ascii="Arial" w:cs="Arial" w:eastAsia="Arial" w:hAnsi="Arial"/>
                <w:sz w:val="17"/>
                <w:szCs w:val="17"/>
                <w:b w:val="1"/>
                <w:bCs w:val="1"/>
                <w:color w:val="auto"/>
              </w:rPr>
              <w:t>For the three months ended</w:t>
            </w:r>
          </w:p>
        </w:tc>
        <w:tc>
          <w:tcPr>
            <w:tcW w:w="3340" w:type="dxa"/>
            <w:vAlign w:val="bottom"/>
            <w:gridSpan w:val="4"/>
          </w:tcPr>
          <w:p>
            <w:pPr>
              <w:jc w:val="right"/>
              <w:ind w:right="983"/>
              <w:spacing w:after="0"/>
              <w:rPr>
                <w:sz w:val="20"/>
                <w:szCs w:val="20"/>
                <w:color w:val="auto"/>
              </w:rPr>
            </w:pPr>
            <w:r>
              <w:rPr>
                <w:rFonts w:ascii="Arial" w:cs="Arial" w:eastAsia="Arial" w:hAnsi="Arial"/>
                <w:sz w:val="17"/>
                <w:szCs w:val="17"/>
                <w:b w:val="1"/>
                <w:bCs w:val="1"/>
                <w:color w:val="auto"/>
              </w:rPr>
              <w:t>For the years ended</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74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rPr>
              <w:t>December 31,</w:t>
            </w:r>
          </w:p>
        </w:tc>
        <w:tc>
          <w:tcPr>
            <w:tcW w:w="174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rPr>
              <w:t>December 31,</w:t>
            </w:r>
          </w:p>
        </w:tc>
        <w:tc>
          <w:tcPr>
            <w:tcW w:w="174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rPr>
              <w:t>December 31,</w:t>
            </w:r>
          </w:p>
        </w:tc>
        <w:tc>
          <w:tcPr>
            <w:tcW w:w="1600" w:type="dxa"/>
            <w:vAlign w:val="bottom"/>
            <w:gridSpan w:val="2"/>
          </w:tcPr>
          <w:p>
            <w:pPr>
              <w:jc w:val="right"/>
              <w:ind w:right="343"/>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00" w:type="dxa"/>
            <w:vAlign w:val="bottom"/>
            <w:tcBorders>
              <w:bottom w:val="single" w:sz="8" w:color="E5FFFF"/>
            </w:tcBorders>
          </w:tcPr>
          <w:p>
            <w:pPr>
              <w:spacing w:after="0"/>
              <w:rPr>
                <w:sz w:val="19"/>
                <w:szCs w:val="19"/>
                <w:color w:val="auto"/>
              </w:rPr>
            </w:pPr>
          </w:p>
        </w:tc>
        <w:tc>
          <w:tcPr>
            <w:tcW w:w="144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2017</w:t>
            </w:r>
          </w:p>
        </w:tc>
        <w:tc>
          <w:tcPr>
            <w:tcW w:w="300" w:type="dxa"/>
            <w:vAlign w:val="bottom"/>
            <w:tcBorders>
              <w:bottom w:val="single" w:sz="8" w:color="E5FFFF"/>
            </w:tcBorders>
          </w:tcPr>
          <w:p>
            <w:pPr>
              <w:spacing w:after="0"/>
              <w:rPr>
                <w:sz w:val="19"/>
                <w:szCs w:val="19"/>
                <w:color w:val="auto"/>
              </w:rPr>
            </w:pPr>
          </w:p>
        </w:tc>
        <w:tc>
          <w:tcPr>
            <w:tcW w:w="144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2018</w:t>
            </w:r>
          </w:p>
        </w:tc>
        <w:tc>
          <w:tcPr>
            <w:tcW w:w="300" w:type="dxa"/>
            <w:vAlign w:val="bottom"/>
            <w:tcBorders>
              <w:bottom w:val="single" w:sz="8" w:color="E5FFFF"/>
            </w:tcBorders>
          </w:tcPr>
          <w:p>
            <w:pPr>
              <w:spacing w:after="0"/>
              <w:rPr>
                <w:sz w:val="19"/>
                <w:szCs w:val="19"/>
                <w:color w:val="auto"/>
              </w:rPr>
            </w:pPr>
          </w:p>
        </w:tc>
        <w:tc>
          <w:tcPr>
            <w:tcW w:w="144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2017</w:t>
            </w:r>
          </w:p>
        </w:tc>
        <w:tc>
          <w:tcPr>
            <w:tcW w:w="300" w:type="dxa"/>
            <w:vAlign w:val="bottom"/>
            <w:tcBorders>
              <w:bottom w:val="single" w:sz="8" w:color="E5FFFF"/>
            </w:tcBorders>
          </w:tcPr>
          <w:p>
            <w:pPr>
              <w:spacing w:after="0"/>
              <w:rPr>
                <w:sz w:val="19"/>
                <w:szCs w:val="19"/>
                <w:color w:val="auto"/>
              </w:rPr>
            </w:pPr>
          </w:p>
        </w:tc>
        <w:tc>
          <w:tcPr>
            <w:tcW w:w="146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2018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00" w:type="dxa"/>
            <w:vAlign w:val="bottom"/>
            <w:shd w:val="clear" w:color="auto" w:fill="E5FFFF"/>
          </w:tcPr>
          <w:p>
            <w:pPr>
              <w:spacing w:after="0"/>
              <w:rPr>
                <w:sz w:val="20"/>
                <w:szCs w:val="20"/>
                <w:color w:val="auto"/>
              </w:rPr>
            </w:pPr>
            <w:r>
              <w:rPr>
                <w:rFonts w:ascii="Arial" w:cs="Arial" w:eastAsia="Arial" w:hAnsi="Arial"/>
                <w:sz w:val="17"/>
                <w:szCs w:val="17"/>
                <w:color w:val="auto"/>
              </w:rPr>
              <w:t>Revenues</w:t>
            </w:r>
          </w:p>
        </w:tc>
        <w:tc>
          <w:tcPr>
            <w:tcW w:w="14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135,772</w:t>
            </w:r>
          </w:p>
        </w:tc>
        <w:tc>
          <w:tcPr>
            <w:tcW w:w="300" w:type="dxa"/>
            <w:vAlign w:val="bottom"/>
            <w:shd w:val="clear" w:color="auto" w:fill="E5FFFF"/>
          </w:tcPr>
          <w:p>
            <w:pPr>
              <w:spacing w:after="0"/>
              <w:rPr>
                <w:sz w:val="18"/>
                <w:szCs w:val="18"/>
                <w:color w:val="auto"/>
              </w:rPr>
            </w:pPr>
          </w:p>
        </w:tc>
        <w:tc>
          <w:tcPr>
            <w:tcW w:w="14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188,644</w:t>
            </w:r>
          </w:p>
        </w:tc>
        <w:tc>
          <w:tcPr>
            <w:tcW w:w="300" w:type="dxa"/>
            <w:vAlign w:val="bottom"/>
            <w:shd w:val="clear" w:color="auto" w:fill="E5FFFF"/>
          </w:tcPr>
          <w:p>
            <w:pPr>
              <w:spacing w:after="0"/>
              <w:rPr>
                <w:sz w:val="18"/>
                <w:szCs w:val="18"/>
                <w:color w:val="auto"/>
              </w:rPr>
            </w:pPr>
          </w:p>
        </w:tc>
        <w:tc>
          <w:tcPr>
            <w:tcW w:w="14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525,229</w:t>
            </w:r>
          </w:p>
        </w:tc>
        <w:tc>
          <w:tcPr>
            <w:tcW w:w="300" w:type="dxa"/>
            <w:vAlign w:val="bottom"/>
            <w:shd w:val="clear" w:color="auto" w:fill="E5FFFF"/>
          </w:tcPr>
          <w:p>
            <w:pPr>
              <w:spacing w:after="0"/>
              <w:rPr>
                <w:sz w:val="18"/>
                <w:szCs w:val="18"/>
                <w:color w:val="auto"/>
              </w:rPr>
            </w:pPr>
          </w:p>
        </w:tc>
        <w:tc>
          <w:tcPr>
            <w:tcW w:w="146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7"/>
                <w:szCs w:val="17"/>
                <w:color w:val="auto"/>
              </w:rPr>
              <w:t>618,344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7"/>
                <w:szCs w:val="17"/>
                <w:color w:val="auto"/>
              </w:rPr>
              <w:t>Net pool allocation</w:t>
            </w:r>
          </w:p>
        </w:tc>
        <w:tc>
          <w:tcPr>
            <w:tcW w:w="1440" w:type="dxa"/>
            <w:vAlign w:val="bottom"/>
          </w:tcPr>
          <w:p>
            <w:pPr>
              <w:jc w:val="right"/>
              <w:spacing w:after="0"/>
              <w:rPr>
                <w:sz w:val="20"/>
                <w:szCs w:val="20"/>
                <w:color w:val="auto"/>
              </w:rPr>
            </w:pPr>
            <w:r>
              <w:rPr>
                <w:rFonts w:ascii="Arial" w:cs="Arial" w:eastAsia="Arial" w:hAnsi="Arial"/>
                <w:sz w:val="17"/>
                <w:szCs w:val="17"/>
                <w:color w:val="auto"/>
              </w:rPr>
              <w:t>3,893</w:t>
            </w:r>
          </w:p>
        </w:tc>
        <w:tc>
          <w:tcPr>
            <w:tcW w:w="300" w:type="dxa"/>
            <w:vAlign w:val="bottom"/>
          </w:tcPr>
          <w:p>
            <w:pPr>
              <w:spacing w:after="0"/>
              <w:rPr>
                <w:sz w:val="18"/>
                <w:szCs w:val="18"/>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7"/>
                <w:szCs w:val="17"/>
                <w:color w:val="auto"/>
              </w:rPr>
              <w:t>(1,675)</w:t>
            </w:r>
          </w:p>
        </w:tc>
        <w:tc>
          <w:tcPr>
            <w:tcW w:w="1740" w:type="dxa"/>
            <w:vAlign w:val="bottom"/>
            <w:gridSpan w:val="2"/>
          </w:tcPr>
          <w:p>
            <w:pPr>
              <w:jc w:val="right"/>
              <w:ind w:right="220"/>
              <w:spacing w:after="0"/>
              <w:rPr>
                <w:sz w:val="20"/>
                <w:szCs w:val="20"/>
                <w:color w:val="auto"/>
              </w:rPr>
            </w:pPr>
            <w:r>
              <w:rPr>
                <w:rFonts w:ascii="Arial" w:cs="Arial" w:eastAsia="Arial" w:hAnsi="Arial"/>
                <w:sz w:val="17"/>
                <w:szCs w:val="17"/>
                <w:color w:val="auto"/>
              </w:rPr>
              <w:t>7,254</w:t>
            </w:r>
          </w:p>
        </w:tc>
        <w:tc>
          <w:tcPr>
            <w:tcW w:w="1460" w:type="dxa"/>
            <w:vAlign w:val="bottom"/>
          </w:tcPr>
          <w:p>
            <w:pPr>
              <w:jc w:val="right"/>
              <w:spacing w:after="0"/>
              <w:rPr>
                <w:sz w:val="20"/>
                <w:szCs w:val="20"/>
                <w:color w:val="auto"/>
              </w:rPr>
            </w:pPr>
            <w:r>
              <w:rPr>
                <w:rFonts w:ascii="Arial" w:cs="Arial" w:eastAsia="Arial" w:hAnsi="Arial"/>
                <w:sz w:val="17"/>
                <w:szCs w:val="17"/>
                <w:color w:val="auto"/>
              </w:rPr>
              <w:t>17,818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00" w:type="dxa"/>
            <w:vAlign w:val="bottom"/>
            <w:shd w:val="clear" w:color="auto" w:fill="E5FFFF"/>
          </w:tcPr>
          <w:p>
            <w:pPr>
              <w:spacing w:after="0"/>
              <w:rPr>
                <w:sz w:val="20"/>
                <w:szCs w:val="20"/>
                <w:color w:val="auto"/>
              </w:rPr>
            </w:pPr>
            <w:r>
              <w:rPr>
                <w:rFonts w:ascii="Arial" w:cs="Arial" w:eastAsia="Arial" w:hAnsi="Arial"/>
                <w:sz w:val="17"/>
                <w:szCs w:val="17"/>
                <w:color w:val="auto"/>
              </w:rPr>
              <w:t>Voyage expenses and commissions</w:t>
            </w:r>
          </w:p>
        </w:tc>
        <w:tc>
          <w:tcPr>
            <w:tcW w:w="1740" w:type="dxa"/>
            <w:vAlign w:val="bottom"/>
            <w:gridSpan w:val="2"/>
            <w:shd w:val="clear" w:color="auto" w:fill="E5FFFF"/>
          </w:tcPr>
          <w:p>
            <w:pPr>
              <w:jc w:val="right"/>
              <w:ind w:right="160"/>
              <w:spacing w:after="0"/>
              <w:rPr>
                <w:sz w:val="20"/>
                <w:szCs w:val="20"/>
                <w:color w:val="auto"/>
              </w:rPr>
            </w:pPr>
            <w:r>
              <w:rPr>
                <w:rFonts w:ascii="Arial" w:cs="Arial" w:eastAsia="Arial" w:hAnsi="Arial"/>
                <w:sz w:val="17"/>
                <w:szCs w:val="17"/>
                <w:color w:val="auto"/>
              </w:rPr>
              <w:t>(5,233)</w:t>
            </w:r>
          </w:p>
        </w:tc>
        <w:tc>
          <w:tcPr>
            <w:tcW w:w="1740" w:type="dxa"/>
            <w:vAlign w:val="bottom"/>
            <w:gridSpan w:val="2"/>
            <w:shd w:val="clear" w:color="auto" w:fill="E5FFFF"/>
          </w:tcPr>
          <w:p>
            <w:pPr>
              <w:jc w:val="right"/>
              <w:ind w:right="160"/>
              <w:spacing w:after="0"/>
              <w:rPr>
                <w:sz w:val="20"/>
                <w:szCs w:val="20"/>
                <w:color w:val="auto"/>
              </w:rPr>
            </w:pPr>
            <w:r>
              <w:rPr>
                <w:rFonts w:ascii="Arial" w:cs="Arial" w:eastAsia="Arial" w:hAnsi="Arial"/>
                <w:sz w:val="17"/>
                <w:szCs w:val="17"/>
                <w:color w:val="auto"/>
              </w:rPr>
              <w:t>(3,631)</w:t>
            </w:r>
          </w:p>
        </w:tc>
        <w:tc>
          <w:tcPr>
            <w:tcW w:w="1740" w:type="dxa"/>
            <w:vAlign w:val="bottom"/>
            <w:gridSpan w:val="2"/>
            <w:shd w:val="clear" w:color="auto" w:fill="E5FFFF"/>
          </w:tcPr>
          <w:p>
            <w:pPr>
              <w:jc w:val="right"/>
              <w:ind w:right="160"/>
              <w:spacing w:after="0"/>
              <w:rPr>
                <w:sz w:val="20"/>
                <w:szCs w:val="20"/>
                <w:color w:val="auto"/>
              </w:rPr>
            </w:pPr>
            <w:r>
              <w:rPr>
                <w:rFonts w:ascii="Arial" w:cs="Arial" w:eastAsia="Arial" w:hAnsi="Arial"/>
                <w:sz w:val="17"/>
                <w:szCs w:val="17"/>
                <w:color w:val="auto"/>
              </w:rPr>
              <w:t>(15,404)</w:t>
            </w:r>
          </w:p>
        </w:tc>
        <w:tc>
          <w:tcPr>
            <w:tcW w:w="146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7"/>
                <w:szCs w:val="17"/>
                <w:color w:val="auto"/>
              </w:rPr>
              <w:t>(20,374)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7"/>
                <w:szCs w:val="17"/>
                <w:color w:val="auto"/>
              </w:rPr>
              <w:t>Vessel operating and supervision costs</w:t>
            </w:r>
          </w:p>
        </w:tc>
        <w:tc>
          <w:tcPr>
            <w:tcW w:w="1740" w:type="dxa"/>
            <w:vAlign w:val="bottom"/>
            <w:gridSpan w:val="2"/>
          </w:tcPr>
          <w:p>
            <w:pPr>
              <w:jc w:val="right"/>
              <w:ind w:right="160"/>
              <w:spacing w:after="0"/>
              <w:rPr>
                <w:sz w:val="20"/>
                <w:szCs w:val="20"/>
                <w:color w:val="auto"/>
              </w:rPr>
            </w:pPr>
            <w:r>
              <w:rPr>
                <w:rFonts w:ascii="Arial" w:cs="Arial" w:eastAsia="Arial" w:hAnsi="Arial"/>
                <w:sz w:val="17"/>
                <w:szCs w:val="17"/>
                <w:color w:val="auto"/>
              </w:rPr>
              <w:t>(35,595)</w:t>
            </w:r>
          </w:p>
        </w:tc>
        <w:tc>
          <w:tcPr>
            <w:tcW w:w="1740" w:type="dxa"/>
            <w:vAlign w:val="bottom"/>
            <w:gridSpan w:val="2"/>
          </w:tcPr>
          <w:p>
            <w:pPr>
              <w:jc w:val="right"/>
              <w:ind w:right="160"/>
              <w:spacing w:after="0"/>
              <w:rPr>
                <w:sz w:val="20"/>
                <w:szCs w:val="20"/>
                <w:color w:val="auto"/>
              </w:rPr>
            </w:pPr>
            <w:r>
              <w:rPr>
                <w:rFonts w:ascii="Arial" w:cs="Arial" w:eastAsia="Arial" w:hAnsi="Arial"/>
                <w:sz w:val="17"/>
                <w:szCs w:val="17"/>
                <w:color w:val="auto"/>
              </w:rPr>
              <w:t>(29,120)</w:t>
            </w:r>
          </w:p>
        </w:tc>
        <w:tc>
          <w:tcPr>
            <w:tcW w:w="1740" w:type="dxa"/>
            <w:vAlign w:val="bottom"/>
            <w:gridSpan w:val="2"/>
          </w:tcPr>
          <w:p>
            <w:pPr>
              <w:jc w:val="right"/>
              <w:ind w:right="160"/>
              <w:spacing w:after="0"/>
              <w:rPr>
                <w:sz w:val="20"/>
                <w:szCs w:val="20"/>
                <w:color w:val="auto"/>
              </w:rPr>
            </w:pPr>
            <w:r>
              <w:rPr>
                <w:rFonts w:ascii="Arial" w:cs="Arial" w:eastAsia="Arial" w:hAnsi="Arial"/>
                <w:sz w:val="17"/>
                <w:szCs w:val="17"/>
                <w:color w:val="auto"/>
              </w:rPr>
              <w:t>(122,486)</w:t>
            </w:r>
          </w:p>
        </w:tc>
        <w:tc>
          <w:tcPr>
            <w:tcW w:w="1460" w:type="dxa"/>
            <w:vAlign w:val="bottom"/>
          </w:tcPr>
          <w:p>
            <w:pPr>
              <w:jc w:val="right"/>
              <w:spacing w:after="0"/>
              <w:rPr>
                <w:sz w:val="20"/>
                <w:szCs w:val="20"/>
                <w:color w:val="auto"/>
              </w:rPr>
            </w:pPr>
            <w:r>
              <w:rPr>
                <w:rFonts w:ascii="Arial" w:cs="Arial" w:eastAsia="Arial" w:hAnsi="Arial"/>
                <w:sz w:val="17"/>
                <w:szCs w:val="17"/>
                <w:color w:val="auto"/>
              </w:rPr>
              <w:t>(128,084)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00" w:type="dxa"/>
            <w:vAlign w:val="bottom"/>
            <w:shd w:val="clear" w:color="auto" w:fill="E5FFFF"/>
          </w:tcPr>
          <w:p>
            <w:pPr>
              <w:spacing w:after="0"/>
              <w:rPr>
                <w:sz w:val="20"/>
                <w:szCs w:val="20"/>
                <w:color w:val="auto"/>
              </w:rPr>
            </w:pPr>
            <w:r>
              <w:rPr>
                <w:rFonts w:ascii="Arial" w:cs="Arial" w:eastAsia="Arial" w:hAnsi="Arial"/>
                <w:sz w:val="17"/>
                <w:szCs w:val="17"/>
                <w:color w:val="auto"/>
              </w:rPr>
              <w:t>Depreciation</w:t>
            </w:r>
          </w:p>
        </w:tc>
        <w:tc>
          <w:tcPr>
            <w:tcW w:w="1740" w:type="dxa"/>
            <w:vAlign w:val="bottom"/>
            <w:gridSpan w:val="2"/>
            <w:shd w:val="clear" w:color="auto" w:fill="E5FFFF"/>
          </w:tcPr>
          <w:p>
            <w:pPr>
              <w:jc w:val="right"/>
              <w:ind w:right="160"/>
              <w:spacing w:after="0"/>
              <w:rPr>
                <w:sz w:val="20"/>
                <w:szCs w:val="20"/>
                <w:color w:val="auto"/>
              </w:rPr>
            </w:pPr>
            <w:r>
              <w:rPr>
                <w:rFonts w:ascii="Arial" w:cs="Arial" w:eastAsia="Arial" w:hAnsi="Arial"/>
                <w:sz w:val="17"/>
                <w:szCs w:val="17"/>
                <w:color w:val="auto"/>
              </w:rPr>
              <w:t>(34,581)</w:t>
            </w:r>
          </w:p>
        </w:tc>
        <w:tc>
          <w:tcPr>
            <w:tcW w:w="1740" w:type="dxa"/>
            <w:vAlign w:val="bottom"/>
            <w:gridSpan w:val="2"/>
            <w:shd w:val="clear" w:color="auto" w:fill="E5FFFF"/>
          </w:tcPr>
          <w:p>
            <w:pPr>
              <w:jc w:val="right"/>
              <w:ind w:right="160"/>
              <w:spacing w:after="0"/>
              <w:rPr>
                <w:sz w:val="20"/>
                <w:szCs w:val="20"/>
                <w:color w:val="auto"/>
              </w:rPr>
            </w:pPr>
            <w:r>
              <w:rPr>
                <w:rFonts w:ascii="Arial" w:cs="Arial" w:eastAsia="Arial" w:hAnsi="Arial"/>
                <w:sz w:val="17"/>
                <w:szCs w:val="17"/>
                <w:color w:val="auto"/>
              </w:rPr>
              <w:t>(39,510)</w:t>
            </w:r>
          </w:p>
        </w:tc>
        <w:tc>
          <w:tcPr>
            <w:tcW w:w="1740" w:type="dxa"/>
            <w:vAlign w:val="bottom"/>
            <w:gridSpan w:val="2"/>
            <w:shd w:val="clear" w:color="auto" w:fill="E5FFFF"/>
          </w:tcPr>
          <w:p>
            <w:pPr>
              <w:jc w:val="right"/>
              <w:ind w:right="160"/>
              <w:spacing w:after="0"/>
              <w:rPr>
                <w:sz w:val="20"/>
                <w:szCs w:val="20"/>
                <w:color w:val="auto"/>
              </w:rPr>
            </w:pPr>
            <w:r>
              <w:rPr>
                <w:rFonts w:ascii="Arial" w:cs="Arial" w:eastAsia="Arial" w:hAnsi="Arial"/>
                <w:sz w:val="17"/>
                <w:szCs w:val="17"/>
                <w:color w:val="auto"/>
              </w:rPr>
              <w:t>(137,187)</w:t>
            </w:r>
          </w:p>
        </w:tc>
        <w:tc>
          <w:tcPr>
            <w:tcW w:w="146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7"/>
                <w:szCs w:val="17"/>
                <w:color w:val="auto"/>
              </w:rPr>
              <w:t>(153,193)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7"/>
                <w:szCs w:val="17"/>
                <w:color w:val="auto"/>
              </w:rPr>
              <w:t>General and administrative expenses</w:t>
            </w:r>
          </w:p>
        </w:tc>
        <w:tc>
          <w:tcPr>
            <w:tcW w:w="1740" w:type="dxa"/>
            <w:vAlign w:val="bottom"/>
            <w:gridSpan w:val="2"/>
          </w:tcPr>
          <w:p>
            <w:pPr>
              <w:jc w:val="right"/>
              <w:ind w:right="160"/>
              <w:spacing w:after="0"/>
              <w:rPr>
                <w:sz w:val="20"/>
                <w:szCs w:val="20"/>
                <w:color w:val="auto"/>
              </w:rPr>
            </w:pPr>
            <w:r>
              <w:rPr>
                <w:rFonts w:ascii="Arial" w:cs="Arial" w:eastAsia="Arial" w:hAnsi="Arial"/>
                <w:sz w:val="17"/>
                <w:szCs w:val="17"/>
                <w:color w:val="auto"/>
              </w:rPr>
              <w:t>(9,637)</w:t>
            </w:r>
          </w:p>
        </w:tc>
        <w:tc>
          <w:tcPr>
            <w:tcW w:w="1740" w:type="dxa"/>
            <w:vAlign w:val="bottom"/>
            <w:gridSpan w:val="2"/>
          </w:tcPr>
          <w:p>
            <w:pPr>
              <w:jc w:val="right"/>
              <w:ind w:right="160"/>
              <w:spacing w:after="0"/>
              <w:rPr>
                <w:sz w:val="20"/>
                <w:szCs w:val="20"/>
                <w:color w:val="auto"/>
              </w:rPr>
            </w:pPr>
            <w:r>
              <w:rPr>
                <w:rFonts w:ascii="Arial" w:cs="Arial" w:eastAsia="Arial" w:hAnsi="Arial"/>
                <w:sz w:val="17"/>
                <w:szCs w:val="17"/>
                <w:color w:val="auto"/>
              </w:rPr>
              <w:t>(9,711)</w:t>
            </w:r>
          </w:p>
        </w:tc>
        <w:tc>
          <w:tcPr>
            <w:tcW w:w="1740" w:type="dxa"/>
            <w:vAlign w:val="bottom"/>
            <w:gridSpan w:val="2"/>
          </w:tcPr>
          <w:p>
            <w:pPr>
              <w:jc w:val="right"/>
              <w:ind w:right="160"/>
              <w:spacing w:after="0"/>
              <w:rPr>
                <w:sz w:val="20"/>
                <w:szCs w:val="20"/>
                <w:color w:val="auto"/>
              </w:rPr>
            </w:pPr>
            <w:r>
              <w:rPr>
                <w:rFonts w:ascii="Arial" w:cs="Arial" w:eastAsia="Arial" w:hAnsi="Arial"/>
                <w:sz w:val="17"/>
                <w:szCs w:val="17"/>
                <w:color w:val="auto"/>
              </w:rPr>
              <w:t>(39,850)</w:t>
            </w:r>
          </w:p>
        </w:tc>
        <w:tc>
          <w:tcPr>
            <w:tcW w:w="1460" w:type="dxa"/>
            <w:vAlign w:val="bottom"/>
          </w:tcPr>
          <w:p>
            <w:pPr>
              <w:jc w:val="right"/>
              <w:spacing w:after="0"/>
              <w:rPr>
                <w:sz w:val="20"/>
                <w:szCs w:val="20"/>
                <w:color w:val="auto"/>
              </w:rPr>
            </w:pPr>
            <w:r>
              <w:rPr>
                <w:rFonts w:ascii="Arial" w:cs="Arial" w:eastAsia="Arial" w:hAnsi="Arial"/>
                <w:sz w:val="17"/>
                <w:szCs w:val="17"/>
                <w:color w:val="auto"/>
              </w:rPr>
              <w:t>(41,993)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7"/>
                <w:szCs w:val="17"/>
                <w:b w:val="1"/>
                <w:bCs w:val="1"/>
                <w:color w:val="auto"/>
              </w:rPr>
              <w:t>Profit from operations</w:t>
            </w:r>
          </w:p>
        </w:tc>
        <w:tc>
          <w:tcPr>
            <w:tcW w:w="14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54,619</w:t>
            </w:r>
          </w:p>
        </w:tc>
        <w:tc>
          <w:tcPr>
            <w:tcW w:w="300" w:type="dxa"/>
            <w:vAlign w:val="bottom"/>
            <w:tcBorders>
              <w:top w:val="single" w:sz="8" w:color="E5FFFF"/>
            </w:tcBorders>
            <w:shd w:val="clear" w:color="auto" w:fill="E5FFFF"/>
          </w:tcPr>
          <w:p>
            <w:pPr>
              <w:spacing w:after="0"/>
              <w:rPr>
                <w:sz w:val="18"/>
                <w:szCs w:val="18"/>
                <w:color w:val="auto"/>
              </w:rPr>
            </w:pPr>
          </w:p>
        </w:tc>
        <w:tc>
          <w:tcPr>
            <w:tcW w:w="14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104,997</w:t>
            </w:r>
          </w:p>
        </w:tc>
        <w:tc>
          <w:tcPr>
            <w:tcW w:w="300" w:type="dxa"/>
            <w:vAlign w:val="bottom"/>
            <w:tcBorders>
              <w:top w:val="single" w:sz="8" w:color="E5FFFF"/>
            </w:tcBorders>
            <w:shd w:val="clear" w:color="auto" w:fill="E5FFFF"/>
          </w:tcPr>
          <w:p>
            <w:pPr>
              <w:spacing w:after="0"/>
              <w:rPr>
                <w:sz w:val="18"/>
                <w:szCs w:val="18"/>
                <w:color w:val="auto"/>
              </w:rPr>
            </w:pPr>
          </w:p>
        </w:tc>
        <w:tc>
          <w:tcPr>
            <w:tcW w:w="14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217,556</w:t>
            </w:r>
          </w:p>
        </w:tc>
        <w:tc>
          <w:tcPr>
            <w:tcW w:w="300" w:type="dxa"/>
            <w:vAlign w:val="bottom"/>
            <w:tcBorders>
              <w:top w:val="single" w:sz="8" w:color="E5FFFF"/>
            </w:tcBorders>
            <w:shd w:val="clear" w:color="auto" w:fill="E5FFFF"/>
          </w:tcPr>
          <w:p>
            <w:pPr>
              <w:spacing w:after="0"/>
              <w:rPr>
                <w:sz w:val="18"/>
                <w:szCs w:val="18"/>
                <w:color w:val="auto"/>
              </w:rPr>
            </w:pPr>
          </w:p>
        </w:tc>
        <w:tc>
          <w:tcPr>
            <w:tcW w:w="1460" w:type="dxa"/>
            <w:vAlign w:val="bottom"/>
            <w:tcBorders>
              <w:top w:val="single" w:sz="8" w:color="auto"/>
              <w:bottom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292,518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7"/>
                <w:szCs w:val="17"/>
                <w:color w:val="auto"/>
              </w:rPr>
              <w:t>Financial costs</w:t>
            </w:r>
          </w:p>
        </w:tc>
        <w:tc>
          <w:tcPr>
            <w:tcW w:w="1440" w:type="dxa"/>
            <w:vAlign w:val="bottom"/>
          </w:tcPr>
          <w:p>
            <w:pPr>
              <w:jc w:val="right"/>
              <w:spacing w:after="0"/>
              <w:rPr>
                <w:sz w:val="20"/>
                <w:szCs w:val="20"/>
                <w:color w:val="auto"/>
              </w:rPr>
            </w:pPr>
            <w:r>
              <w:rPr>
                <w:rFonts w:ascii="Arial" w:cs="Arial" w:eastAsia="Arial" w:hAnsi="Arial"/>
                <w:sz w:val="17"/>
                <w:szCs w:val="17"/>
                <w:color w:val="auto"/>
              </w:rPr>
              <w:t>(34,870)</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(44,122)</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(139,181)</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(166,627)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00" w:type="dxa"/>
            <w:vAlign w:val="bottom"/>
            <w:shd w:val="clear" w:color="auto" w:fill="E5FFFF"/>
          </w:tcPr>
          <w:p>
            <w:pPr>
              <w:spacing w:after="0"/>
              <w:rPr>
                <w:sz w:val="20"/>
                <w:szCs w:val="20"/>
                <w:color w:val="auto"/>
              </w:rPr>
            </w:pPr>
            <w:r>
              <w:rPr>
                <w:rFonts w:ascii="Arial" w:cs="Arial" w:eastAsia="Arial" w:hAnsi="Arial"/>
                <w:sz w:val="17"/>
                <w:szCs w:val="17"/>
                <w:color w:val="auto"/>
              </w:rPr>
              <w:t>Financial income</w:t>
            </w:r>
          </w:p>
        </w:tc>
        <w:tc>
          <w:tcPr>
            <w:tcW w:w="14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871</w:t>
            </w:r>
          </w:p>
        </w:tc>
        <w:tc>
          <w:tcPr>
            <w:tcW w:w="300" w:type="dxa"/>
            <w:vAlign w:val="bottom"/>
            <w:shd w:val="clear" w:color="auto" w:fill="E5FFFF"/>
          </w:tcPr>
          <w:p>
            <w:pPr>
              <w:spacing w:after="0"/>
              <w:rPr>
                <w:sz w:val="18"/>
                <w:szCs w:val="18"/>
                <w:color w:val="auto"/>
              </w:rPr>
            </w:pPr>
          </w:p>
        </w:tc>
        <w:tc>
          <w:tcPr>
            <w:tcW w:w="1740" w:type="dxa"/>
            <w:vAlign w:val="bottom"/>
            <w:gridSpan w:val="2"/>
            <w:shd w:val="clear" w:color="auto" w:fill="E5FFFF"/>
          </w:tcPr>
          <w:p>
            <w:pPr>
              <w:jc w:val="right"/>
              <w:ind w:right="220"/>
              <w:spacing w:after="0"/>
              <w:rPr>
                <w:sz w:val="20"/>
                <w:szCs w:val="20"/>
                <w:color w:val="auto"/>
              </w:rPr>
            </w:pPr>
            <w:r>
              <w:rPr>
                <w:rFonts w:ascii="Arial" w:cs="Arial" w:eastAsia="Arial" w:hAnsi="Arial"/>
                <w:sz w:val="17"/>
                <w:szCs w:val="17"/>
                <w:color w:val="auto"/>
              </w:rPr>
              <w:t>1,417</w:t>
            </w:r>
          </w:p>
        </w:tc>
        <w:tc>
          <w:tcPr>
            <w:tcW w:w="1740" w:type="dxa"/>
            <w:vAlign w:val="bottom"/>
            <w:gridSpan w:val="2"/>
            <w:shd w:val="clear" w:color="auto" w:fill="E5FFFF"/>
          </w:tcPr>
          <w:p>
            <w:pPr>
              <w:jc w:val="right"/>
              <w:ind w:right="220"/>
              <w:spacing w:after="0"/>
              <w:rPr>
                <w:sz w:val="20"/>
                <w:szCs w:val="20"/>
                <w:color w:val="auto"/>
              </w:rPr>
            </w:pPr>
            <w:r>
              <w:rPr>
                <w:rFonts w:ascii="Arial" w:cs="Arial" w:eastAsia="Arial" w:hAnsi="Arial"/>
                <w:sz w:val="17"/>
                <w:szCs w:val="17"/>
                <w:color w:val="auto"/>
              </w:rPr>
              <w:t>2,650</w:t>
            </w:r>
          </w:p>
        </w:tc>
        <w:tc>
          <w:tcPr>
            <w:tcW w:w="146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7"/>
                <w:szCs w:val="17"/>
                <w:color w:val="auto"/>
              </w:rPr>
              <w:t>4,784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7"/>
                <w:szCs w:val="17"/>
                <w:color w:val="auto"/>
              </w:rPr>
              <w:t>Gain/(loss) on derivatives</w:t>
            </w:r>
          </w:p>
        </w:tc>
        <w:tc>
          <w:tcPr>
            <w:tcW w:w="1440" w:type="dxa"/>
            <w:vAlign w:val="bottom"/>
          </w:tcPr>
          <w:p>
            <w:pPr>
              <w:jc w:val="right"/>
              <w:spacing w:after="0"/>
              <w:rPr>
                <w:sz w:val="20"/>
                <w:szCs w:val="20"/>
                <w:color w:val="auto"/>
              </w:rPr>
            </w:pPr>
            <w:r>
              <w:rPr>
                <w:rFonts w:ascii="Arial" w:cs="Arial" w:eastAsia="Arial" w:hAnsi="Arial"/>
                <w:sz w:val="17"/>
                <w:szCs w:val="17"/>
                <w:color w:val="auto"/>
              </w:rPr>
              <w:t>8,610</w:t>
            </w:r>
          </w:p>
        </w:tc>
        <w:tc>
          <w:tcPr>
            <w:tcW w:w="300" w:type="dxa"/>
            <w:vAlign w:val="bottom"/>
          </w:tcPr>
          <w:p>
            <w:pPr>
              <w:spacing w:after="0"/>
              <w:rPr>
                <w:sz w:val="18"/>
                <w:szCs w:val="18"/>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7"/>
                <w:szCs w:val="17"/>
                <w:color w:val="auto"/>
              </w:rPr>
              <w:t>(32,383)</w:t>
            </w:r>
          </w:p>
        </w:tc>
        <w:tc>
          <w:tcPr>
            <w:tcW w:w="1740" w:type="dxa"/>
            <w:vAlign w:val="bottom"/>
            <w:gridSpan w:val="2"/>
          </w:tcPr>
          <w:p>
            <w:pPr>
              <w:jc w:val="right"/>
              <w:ind w:right="220"/>
              <w:spacing w:after="0"/>
              <w:rPr>
                <w:sz w:val="20"/>
                <w:szCs w:val="20"/>
                <w:color w:val="auto"/>
              </w:rPr>
            </w:pPr>
            <w:r>
              <w:rPr>
                <w:rFonts w:ascii="Arial" w:cs="Arial" w:eastAsia="Arial" w:hAnsi="Arial"/>
                <w:sz w:val="17"/>
                <w:szCs w:val="17"/>
                <w:color w:val="auto"/>
              </w:rPr>
              <w:t>2,025</w:t>
            </w:r>
          </w:p>
        </w:tc>
        <w:tc>
          <w:tcPr>
            <w:tcW w:w="1460" w:type="dxa"/>
            <w:vAlign w:val="bottom"/>
          </w:tcPr>
          <w:p>
            <w:pPr>
              <w:jc w:val="right"/>
              <w:spacing w:after="0"/>
              <w:rPr>
                <w:sz w:val="20"/>
                <w:szCs w:val="20"/>
                <w:color w:val="auto"/>
              </w:rPr>
            </w:pPr>
            <w:r>
              <w:rPr>
                <w:rFonts w:ascii="Arial" w:cs="Arial" w:eastAsia="Arial" w:hAnsi="Arial"/>
                <w:sz w:val="17"/>
                <w:szCs w:val="17"/>
                <w:color w:val="auto"/>
              </w:rPr>
              <w:t>(6,077)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00" w:type="dxa"/>
            <w:vAlign w:val="bottom"/>
            <w:shd w:val="clear" w:color="auto" w:fill="E5FFFF"/>
          </w:tcPr>
          <w:p>
            <w:pPr>
              <w:spacing w:after="0"/>
              <w:rPr>
                <w:sz w:val="20"/>
                <w:szCs w:val="20"/>
                <w:color w:val="auto"/>
              </w:rPr>
            </w:pPr>
            <w:r>
              <w:rPr>
                <w:rFonts w:ascii="Arial" w:cs="Arial" w:eastAsia="Arial" w:hAnsi="Arial"/>
                <w:sz w:val="17"/>
                <w:szCs w:val="17"/>
                <w:color w:val="auto"/>
              </w:rPr>
              <w:t>Share of profit of associates</w:t>
            </w:r>
          </w:p>
        </w:tc>
        <w:tc>
          <w:tcPr>
            <w:tcW w:w="14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455</w:t>
            </w:r>
          </w:p>
        </w:tc>
        <w:tc>
          <w:tcPr>
            <w:tcW w:w="300" w:type="dxa"/>
            <w:vAlign w:val="bottom"/>
            <w:shd w:val="clear" w:color="auto" w:fill="E5FFFF"/>
          </w:tcPr>
          <w:p>
            <w:pPr>
              <w:spacing w:after="0"/>
              <w:rPr>
                <w:sz w:val="18"/>
                <w:szCs w:val="18"/>
                <w:color w:val="auto"/>
              </w:rPr>
            </w:pPr>
          </w:p>
        </w:tc>
        <w:tc>
          <w:tcPr>
            <w:tcW w:w="1740" w:type="dxa"/>
            <w:vAlign w:val="bottom"/>
            <w:gridSpan w:val="2"/>
            <w:shd w:val="clear" w:color="auto" w:fill="E5FFFF"/>
          </w:tcPr>
          <w:p>
            <w:pPr>
              <w:jc w:val="right"/>
              <w:ind w:right="220"/>
              <w:spacing w:after="0"/>
              <w:rPr>
                <w:sz w:val="20"/>
                <w:szCs w:val="20"/>
                <w:color w:val="auto"/>
              </w:rPr>
            </w:pPr>
            <w:r>
              <w:rPr>
                <w:rFonts w:ascii="Arial" w:cs="Arial" w:eastAsia="Arial" w:hAnsi="Arial"/>
                <w:sz w:val="17"/>
                <w:szCs w:val="17"/>
                <w:color w:val="auto"/>
              </w:rPr>
              <w:t>475</w:t>
            </w:r>
          </w:p>
        </w:tc>
        <w:tc>
          <w:tcPr>
            <w:tcW w:w="1740" w:type="dxa"/>
            <w:vAlign w:val="bottom"/>
            <w:gridSpan w:val="2"/>
            <w:shd w:val="clear" w:color="auto" w:fill="E5FFFF"/>
          </w:tcPr>
          <w:p>
            <w:pPr>
              <w:jc w:val="right"/>
              <w:ind w:right="220"/>
              <w:spacing w:after="0"/>
              <w:rPr>
                <w:sz w:val="20"/>
                <w:szCs w:val="20"/>
                <w:color w:val="auto"/>
              </w:rPr>
            </w:pPr>
            <w:r>
              <w:rPr>
                <w:rFonts w:ascii="Arial" w:cs="Arial" w:eastAsia="Arial" w:hAnsi="Arial"/>
                <w:sz w:val="17"/>
                <w:szCs w:val="17"/>
                <w:color w:val="auto"/>
              </w:rPr>
              <w:t>1,159</w:t>
            </w:r>
          </w:p>
        </w:tc>
        <w:tc>
          <w:tcPr>
            <w:tcW w:w="146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7"/>
                <w:szCs w:val="17"/>
                <w:color w:val="auto"/>
              </w:rPr>
              <w:t>1,800</w:t>
            </w:r>
          </w:p>
        </w:tc>
        <w:tc>
          <w:tcPr>
            <w:tcW w:w="140" w:type="dxa"/>
            <w:vAlign w:val="bottom"/>
            <w:vMerge w:val="restart"/>
          </w:tcPr>
          <w:p>
            <w:pPr>
              <w:jc w:val="right"/>
              <w:ind w:right="63"/>
              <w:spacing w:after="0"/>
              <w:rPr>
                <w:sz w:val="20"/>
                <w:szCs w:val="20"/>
                <w:color w:val="auto"/>
              </w:rPr>
            </w:pPr>
            <w:r>
              <w:rPr>
                <w:rFonts w:ascii="Arial" w:cs="Arial" w:eastAsia="Arial" w:hAnsi="Arial"/>
                <w:sz w:val="7"/>
                <w:szCs w:val="7"/>
                <w:b w:val="1"/>
                <w:bCs w:val="1"/>
                <w:color w:val="auto"/>
                <w:w w:val="83"/>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00" w:type="dxa"/>
            <w:vAlign w:val="bottom"/>
            <w:tcBorders>
              <w:bottom w:val="single" w:sz="8" w:color="E5FFFF"/>
            </w:tcBorders>
          </w:tcPr>
          <w:p>
            <w:pPr>
              <w:spacing w:after="0"/>
              <w:rPr>
                <w:sz w:val="20"/>
                <w:szCs w:val="20"/>
                <w:color w:val="auto"/>
              </w:rPr>
            </w:pPr>
            <w:r>
              <w:rPr>
                <w:rFonts w:ascii="Arial" w:cs="Arial" w:eastAsia="Arial" w:hAnsi="Arial"/>
                <w:sz w:val="17"/>
                <w:szCs w:val="17"/>
                <w:b w:val="1"/>
                <w:bCs w:val="1"/>
                <w:color w:val="auto"/>
              </w:rPr>
              <w:t>Total other expenses, net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(24,934</w:t>
            </w:r>
          </w:p>
        </w:tc>
        <w:tc>
          <w:tcPr>
            <w:tcW w:w="300" w:type="dxa"/>
            <w:vAlign w:val="bottom"/>
            <w:tcBorders>
              <w:bottom w:val="single" w:sz="8" w:color="E5FFFF"/>
            </w:tcBorders>
          </w:tcPr>
          <w:p>
            <w:pPr>
              <w:jc w:val="right"/>
              <w:ind w:right="160"/>
              <w:spacing w:after="0"/>
              <w:rPr>
                <w:sz w:val="20"/>
                <w:szCs w:val="20"/>
                <w:color w:val="auto"/>
              </w:rPr>
            </w:pPr>
            <w:r>
              <w:rPr>
                <w:rFonts w:ascii="Arial" w:cs="Arial" w:eastAsia="Arial" w:hAnsi="Arial"/>
                <w:sz w:val="16"/>
                <w:szCs w:val="16"/>
                <w:b w:val="1"/>
                <w:bCs w:val="1"/>
                <w:color w:val="auto"/>
                <w:w w:val="74"/>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(74,613</w:t>
            </w:r>
          </w:p>
        </w:tc>
        <w:tc>
          <w:tcPr>
            <w:tcW w:w="300" w:type="dxa"/>
            <w:vAlign w:val="bottom"/>
            <w:tcBorders>
              <w:bottom w:val="single" w:sz="8" w:color="E5FFFF"/>
            </w:tcBorders>
          </w:tcPr>
          <w:p>
            <w:pPr>
              <w:jc w:val="right"/>
              <w:ind w:right="160"/>
              <w:spacing w:after="0"/>
              <w:rPr>
                <w:sz w:val="20"/>
                <w:szCs w:val="20"/>
                <w:color w:val="auto"/>
              </w:rPr>
            </w:pPr>
            <w:r>
              <w:rPr>
                <w:rFonts w:ascii="Arial" w:cs="Arial" w:eastAsia="Arial" w:hAnsi="Arial"/>
                <w:sz w:val="16"/>
                <w:szCs w:val="16"/>
                <w:b w:val="1"/>
                <w:bCs w:val="1"/>
                <w:color w:val="auto"/>
                <w:w w:val="74"/>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(133,347</w:t>
            </w:r>
          </w:p>
        </w:tc>
        <w:tc>
          <w:tcPr>
            <w:tcW w:w="300" w:type="dxa"/>
            <w:vAlign w:val="bottom"/>
            <w:tcBorders>
              <w:bottom w:val="single" w:sz="8" w:color="E5FFFF"/>
            </w:tcBorders>
          </w:tcPr>
          <w:p>
            <w:pPr>
              <w:jc w:val="right"/>
              <w:ind w:right="160"/>
              <w:spacing w:after="0"/>
              <w:rPr>
                <w:sz w:val="20"/>
                <w:szCs w:val="20"/>
                <w:color w:val="auto"/>
              </w:rPr>
            </w:pPr>
            <w:r>
              <w:rPr>
                <w:rFonts w:ascii="Arial" w:cs="Arial" w:eastAsia="Arial" w:hAnsi="Arial"/>
                <w:sz w:val="16"/>
                <w:szCs w:val="16"/>
                <w:b w:val="1"/>
                <w:bCs w:val="1"/>
                <w:color w:val="auto"/>
                <w:w w:val="74"/>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(166,120</w:t>
            </w: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0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7"/>
                <w:szCs w:val="17"/>
                <w:b w:val="1"/>
                <w:bCs w:val="1"/>
                <w:color w:val="auto"/>
              </w:rPr>
              <w:t>Profit for the period</w:t>
            </w:r>
          </w:p>
        </w:tc>
        <w:tc>
          <w:tcPr>
            <w:tcW w:w="14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29,685</w:t>
            </w:r>
          </w:p>
        </w:tc>
        <w:tc>
          <w:tcPr>
            <w:tcW w:w="300" w:type="dxa"/>
            <w:vAlign w:val="bottom"/>
            <w:tcBorders>
              <w:bottom w:val="single" w:sz="8" w:color="E5FFFF"/>
            </w:tcBorders>
            <w:shd w:val="clear" w:color="auto" w:fill="E5FFFF"/>
          </w:tcPr>
          <w:p>
            <w:pPr>
              <w:spacing w:after="0"/>
              <w:rPr>
                <w:sz w:val="18"/>
                <w:szCs w:val="18"/>
                <w:color w:val="auto"/>
              </w:rPr>
            </w:pPr>
          </w:p>
        </w:tc>
        <w:tc>
          <w:tcPr>
            <w:tcW w:w="14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30,384</w:t>
            </w:r>
          </w:p>
        </w:tc>
        <w:tc>
          <w:tcPr>
            <w:tcW w:w="300" w:type="dxa"/>
            <w:vAlign w:val="bottom"/>
            <w:tcBorders>
              <w:bottom w:val="single" w:sz="8" w:color="E5FFFF"/>
            </w:tcBorders>
            <w:shd w:val="clear" w:color="auto" w:fill="E5FFFF"/>
          </w:tcPr>
          <w:p>
            <w:pPr>
              <w:spacing w:after="0"/>
              <w:rPr>
                <w:sz w:val="18"/>
                <w:szCs w:val="18"/>
                <w:color w:val="auto"/>
              </w:rPr>
            </w:pPr>
          </w:p>
        </w:tc>
        <w:tc>
          <w:tcPr>
            <w:tcW w:w="14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84,209</w:t>
            </w:r>
          </w:p>
        </w:tc>
        <w:tc>
          <w:tcPr>
            <w:tcW w:w="300" w:type="dxa"/>
            <w:vAlign w:val="bottom"/>
            <w:tcBorders>
              <w:bottom w:val="single" w:sz="8" w:color="E5FFFF"/>
            </w:tcBorders>
            <w:shd w:val="clear" w:color="auto" w:fill="E5FFFF"/>
          </w:tcPr>
          <w:p>
            <w:pPr>
              <w:spacing w:after="0"/>
              <w:rPr>
                <w:sz w:val="18"/>
                <w:szCs w:val="18"/>
                <w:color w:val="auto"/>
              </w:rPr>
            </w:pPr>
          </w:p>
        </w:tc>
        <w:tc>
          <w:tcPr>
            <w:tcW w:w="1460" w:type="dxa"/>
            <w:vAlign w:val="bottom"/>
            <w:tcBorders>
              <w:bottom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126,398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vMerge w:val="restart"/>
          </w:tcPr>
          <w:p>
            <w:pPr>
              <w:spacing w:after="0"/>
              <w:rPr>
                <w:sz w:val="20"/>
                <w:szCs w:val="20"/>
                <w:color w:val="auto"/>
              </w:rPr>
            </w:pPr>
            <w:r>
              <w:rPr>
                <w:rFonts w:ascii="Arial" w:cs="Arial" w:eastAsia="Arial" w:hAnsi="Arial"/>
                <w:sz w:val="17"/>
                <w:szCs w:val="17"/>
                <w:color w:val="auto"/>
              </w:rPr>
              <w:t>Attributable to:</w:t>
            </w: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5200" w:type="dxa"/>
            <w:vAlign w:val="bottom"/>
            <w:vMerge w:val="continue"/>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00" w:type="dxa"/>
            <w:vAlign w:val="bottom"/>
            <w:shd w:val="clear" w:color="auto" w:fill="E5FFFF"/>
          </w:tcPr>
          <w:p>
            <w:pPr>
              <w:spacing w:after="0"/>
              <w:rPr>
                <w:sz w:val="20"/>
                <w:szCs w:val="20"/>
                <w:color w:val="auto"/>
              </w:rPr>
            </w:pPr>
            <w:r>
              <w:rPr>
                <w:rFonts w:ascii="Arial" w:cs="Arial" w:eastAsia="Arial" w:hAnsi="Arial"/>
                <w:sz w:val="17"/>
                <w:szCs w:val="17"/>
                <w:color w:val="auto"/>
              </w:rPr>
              <w:t>Owners of the Group</w:t>
            </w:r>
          </w:p>
        </w:tc>
        <w:tc>
          <w:tcPr>
            <w:tcW w:w="14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8,934</w:t>
            </w:r>
          </w:p>
        </w:tc>
        <w:tc>
          <w:tcPr>
            <w:tcW w:w="300" w:type="dxa"/>
            <w:vAlign w:val="bottom"/>
            <w:shd w:val="clear" w:color="auto" w:fill="E5FFFF"/>
          </w:tcPr>
          <w:p>
            <w:pPr>
              <w:spacing w:after="0"/>
              <w:rPr>
                <w:sz w:val="18"/>
                <w:szCs w:val="18"/>
                <w:color w:val="auto"/>
              </w:rPr>
            </w:pPr>
          </w:p>
        </w:tc>
        <w:tc>
          <w:tcPr>
            <w:tcW w:w="1740" w:type="dxa"/>
            <w:vAlign w:val="bottom"/>
            <w:gridSpan w:val="2"/>
            <w:shd w:val="clear" w:color="auto" w:fill="E5FFFF"/>
          </w:tcPr>
          <w:p>
            <w:pPr>
              <w:jc w:val="right"/>
              <w:ind w:right="220"/>
              <w:spacing w:after="0"/>
              <w:rPr>
                <w:sz w:val="20"/>
                <w:szCs w:val="20"/>
                <w:color w:val="auto"/>
              </w:rPr>
            </w:pPr>
            <w:r>
              <w:rPr>
                <w:rFonts w:ascii="Arial" w:cs="Arial" w:eastAsia="Arial" w:hAnsi="Arial"/>
                <w:sz w:val="17"/>
                <w:szCs w:val="17"/>
                <w:color w:val="auto"/>
              </w:rPr>
              <w:t>13,785</w:t>
            </w:r>
          </w:p>
        </w:tc>
        <w:tc>
          <w:tcPr>
            <w:tcW w:w="1740" w:type="dxa"/>
            <w:vAlign w:val="bottom"/>
            <w:gridSpan w:val="2"/>
            <w:shd w:val="clear" w:color="auto" w:fill="E5FFFF"/>
          </w:tcPr>
          <w:p>
            <w:pPr>
              <w:jc w:val="right"/>
              <w:ind w:right="220"/>
              <w:spacing w:after="0"/>
              <w:rPr>
                <w:sz w:val="20"/>
                <w:szCs w:val="20"/>
                <w:color w:val="auto"/>
              </w:rPr>
            </w:pPr>
            <w:r>
              <w:rPr>
                <w:rFonts w:ascii="Arial" w:cs="Arial" w:eastAsia="Arial" w:hAnsi="Arial"/>
                <w:sz w:val="17"/>
                <w:szCs w:val="17"/>
                <w:color w:val="auto"/>
              </w:rPr>
              <w:t>15,506</w:t>
            </w:r>
          </w:p>
        </w:tc>
        <w:tc>
          <w:tcPr>
            <w:tcW w:w="146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7"/>
                <w:szCs w:val="17"/>
                <w:color w:val="auto"/>
              </w:rPr>
              <w:t>47,683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7"/>
                <w:szCs w:val="17"/>
                <w:color w:val="auto"/>
              </w:rPr>
              <w:t>Non--controlling interests</w:t>
            </w:r>
          </w:p>
        </w:tc>
        <w:tc>
          <w:tcPr>
            <w:tcW w:w="1440" w:type="dxa"/>
            <w:vAlign w:val="bottom"/>
          </w:tcPr>
          <w:p>
            <w:pPr>
              <w:jc w:val="right"/>
              <w:spacing w:after="0"/>
              <w:rPr>
                <w:sz w:val="20"/>
                <w:szCs w:val="20"/>
                <w:color w:val="auto"/>
              </w:rPr>
            </w:pPr>
            <w:r>
              <w:rPr>
                <w:rFonts w:ascii="Arial" w:cs="Arial" w:eastAsia="Arial" w:hAnsi="Arial"/>
                <w:sz w:val="17"/>
                <w:szCs w:val="17"/>
                <w:color w:val="auto"/>
              </w:rPr>
              <w:t>20,751</w:t>
            </w:r>
          </w:p>
        </w:tc>
        <w:tc>
          <w:tcPr>
            <w:tcW w:w="30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7"/>
                <w:szCs w:val="17"/>
                <w:color w:val="auto"/>
              </w:rPr>
              <w:t>16,599</w:t>
            </w:r>
          </w:p>
        </w:tc>
        <w:tc>
          <w:tcPr>
            <w:tcW w:w="1740" w:type="dxa"/>
            <w:vAlign w:val="bottom"/>
            <w:gridSpan w:val="2"/>
          </w:tcPr>
          <w:p>
            <w:pPr>
              <w:jc w:val="right"/>
              <w:ind w:right="220"/>
              <w:spacing w:after="0"/>
              <w:rPr>
                <w:sz w:val="20"/>
                <w:szCs w:val="20"/>
                <w:color w:val="auto"/>
              </w:rPr>
            </w:pPr>
            <w:r>
              <w:rPr>
                <w:rFonts w:ascii="Arial" w:cs="Arial" w:eastAsia="Arial" w:hAnsi="Arial"/>
                <w:sz w:val="17"/>
                <w:szCs w:val="17"/>
                <w:color w:val="auto"/>
              </w:rPr>
              <w:t>68,703</w:t>
            </w:r>
          </w:p>
        </w:tc>
        <w:tc>
          <w:tcPr>
            <w:tcW w:w="1460" w:type="dxa"/>
            <w:vAlign w:val="bottom"/>
          </w:tcPr>
          <w:p>
            <w:pPr>
              <w:jc w:val="right"/>
              <w:spacing w:after="0"/>
              <w:rPr>
                <w:sz w:val="20"/>
                <w:szCs w:val="20"/>
                <w:color w:val="auto"/>
              </w:rPr>
            </w:pPr>
            <w:r>
              <w:rPr>
                <w:rFonts w:ascii="Arial" w:cs="Arial" w:eastAsia="Arial" w:hAnsi="Arial"/>
                <w:sz w:val="17"/>
                <w:szCs w:val="17"/>
                <w:color w:val="auto"/>
              </w:rPr>
              <w:t>78,715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00" w:type="dxa"/>
            <w:vAlign w:val="bottom"/>
            <w:tcBorders>
              <w:top w:val="single" w:sz="8" w:color="E5FFFF"/>
              <w:bottom w:val="single" w:sz="8" w:color="E5FFFF"/>
            </w:tcBorders>
            <w:shd w:val="clear" w:color="auto" w:fill="E5FFFF"/>
          </w:tcPr>
          <w:p>
            <w:pPr>
              <w:spacing w:after="0"/>
              <w:rPr>
                <w:sz w:val="18"/>
                <w:szCs w:val="18"/>
                <w:color w:val="auto"/>
              </w:rPr>
            </w:pPr>
          </w:p>
        </w:tc>
        <w:tc>
          <w:tcPr>
            <w:tcW w:w="14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29,685</w:t>
            </w:r>
          </w:p>
        </w:tc>
        <w:tc>
          <w:tcPr>
            <w:tcW w:w="300" w:type="dxa"/>
            <w:vAlign w:val="bottom"/>
            <w:tcBorders>
              <w:top w:val="single" w:sz="8" w:color="E5FFFF"/>
              <w:bottom w:val="single" w:sz="8" w:color="E5FFFF"/>
            </w:tcBorders>
            <w:shd w:val="clear" w:color="auto" w:fill="E5FFFF"/>
          </w:tcPr>
          <w:p>
            <w:pPr>
              <w:spacing w:after="0"/>
              <w:rPr>
                <w:sz w:val="18"/>
                <w:szCs w:val="18"/>
                <w:color w:val="auto"/>
              </w:rPr>
            </w:pPr>
          </w:p>
        </w:tc>
        <w:tc>
          <w:tcPr>
            <w:tcW w:w="14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30,384</w:t>
            </w:r>
          </w:p>
        </w:tc>
        <w:tc>
          <w:tcPr>
            <w:tcW w:w="300" w:type="dxa"/>
            <w:vAlign w:val="bottom"/>
            <w:tcBorders>
              <w:top w:val="single" w:sz="8" w:color="E5FFFF"/>
              <w:bottom w:val="single" w:sz="8" w:color="E5FFFF"/>
            </w:tcBorders>
            <w:shd w:val="clear" w:color="auto" w:fill="E5FFFF"/>
          </w:tcPr>
          <w:p>
            <w:pPr>
              <w:spacing w:after="0"/>
              <w:rPr>
                <w:sz w:val="18"/>
                <w:szCs w:val="18"/>
                <w:color w:val="auto"/>
              </w:rPr>
            </w:pPr>
          </w:p>
        </w:tc>
        <w:tc>
          <w:tcPr>
            <w:tcW w:w="14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84,209</w:t>
            </w:r>
          </w:p>
        </w:tc>
        <w:tc>
          <w:tcPr>
            <w:tcW w:w="300" w:type="dxa"/>
            <w:vAlign w:val="bottom"/>
            <w:tcBorders>
              <w:top w:val="single" w:sz="8" w:color="E5FFFF"/>
              <w:bottom w:val="single" w:sz="8" w:color="E5FFFF"/>
            </w:tcBorders>
            <w:shd w:val="clear" w:color="auto" w:fill="E5FFFF"/>
          </w:tcPr>
          <w:p>
            <w:pPr>
              <w:spacing w:after="0"/>
              <w:rPr>
                <w:sz w:val="18"/>
                <w:szCs w:val="18"/>
                <w:color w:val="auto"/>
              </w:rPr>
            </w:pPr>
          </w:p>
        </w:tc>
        <w:tc>
          <w:tcPr>
            <w:tcW w:w="1460" w:type="dxa"/>
            <w:vAlign w:val="bottom"/>
            <w:tcBorders>
              <w:top w:val="single" w:sz="8" w:color="auto"/>
              <w:bottom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126,398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200" w:type="dxa"/>
            <w:vAlign w:val="bottom"/>
            <w:shd w:val="clear" w:color="auto" w:fill="E5FFFF"/>
          </w:tcPr>
          <w:p>
            <w:pPr>
              <w:spacing w:after="0"/>
              <w:rPr>
                <w:sz w:val="20"/>
                <w:szCs w:val="20"/>
                <w:color w:val="auto"/>
              </w:rPr>
            </w:pPr>
            <w:r>
              <w:rPr>
                <w:rFonts w:ascii="Arial" w:cs="Arial" w:eastAsia="Arial" w:hAnsi="Arial"/>
                <w:sz w:val="17"/>
                <w:szCs w:val="17"/>
                <w:b w:val="1"/>
                <w:bCs w:val="1"/>
                <w:color w:val="auto"/>
              </w:rPr>
              <w:t>Earnings per share – basic</w:t>
            </w:r>
          </w:p>
        </w:tc>
        <w:tc>
          <w:tcPr>
            <w:tcW w:w="1440" w:type="dxa"/>
            <w:vAlign w:val="bottom"/>
            <w:shd w:val="clear" w:color="auto" w:fill="E5FFFF"/>
          </w:tcPr>
          <w:p>
            <w:pPr>
              <w:jc w:val="right"/>
              <w:spacing w:after="0"/>
              <w:rPr>
                <w:sz w:val="20"/>
                <w:szCs w:val="20"/>
                <w:color w:val="auto"/>
              </w:rPr>
            </w:pPr>
            <w:r>
              <w:rPr>
                <w:rFonts w:ascii="Arial" w:cs="Arial" w:eastAsia="Arial" w:hAnsi="Arial"/>
                <w:sz w:val="17"/>
                <w:szCs w:val="17"/>
                <w:b w:val="1"/>
                <w:bCs w:val="1"/>
                <w:color w:val="auto"/>
              </w:rPr>
              <w:t>0.08</w:t>
            </w:r>
          </w:p>
        </w:tc>
        <w:tc>
          <w:tcPr>
            <w:tcW w:w="300" w:type="dxa"/>
            <w:vAlign w:val="bottom"/>
            <w:shd w:val="clear" w:color="auto" w:fill="E5FFFF"/>
          </w:tcPr>
          <w:p>
            <w:pPr>
              <w:spacing w:after="0"/>
              <w:rPr>
                <w:sz w:val="18"/>
                <w:szCs w:val="18"/>
                <w:color w:val="auto"/>
              </w:rPr>
            </w:pPr>
          </w:p>
        </w:tc>
        <w:tc>
          <w:tcPr>
            <w:tcW w:w="1740" w:type="dxa"/>
            <w:vAlign w:val="bottom"/>
            <w:gridSpan w:val="2"/>
            <w:shd w:val="clear" w:color="auto" w:fill="E5FFFF"/>
          </w:tcPr>
          <w:p>
            <w:pPr>
              <w:jc w:val="right"/>
              <w:ind w:right="220"/>
              <w:spacing w:after="0"/>
              <w:rPr>
                <w:sz w:val="20"/>
                <w:szCs w:val="20"/>
                <w:color w:val="auto"/>
              </w:rPr>
            </w:pPr>
            <w:r>
              <w:rPr>
                <w:rFonts w:ascii="Arial" w:cs="Arial" w:eastAsia="Arial" w:hAnsi="Arial"/>
                <w:sz w:val="17"/>
                <w:szCs w:val="17"/>
                <w:b w:val="1"/>
                <w:bCs w:val="1"/>
                <w:color w:val="auto"/>
              </w:rPr>
              <w:t>0.14</w:t>
            </w:r>
          </w:p>
        </w:tc>
        <w:tc>
          <w:tcPr>
            <w:tcW w:w="1740" w:type="dxa"/>
            <w:vAlign w:val="bottom"/>
            <w:gridSpan w:val="2"/>
            <w:shd w:val="clear" w:color="auto" w:fill="E5FFFF"/>
          </w:tcPr>
          <w:p>
            <w:pPr>
              <w:jc w:val="right"/>
              <w:ind w:right="220"/>
              <w:spacing w:after="0"/>
              <w:rPr>
                <w:sz w:val="20"/>
                <w:szCs w:val="20"/>
                <w:color w:val="auto"/>
              </w:rPr>
            </w:pPr>
            <w:r>
              <w:rPr>
                <w:rFonts w:ascii="Arial" w:cs="Arial" w:eastAsia="Arial" w:hAnsi="Arial"/>
                <w:sz w:val="17"/>
                <w:szCs w:val="17"/>
                <w:b w:val="1"/>
                <w:bCs w:val="1"/>
                <w:color w:val="auto"/>
              </w:rPr>
              <w:t>0.07</w:t>
            </w:r>
          </w:p>
        </w:tc>
        <w:tc>
          <w:tcPr>
            <w:tcW w:w="146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0.47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7"/>
                <w:szCs w:val="17"/>
                <w:b w:val="1"/>
                <w:bCs w:val="1"/>
                <w:color w:val="auto"/>
              </w:rPr>
              <w:t>Earnings per share – diluted</w:t>
            </w:r>
          </w:p>
        </w:tc>
        <w:tc>
          <w:tcPr>
            <w:tcW w:w="1440" w:type="dxa"/>
            <w:vAlign w:val="bottom"/>
          </w:tcPr>
          <w:p>
            <w:pPr>
              <w:jc w:val="right"/>
              <w:spacing w:after="0"/>
              <w:rPr>
                <w:sz w:val="20"/>
                <w:szCs w:val="20"/>
                <w:color w:val="auto"/>
              </w:rPr>
            </w:pPr>
            <w:r>
              <w:rPr>
                <w:rFonts w:ascii="Arial" w:cs="Arial" w:eastAsia="Arial" w:hAnsi="Arial"/>
                <w:sz w:val="17"/>
                <w:szCs w:val="17"/>
                <w:b w:val="1"/>
                <w:bCs w:val="1"/>
                <w:color w:val="auto"/>
              </w:rPr>
              <w:t>0.08</w:t>
            </w:r>
          </w:p>
        </w:tc>
        <w:tc>
          <w:tcPr>
            <w:tcW w:w="300" w:type="dxa"/>
            <w:vAlign w:val="bottom"/>
          </w:tcPr>
          <w:p>
            <w:pPr>
              <w:spacing w:after="0"/>
              <w:rPr>
                <w:sz w:val="19"/>
                <w:szCs w:val="19"/>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0.14</w:t>
            </w:r>
          </w:p>
        </w:tc>
        <w:tc>
          <w:tcPr>
            <w:tcW w:w="17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0.07</w:t>
            </w:r>
          </w:p>
        </w:tc>
        <w:tc>
          <w:tcPr>
            <w:tcW w:w="1460" w:type="dxa"/>
            <w:vAlign w:val="bottom"/>
          </w:tcPr>
          <w:p>
            <w:pPr>
              <w:jc w:val="right"/>
              <w:spacing w:after="0"/>
              <w:rPr>
                <w:sz w:val="20"/>
                <w:szCs w:val="20"/>
                <w:color w:val="auto"/>
              </w:rPr>
            </w:pPr>
            <w:r>
              <w:rPr>
                <w:rFonts w:ascii="Arial" w:cs="Arial" w:eastAsia="Arial" w:hAnsi="Arial"/>
                <w:sz w:val="17"/>
                <w:szCs w:val="17"/>
                <w:b w:val="1"/>
                <w:bCs w:val="1"/>
                <w:color w:val="auto"/>
              </w:rPr>
              <w:t>0.46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808080"/>
            </w:tcBorders>
          </w:tcPr>
          <w:p>
            <w:pPr>
              <w:spacing w:after="0"/>
              <w:rPr>
                <w:sz w:val="24"/>
                <w:szCs w:val="24"/>
                <w:color w:val="auto"/>
              </w:rPr>
            </w:pPr>
          </w:p>
        </w:tc>
        <w:tc>
          <w:tcPr>
            <w:tcW w:w="520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7628255</wp:posOffset>
            </wp:positionH>
            <wp:positionV relativeFrom="paragraph">
              <wp:posOffset>-30480</wp:posOffset>
            </wp:positionV>
            <wp:extent cx="12700" cy="311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12700" cy="311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2240" w:h="15840" w:orient="portrait"/>
          <w:cols w:equalWidth="0" w:num="1">
            <w:col w:w="12040"/>
          </w:cols>
          <w:pgMar w:left="120" w:top="212" w:right="80"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auto"/>
        </w:rPr>
        <w:t>Unaudited condensed 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years ended December 31, 2017 and 2018</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expressed in thousands of U.S. Dollars)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280" w:type="dxa"/>
            <w:vAlign w:val="bottom"/>
          </w:tcPr>
          <w:p>
            <w:pPr>
              <w:spacing w:after="0"/>
              <w:rPr>
                <w:sz w:val="19"/>
                <w:szCs w:val="19"/>
                <w:color w:val="auto"/>
              </w:rPr>
            </w:pPr>
          </w:p>
        </w:tc>
        <w:tc>
          <w:tcPr>
            <w:tcW w:w="4760" w:type="dxa"/>
            <w:vAlign w:val="bottom"/>
            <w:gridSpan w:val="4"/>
          </w:tcPr>
          <w:p>
            <w:pPr>
              <w:jc w:val="right"/>
              <w:ind w:right="1740"/>
              <w:spacing w:after="0"/>
              <w:rPr>
                <w:sz w:val="20"/>
                <w:szCs w:val="20"/>
                <w:color w:val="auto"/>
              </w:rPr>
            </w:pPr>
            <w:r>
              <w:rPr>
                <w:rFonts w:ascii="Arial" w:cs="Arial" w:eastAsia="Arial" w:hAnsi="Arial"/>
                <w:sz w:val="17"/>
                <w:szCs w:val="17"/>
                <w:b w:val="1"/>
                <w:bCs w:val="1"/>
                <w:color w:val="auto"/>
              </w:rPr>
              <w:t>For the years ended</w:t>
            </w:r>
          </w:p>
        </w:tc>
      </w:tr>
      <w:tr>
        <w:trPr>
          <w:trHeight w:val="258"/>
        </w:trPr>
        <w:tc>
          <w:tcPr>
            <w:tcW w:w="7280" w:type="dxa"/>
            <w:vAlign w:val="bottom"/>
          </w:tcPr>
          <w:p>
            <w:pPr>
              <w:spacing w:after="0"/>
              <w:rPr>
                <w:sz w:val="22"/>
                <w:szCs w:val="22"/>
                <w:color w:val="auto"/>
              </w:rPr>
            </w:pPr>
          </w:p>
        </w:tc>
        <w:tc>
          <w:tcPr>
            <w:tcW w:w="2460" w:type="dxa"/>
            <w:vAlign w:val="bottom"/>
            <w:gridSpan w:val="2"/>
          </w:tcPr>
          <w:p>
            <w:pPr>
              <w:jc w:val="right"/>
              <w:ind w:right="700"/>
              <w:spacing w:after="0"/>
              <w:rPr>
                <w:sz w:val="20"/>
                <w:szCs w:val="20"/>
                <w:color w:val="auto"/>
              </w:rPr>
            </w:pPr>
            <w:r>
              <w:rPr>
                <w:rFonts w:ascii="Arial" w:cs="Arial" w:eastAsia="Arial" w:hAnsi="Arial"/>
                <w:sz w:val="17"/>
                <w:szCs w:val="17"/>
                <w:b w:val="1"/>
                <w:bCs w:val="1"/>
                <w:color w:val="auto"/>
              </w:rPr>
              <w:t>December 31, 2017</w:t>
            </w:r>
          </w:p>
        </w:tc>
        <w:tc>
          <w:tcPr>
            <w:tcW w:w="2300" w:type="dxa"/>
            <w:vAlign w:val="bottom"/>
            <w:gridSpan w:val="2"/>
          </w:tcPr>
          <w:p>
            <w:pPr>
              <w:jc w:val="right"/>
              <w:ind w:right="540"/>
              <w:spacing w:after="0"/>
              <w:rPr>
                <w:sz w:val="20"/>
                <w:szCs w:val="20"/>
                <w:color w:val="auto"/>
              </w:rPr>
            </w:pPr>
            <w:r>
              <w:rPr>
                <w:rFonts w:ascii="Arial" w:cs="Arial" w:eastAsia="Arial" w:hAnsi="Arial"/>
                <w:sz w:val="17"/>
                <w:szCs w:val="17"/>
                <w:b w:val="1"/>
                <w:bCs w:val="1"/>
                <w:color w:val="auto"/>
              </w:rPr>
              <w:t>December 31, 2018</w:t>
            </w:r>
          </w:p>
        </w:tc>
      </w:tr>
      <w:tr>
        <w:trPr>
          <w:trHeight w:val="200"/>
        </w:trPr>
        <w:tc>
          <w:tcPr>
            <w:tcW w:w="72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2160" w:type="dxa"/>
            <w:vAlign w:val="bottom"/>
            <w:tcBorders>
              <w:top w:val="single" w:sz="8" w:color="auto"/>
            </w:tcBorders>
            <w:shd w:val="clear" w:color="auto" w:fill="E5FFFF"/>
          </w:tcPr>
          <w:p>
            <w:pPr>
              <w:spacing w:after="0"/>
              <w:rPr>
                <w:sz w:val="17"/>
                <w:szCs w:val="17"/>
                <w:color w:val="auto"/>
              </w:rPr>
            </w:pPr>
          </w:p>
        </w:tc>
        <w:tc>
          <w:tcPr>
            <w:tcW w:w="300" w:type="dxa"/>
            <w:vAlign w:val="bottom"/>
            <w:tcBorders>
              <w:top w:val="single" w:sz="8" w:color="E5FFFF"/>
            </w:tcBorders>
            <w:shd w:val="clear" w:color="auto" w:fill="E5FFFF"/>
          </w:tcPr>
          <w:p>
            <w:pPr>
              <w:spacing w:after="0"/>
              <w:rPr>
                <w:sz w:val="17"/>
                <w:szCs w:val="17"/>
                <w:color w:val="auto"/>
              </w:rPr>
            </w:pPr>
          </w:p>
        </w:tc>
        <w:tc>
          <w:tcPr>
            <w:tcW w:w="2140" w:type="dxa"/>
            <w:vAlign w:val="bottom"/>
            <w:tcBorders>
              <w:top w:val="single" w:sz="8" w:color="auto"/>
            </w:tcBorders>
            <w:shd w:val="clear" w:color="auto" w:fill="E5FFFF"/>
          </w:tcPr>
          <w:p>
            <w:pPr>
              <w:spacing w:after="0"/>
              <w:rPr>
                <w:sz w:val="17"/>
                <w:szCs w:val="17"/>
                <w:color w:val="auto"/>
              </w:rPr>
            </w:pPr>
          </w:p>
        </w:tc>
        <w:tc>
          <w:tcPr>
            <w:tcW w:w="160" w:type="dxa"/>
            <w:vAlign w:val="bottom"/>
          </w:tcPr>
          <w:p>
            <w:pPr>
              <w:spacing w:after="0"/>
              <w:rPr>
                <w:sz w:val="17"/>
                <w:szCs w:val="17"/>
                <w:color w:val="auto"/>
              </w:rPr>
            </w:pPr>
          </w:p>
        </w:tc>
      </w:tr>
      <w:tr>
        <w:trPr>
          <w:trHeight w:val="214"/>
        </w:trPr>
        <w:tc>
          <w:tcPr>
            <w:tcW w:w="7280" w:type="dxa"/>
            <w:vAlign w:val="bottom"/>
          </w:tcPr>
          <w:p>
            <w:pPr>
              <w:spacing w:after="0"/>
              <w:rPr>
                <w:sz w:val="20"/>
                <w:szCs w:val="20"/>
                <w:color w:val="auto"/>
              </w:rPr>
            </w:pPr>
            <w:r>
              <w:rPr>
                <w:rFonts w:ascii="Arial" w:cs="Arial" w:eastAsia="Arial" w:hAnsi="Arial"/>
                <w:sz w:val="17"/>
                <w:szCs w:val="17"/>
                <w:color w:val="auto"/>
              </w:rPr>
              <w:t>Profit for the year</w:t>
            </w:r>
          </w:p>
        </w:tc>
        <w:tc>
          <w:tcPr>
            <w:tcW w:w="2460" w:type="dxa"/>
            <w:vAlign w:val="bottom"/>
            <w:gridSpan w:val="2"/>
          </w:tcPr>
          <w:p>
            <w:pPr>
              <w:jc w:val="right"/>
              <w:ind w:right="300"/>
              <w:spacing w:after="0"/>
              <w:rPr>
                <w:sz w:val="20"/>
                <w:szCs w:val="20"/>
                <w:color w:val="auto"/>
              </w:rPr>
            </w:pPr>
            <w:r>
              <w:rPr>
                <w:rFonts w:ascii="Arial" w:cs="Arial" w:eastAsia="Arial" w:hAnsi="Arial"/>
                <w:sz w:val="17"/>
                <w:szCs w:val="17"/>
                <w:color w:val="auto"/>
              </w:rPr>
              <w:t>84,209</w:t>
            </w:r>
          </w:p>
        </w:tc>
        <w:tc>
          <w:tcPr>
            <w:tcW w:w="2140" w:type="dxa"/>
            <w:vAlign w:val="bottom"/>
          </w:tcPr>
          <w:p>
            <w:pPr>
              <w:jc w:val="right"/>
              <w:spacing w:after="0"/>
              <w:rPr>
                <w:sz w:val="20"/>
                <w:szCs w:val="20"/>
                <w:color w:val="auto"/>
              </w:rPr>
            </w:pPr>
            <w:r>
              <w:rPr>
                <w:rFonts w:ascii="Arial" w:cs="Arial" w:eastAsia="Arial" w:hAnsi="Arial"/>
                <w:sz w:val="17"/>
                <w:szCs w:val="17"/>
                <w:color w:val="auto"/>
              </w:rPr>
              <w:t>126,398</w:t>
            </w:r>
          </w:p>
        </w:tc>
        <w:tc>
          <w:tcPr>
            <w:tcW w:w="160" w:type="dxa"/>
            <w:vAlign w:val="bottom"/>
          </w:tcPr>
          <w:p>
            <w:pPr>
              <w:spacing w:after="0"/>
              <w:rPr>
                <w:sz w:val="18"/>
                <w:szCs w:val="18"/>
                <w:color w:val="auto"/>
              </w:rPr>
            </w:pPr>
          </w:p>
        </w:tc>
      </w:tr>
      <w:tr>
        <w:trPr>
          <w:trHeight w:val="214"/>
        </w:trPr>
        <w:tc>
          <w:tcPr>
            <w:tcW w:w="7280" w:type="dxa"/>
            <w:vAlign w:val="bottom"/>
            <w:shd w:val="clear" w:color="auto" w:fill="E5FFFF"/>
          </w:tcPr>
          <w:p>
            <w:pPr>
              <w:spacing w:after="0"/>
              <w:rPr>
                <w:sz w:val="20"/>
                <w:szCs w:val="20"/>
                <w:color w:val="auto"/>
              </w:rPr>
            </w:pPr>
            <w:r>
              <w:rPr>
                <w:rFonts w:ascii="Arial" w:cs="Arial" w:eastAsia="Arial" w:hAnsi="Arial"/>
                <w:sz w:val="17"/>
                <w:szCs w:val="17"/>
                <w:color w:val="auto"/>
              </w:rPr>
              <w:t>Adjustments for:</w:t>
            </w:r>
          </w:p>
        </w:tc>
        <w:tc>
          <w:tcPr>
            <w:tcW w:w="21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2140" w:type="dxa"/>
            <w:vAlign w:val="bottom"/>
            <w:shd w:val="clear" w:color="auto" w:fill="E5FFFF"/>
          </w:tcPr>
          <w:p>
            <w:pPr>
              <w:spacing w:after="0"/>
              <w:rPr>
                <w:sz w:val="18"/>
                <w:szCs w:val="18"/>
                <w:color w:val="auto"/>
              </w:rPr>
            </w:pPr>
          </w:p>
        </w:tc>
        <w:tc>
          <w:tcPr>
            <w:tcW w:w="160" w:type="dxa"/>
            <w:vAlign w:val="bottom"/>
          </w:tcPr>
          <w:p>
            <w:pPr>
              <w:spacing w:after="0"/>
              <w:rPr>
                <w:sz w:val="18"/>
                <w:szCs w:val="18"/>
                <w:color w:val="auto"/>
              </w:rPr>
            </w:pPr>
          </w:p>
        </w:tc>
      </w:tr>
      <w:tr>
        <w:trPr>
          <w:trHeight w:val="214"/>
        </w:trPr>
        <w:tc>
          <w:tcPr>
            <w:tcW w:w="7280" w:type="dxa"/>
            <w:vAlign w:val="bottom"/>
          </w:tcPr>
          <w:p>
            <w:pPr>
              <w:spacing w:after="0"/>
              <w:rPr>
                <w:sz w:val="20"/>
                <w:szCs w:val="20"/>
                <w:color w:val="auto"/>
              </w:rPr>
            </w:pPr>
            <w:r>
              <w:rPr>
                <w:rFonts w:ascii="Arial" w:cs="Arial" w:eastAsia="Arial" w:hAnsi="Arial"/>
                <w:sz w:val="17"/>
                <w:szCs w:val="17"/>
                <w:color w:val="auto"/>
              </w:rPr>
              <w:t>Depreciation</w:t>
            </w:r>
          </w:p>
        </w:tc>
        <w:tc>
          <w:tcPr>
            <w:tcW w:w="2460" w:type="dxa"/>
            <w:vAlign w:val="bottom"/>
            <w:gridSpan w:val="2"/>
          </w:tcPr>
          <w:p>
            <w:pPr>
              <w:jc w:val="right"/>
              <w:ind w:right="300"/>
              <w:spacing w:after="0"/>
              <w:rPr>
                <w:sz w:val="20"/>
                <w:szCs w:val="20"/>
                <w:color w:val="auto"/>
              </w:rPr>
            </w:pPr>
            <w:r>
              <w:rPr>
                <w:rFonts w:ascii="Arial" w:cs="Arial" w:eastAsia="Arial" w:hAnsi="Arial"/>
                <w:sz w:val="17"/>
                <w:szCs w:val="17"/>
                <w:color w:val="auto"/>
              </w:rPr>
              <w:t>137,187</w:t>
            </w:r>
          </w:p>
        </w:tc>
        <w:tc>
          <w:tcPr>
            <w:tcW w:w="2140" w:type="dxa"/>
            <w:vAlign w:val="bottom"/>
          </w:tcPr>
          <w:p>
            <w:pPr>
              <w:jc w:val="right"/>
              <w:spacing w:after="0"/>
              <w:rPr>
                <w:sz w:val="20"/>
                <w:szCs w:val="20"/>
                <w:color w:val="auto"/>
              </w:rPr>
            </w:pPr>
            <w:r>
              <w:rPr>
                <w:rFonts w:ascii="Arial" w:cs="Arial" w:eastAsia="Arial" w:hAnsi="Arial"/>
                <w:sz w:val="17"/>
                <w:szCs w:val="17"/>
                <w:color w:val="auto"/>
              </w:rPr>
              <w:t>153,193</w:t>
            </w:r>
          </w:p>
        </w:tc>
        <w:tc>
          <w:tcPr>
            <w:tcW w:w="160" w:type="dxa"/>
            <w:vAlign w:val="bottom"/>
          </w:tcPr>
          <w:p>
            <w:pPr>
              <w:spacing w:after="0"/>
              <w:rPr>
                <w:sz w:val="18"/>
                <w:szCs w:val="18"/>
                <w:color w:val="auto"/>
              </w:rPr>
            </w:pPr>
          </w:p>
        </w:tc>
      </w:tr>
      <w:tr>
        <w:trPr>
          <w:trHeight w:val="214"/>
        </w:trPr>
        <w:tc>
          <w:tcPr>
            <w:tcW w:w="7280" w:type="dxa"/>
            <w:vAlign w:val="bottom"/>
            <w:shd w:val="clear" w:color="auto" w:fill="E5FFFF"/>
          </w:tcPr>
          <w:p>
            <w:pPr>
              <w:spacing w:after="0"/>
              <w:rPr>
                <w:sz w:val="20"/>
                <w:szCs w:val="20"/>
                <w:color w:val="auto"/>
              </w:rPr>
            </w:pPr>
            <w:r>
              <w:rPr>
                <w:rFonts w:ascii="Arial" w:cs="Arial" w:eastAsia="Arial" w:hAnsi="Arial"/>
                <w:sz w:val="17"/>
                <w:szCs w:val="17"/>
                <w:color w:val="auto"/>
              </w:rPr>
              <w:t>Share of profit of associates</w:t>
            </w:r>
          </w:p>
        </w:tc>
        <w:tc>
          <w:tcPr>
            <w:tcW w:w="2460" w:type="dxa"/>
            <w:vAlign w:val="bottom"/>
            <w:gridSpan w:val="2"/>
            <w:shd w:val="clear" w:color="auto" w:fill="E5FFFF"/>
          </w:tcPr>
          <w:p>
            <w:pPr>
              <w:jc w:val="right"/>
              <w:ind w:right="240"/>
              <w:spacing w:after="0"/>
              <w:rPr>
                <w:sz w:val="20"/>
                <w:szCs w:val="20"/>
                <w:color w:val="auto"/>
              </w:rPr>
            </w:pPr>
            <w:r>
              <w:rPr>
                <w:rFonts w:ascii="Arial" w:cs="Arial" w:eastAsia="Arial" w:hAnsi="Arial"/>
                <w:sz w:val="17"/>
                <w:szCs w:val="17"/>
                <w:color w:val="auto"/>
              </w:rPr>
              <w:t>(1,159)</w:t>
            </w:r>
          </w:p>
        </w:tc>
        <w:tc>
          <w:tcPr>
            <w:tcW w:w="21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(1,800)</w:t>
            </w:r>
          </w:p>
        </w:tc>
        <w:tc>
          <w:tcPr>
            <w:tcW w:w="160" w:type="dxa"/>
            <w:vAlign w:val="bottom"/>
          </w:tcPr>
          <w:p>
            <w:pPr>
              <w:spacing w:after="0"/>
              <w:rPr>
                <w:sz w:val="18"/>
                <w:szCs w:val="18"/>
                <w:color w:val="auto"/>
              </w:rPr>
            </w:pPr>
          </w:p>
        </w:tc>
      </w:tr>
      <w:tr>
        <w:trPr>
          <w:trHeight w:val="214"/>
        </w:trPr>
        <w:tc>
          <w:tcPr>
            <w:tcW w:w="7280" w:type="dxa"/>
            <w:vAlign w:val="bottom"/>
          </w:tcPr>
          <w:p>
            <w:pPr>
              <w:spacing w:after="0"/>
              <w:rPr>
                <w:sz w:val="20"/>
                <w:szCs w:val="20"/>
                <w:color w:val="auto"/>
              </w:rPr>
            </w:pPr>
            <w:r>
              <w:rPr>
                <w:rFonts w:ascii="Arial" w:cs="Arial" w:eastAsia="Arial" w:hAnsi="Arial"/>
                <w:sz w:val="17"/>
                <w:szCs w:val="17"/>
                <w:color w:val="auto"/>
              </w:rPr>
              <w:t>Financial income</w:t>
            </w:r>
          </w:p>
        </w:tc>
        <w:tc>
          <w:tcPr>
            <w:tcW w:w="2460" w:type="dxa"/>
            <w:vAlign w:val="bottom"/>
            <w:gridSpan w:val="2"/>
          </w:tcPr>
          <w:p>
            <w:pPr>
              <w:jc w:val="right"/>
              <w:ind w:right="240"/>
              <w:spacing w:after="0"/>
              <w:rPr>
                <w:sz w:val="20"/>
                <w:szCs w:val="20"/>
                <w:color w:val="auto"/>
              </w:rPr>
            </w:pPr>
            <w:r>
              <w:rPr>
                <w:rFonts w:ascii="Arial" w:cs="Arial" w:eastAsia="Arial" w:hAnsi="Arial"/>
                <w:sz w:val="17"/>
                <w:szCs w:val="17"/>
                <w:color w:val="auto"/>
              </w:rPr>
              <w:t>(2,650)</w:t>
            </w:r>
          </w:p>
        </w:tc>
        <w:tc>
          <w:tcPr>
            <w:tcW w:w="2140" w:type="dxa"/>
            <w:vAlign w:val="bottom"/>
          </w:tcPr>
          <w:p>
            <w:pPr>
              <w:jc w:val="right"/>
              <w:spacing w:after="0"/>
              <w:rPr>
                <w:sz w:val="20"/>
                <w:szCs w:val="20"/>
                <w:color w:val="auto"/>
              </w:rPr>
            </w:pPr>
            <w:r>
              <w:rPr>
                <w:rFonts w:ascii="Arial" w:cs="Arial" w:eastAsia="Arial" w:hAnsi="Arial"/>
                <w:sz w:val="17"/>
                <w:szCs w:val="17"/>
                <w:color w:val="auto"/>
              </w:rPr>
              <w:t>(4,784)</w:t>
            </w:r>
          </w:p>
        </w:tc>
        <w:tc>
          <w:tcPr>
            <w:tcW w:w="160" w:type="dxa"/>
            <w:vAlign w:val="bottom"/>
          </w:tcPr>
          <w:p>
            <w:pPr>
              <w:spacing w:after="0"/>
              <w:rPr>
                <w:sz w:val="18"/>
                <w:szCs w:val="18"/>
                <w:color w:val="auto"/>
              </w:rPr>
            </w:pPr>
          </w:p>
        </w:tc>
      </w:tr>
      <w:tr>
        <w:trPr>
          <w:trHeight w:val="214"/>
        </w:trPr>
        <w:tc>
          <w:tcPr>
            <w:tcW w:w="7280" w:type="dxa"/>
            <w:vAlign w:val="bottom"/>
            <w:shd w:val="clear" w:color="auto" w:fill="E5FFFF"/>
          </w:tcPr>
          <w:p>
            <w:pPr>
              <w:spacing w:after="0"/>
              <w:rPr>
                <w:sz w:val="20"/>
                <w:szCs w:val="20"/>
                <w:color w:val="auto"/>
              </w:rPr>
            </w:pPr>
            <w:r>
              <w:rPr>
                <w:rFonts w:ascii="Arial" w:cs="Arial" w:eastAsia="Arial" w:hAnsi="Arial"/>
                <w:sz w:val="17"/>
                <w:szCs w:val="17"/>
                <w:color w:val="auto"/>
              </w:rPr>
              <w:t>Financial costs</w:t>
            </w:r>
          </w:p>
        </w:tc>
        <w:tc>
          <w:tcPr>
            <w:tcW w:w="2460" w:type="dxa"/>
            <w:vAlign w:val="bottom"/>
            <w:gridSpan w:val="2"/>
            <w:shd w:val="clear" w:color="auto" w:fill="E5FFFF"/>
          </w:tcPr>
          <w:p>
            <w:pPr>
              <w:jc w:val="right"/>
              <w:ind w:right="300"/>
              <w:spacing w:after="0"/>
              <w:rPr>
                <w:sz w:val="20"/>
                <w:szCs w:val="20"/>
                <w:color w:val="auto"/>
              </w:rPr>
            </w:pPr>
            <w:r>
              <w:rPr>
                <w:rFonts w:ascii="Arial" w:cs="Arial" w:eastAsia="Arial" w:hAnsi="Arial"/>
                <w:sz w:val="17"/>
                <w:szCs w:val="17"/>
                <w:color w:val="auto"/>
              </w:rPr>
              <w:t>139,181</w:t>
            </w:r>
          </w:p>
        </w:tc>
        <w:tc>
          <w:tcPr>
            <w:tcW w:w="21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166,627</w:t>
            </w:r>
          </w:p>
        </w:tc>
        <w:tc>
          <w:tcPr>
            <w:tcW w:w="160" w:type="dxa"/>
            <w:vAlign w:val="bottom"/>
          </w:tcPr>
          <w:p>
            <w:pPr>
              <w:spacing w:after="0"/>
              <w:rPr>
                <w:sz w:val="18"/>
                <w:szCs w:val="18"/>
                <w:color w:val="auto"/>
              </w:rPr>
            </w:pPr>
          </w:p>
        </w:tc>
      </w:tr>
      <w:tr>
        <w:trPr>
          <w:trHeight w:val="214"/>
        </w:trPr>
        <w:tc>
          <w:tcPr>
            <w:tcW w:w="7280" w:type="dxa"/>
            <w:vAlign w:val="bottom"/>
          </w:tcPr>
          <w:p>
            <w:pPr>
              <w:spacing w:after="0"/>
              <w:rPr>
                <w:sz w:val="20"/>
                <w:szCs w:val="20"/>
                <w:color w:val="auto"/>
              </w:rPr>
            </w:pPr>
            <w:r>
              <w:rPr>
                <w:rFonts w:ascii="Arial" w:cs="Arial" w:eastAsia="Arial" w:hAnsi="Arial"/>
                <w:sz w:val="17"/>
                <w:szCs w:val="17"/>
                <w:color w:val="auto"/>
              </w:rPr>
              <w:t>Unrealized foreign exchange (gain)/loss on cash and cash equivalents</w:t>
            </w:r>
          </w:p>
        </w:tc>
        <w:tc>
          <w:tcPr>
            <w:tcW w:w="2460" w:type="dxa"/>
            <w:vAlign w:val="bottom"/>
            <w:gridSpan w:val="2"/>
          </w:tcPr>
          <w:p>
            <w:pPr>
              <w:jc w:val="right"/>
              <w:ind w:right="240"/>
              <w:spacing w:after="0"/>
              <w:rPr>
                <w:sz w:val="20"/>
                <w:szCs w:val="20"/>
                <w:color w:val="auto"/>
              </w:rPr>
            </w:pPr>
            <w:r>
              <w:rPr>
                <w:rFonts w:ascii="Arial" w:cs="Arial" w:eastAsia="Arial" w:hAnsi="Arial"/>
                <w:sz w:val="17"/>
                <w:szCs w:val="17"/>
                <w:color w:val="auto"/>
              </w:rPr>
              <w:t>(772)</w:t>
            </w:r>
          </w:p>
        </w:tc>
        <w:tc>
          <w:tcPr>
            <w:tcW w:w="2140" w:type="dxa"/>
            <w:vAlign w:val="bottom"/>
          </w:tcPr>
          <w:p>
            <w:pPr>
              <w:jc w:val="right"/>
              <w:spacing w:after="0"/>
              <w:rPr>
                <w:sz w:val="20"/>
                <w:szCs w:val="20"/>
                <w:color w:val="auto"/>
              </w:rPr>
            </w:pPr>
            <w:r>
              <w:rPr>
                <w:rFonts w:ascii="Arial" w:cs="Arial" w:eastAsia="Arial" w:hAnsi="Arial"/>
                <w:sz w:val="17"/>
                <w:szCs w:val="17"/>
                <w:color w:val="auto"/>
              </w:rPr>
              <w:t>329</w:t>
            </w:r>
          </w:p>
        </w:tc>
        <w:tc>
          <w:tcPr>
            <w:tcW w:w="160" w:type="dxa"/>
            <w:vAlign w:val="bottom"/>
          </w:tcPr>
          <w:p>
            <w:pPr>
              <w:spacing w:after="0"/>
              <w:rPr>
                <w:sz w:val="18"/>
                <w:szCs w:val="18"/>
                <w:color w:val="auto"/>
              </w:rPr>
            </w:pPr>
          </w:p>
        </w:tc>
      </w:tr>
      <w:tr>
        <w:trPr>
          <w:trHeight w:val="204"/>
        </w:trPr>
        <w:tc>
          <w:tcPr>
            <w:tcW w:w="7280" w:type="dxa"/>
            <w:vAlign w:val="bottom"/>
            <w:shd w:val="clear" w:color="auto" w:fill="E5FFFF"/>
          </w:tcPr>
          <w:p>
            <w:pPr>
              <w:spacing w:after="0"/>
              <w:rPr>
                <w:sz w:val="20"/>
                <w:szCs w:val="20"/>
                <w:color w:val="auto"/>
              </w:rPr>
            </w:pPr>
            <w:r>
              <w:rPr>
                <w:rFonts w:ascii="Arial" w:cs="Arial" w:eastAsia="Arial" w:hAnsi="Arial"/>
                <w:sz w:val="17"/>
                <w:szCs w:val="17"/>
                <w:color w:val="auto"/>
              </w:rPr>
              <w:t>Unrealized (gain)/loss on derivative financial instruments held for trading, including ineffective</w:t>
            </w:r>
          </w:p>
        </w:tc>
        <w:tc>
          <w:tcPr>
            <w:tcW w:w="21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2140" w:type="dxa"/>
            <w:vAlign w:val="bottom"/>
            <w:shd w:val="clear" w:color="auto" w:fill="E5FFFF"/>
          </w:tcPr>
          <w:p>
            <w:pPr>
              <w:spacing w:after="0"/>
              <w:rPr>
                <w:sz w:val="17"/>
                <w:szCs w:val="17"/>
                <w:color w:val="auto"/>
              </w:rPr>
            </w:pPr>
          </w:p>
        </w:tc>
        <w:tc>
          <w:tcPr>
            <w:tcW w:w="160" w:type="dxa"/>
            <w:vAlign w:val="bottom"/>
          </w:tcPr>
          <w:p>
            <w:pPr>
              <w:spacing w:after="0"/>
              <w:rPr>
                <w:sz w:val="17"/>
                <w:szCs w:val="17"/>
                <w:color w:val="auto"/>
              </w:rPr>
            </w:pPr>
          </w:p>
        </w:tc>
      </w:tr>
      <w:tr>
        <w:trPr>
          <w:trHeight w:val="224"/>
        </w:trPr>
        <w:tc>
          <w:tcPr>
            <w:tcW w:w="7280" w:type="dxa"/>
            <w:vAlign w:val="bottom"/>
            <w:shd w:val="clear" w:color="auto" w:fill="E5FFFF"/>
          </w:tcPr>
          <w:p>
            <w:pPr>
              <w:ind w:left="180"/>
              <w:spacing w:after="0"/>
              <w:rPr>
                <w:sz w:val="20"/>
                <w:szCs w:val="20"/>
                <w:color w:val="auto"/>
              </w:rPr>
            </w:pPr>
            <w:r>
              <w:rPr>
                <w:rFonts w:ascii="Arial" w:cs="Arial" w:eastAsia="Arial" w:hAnsi="Arial"/>
                <w:sz w:val="17"/>
                <w:szCs w:val="17"/>
                <w:color w:val="auto"/>
              </w:rPr>
              <w:t>portion of cash flow hedges</w:t>
            </w:r>
          </w:p>
        </w:tc>
        <w:tc>
          <w:tcPr>
            <w:tcW w:w="2460" w:type="dxa"/>
            <w:vAlign w:val="bottom"/>
            <w:gridSpan w:val="2"/>
            <w:shd w:val="clear" w:color="auto" w:fill="E5FFFF"/>
          </w:tcPr>
          <w:p>
            <w:pPr>
              <w:jc w:val="right"/>
              <w:ind w:right="240"/>
              <w:spacing w:after="0"/>
              <w:rPr>
                <w:sz w:val="20"/>
                <w:szCs w:val="20"/>
                <w:color w:val="auto"/>
              </w:rPr>
            </w:pPr>
            <w:r>
              <w:rPr>
                <w:rFonts w:ascii="Arial" w:cs="Arial" w:eastAsia="Arial" w:hAnsi="Arial"/>
                <w:sz w:val="17"/>
                <w:szCs w:val="17"/>
                <w:color w:val="auto"/>
              </w:rPr>
              <w:t>(10,505)</w:t>
            </w:r>
          </w:p>
        </w:tc>
        <w:tc>
          <w:tcPr>
            <w:tcW w:w="21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8,211</w:t>
            </w:r>
          </w:p>
        </w:tc>
        <w:tc>
          <w:tcPr>
            <w:tcW w:w="160" w:type="dxa"/>
            <w:vAlign w:val="bottom"/>
          </w:tcPr>
          <w:p>
            <w:pPr>
              <w:spacing w:after="0"/>
              <w:rPr>
                <w:sz w:val="19"/>
                <w:szCs w:val="19"/>
                <w:color w:val="auto"/>
              </w:rPr>
            </w:pPr>
          </w:p>
        </w:tc>
      </w:tr>
      <w:tr>
        <w:trPr>
          <w:trHeight w:val="204"/>
        </w:trPr>
        <w:tc>
          <w:tcPr>
            <w:tcW w:w="7280" w:type="dxa"/>
            <w:vAlign w:val="bottom"/>
          </w:tcPr>
          <w:p>
            <w:pPr>
              <w:spacing w:after="0"/>
              <w:rPr>
                <w:sz w:val="20"/>
                <w:szCs w:val="20"/>
                <w:color w:val="auto"/>
              </w:rPr>
            </w:pPr>
            <w:r>
              <w:rPr>
                <w:rFonts w:ascii="Arial" w:cs="Arial" w:eastAsia="Arial" w:hAnsi="Arial"/>
                <w:sz w:val="17"/>
                <w:szCs w:val="17"/>
                <w:color w:val="auto"/>
              </w:rPr>
              <w:t>Recycled loss of cash flow hedges reclassified to profit or loss</w:t>
            </w:r>
          </w:p>
        </w:tc>
        <w:tc>
          <w:tcPr>
            <w:tcW w:w="2460" w:type="dxa"/>
            <w:vAlign w:val="bottom"/>
            <w:gridSpan w:val="2"/>
          </w:tcPr>
          <w:p>
            <w:pPr>
              <w:jc w:val="right"/>
              <w:ind w:right="300"/>
              <w:spacing w:after="0"/>
              <w:rPr>
                <w:sz w:val="20"/>
                <w:szCs w:val="20"/>
                <w:color w:val="auto"/>
              </w:rPr>
            </w:pPr>
            <w:r>
              <w:rPr>
                <w:rFonts w:ascii="Arial" w:cs="Arial" w:eastAsia="Arial" w:hAnsi="Arial"/>
                <w:sz w:val="17"/>
                <w:szCs w:val="17"/>
                <w:color w:val="auto"/>
              </w:rPr>
              <w:t>4,368</w:t>
            </w:r>
          </w:p>
        </w:tc>
        <w:tc>
          <w:tcPr>
            <w:tcW w:w="21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7"/>
                <w:szCs w:val="17"/>
                <w:color w:val="auto"/>
              </w:rPr>
              <w:t>Non-cash defined benefit obligations</w:t>
            </w:r>
          </w:p>
        </w:tc>
        <w:tc>
          <w:tcPr>
            <w:tcW w:w="24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300" w:type="dxa"/>
            <w:vAlign w:val="bottom"/>
            <w:gridSpan w:val="2"/>
          </w:tcPr>
          <w:p>
            <w:pPr>
              <w:jc w:val="right"/>
              <w:ind w:right="100"/>
              <w:spacing w:after="0"/>
              <w:rPr>
                <w:sz w:val="20"/>
                <w:szCs w:val="20"/>
                <w:color w:val="auto"/>
              </w:rPr>
            </w:pPr>
            <w:r>
              <w:rPr>
                <w:rFonts w:ascii="Arial" w:cs="Arial" w:eastAsia="Arial" w:hAnsi="Arial"/>
                <w:sz w:val="17"/>
                <w:szCs w:val="17"/>
                <w:color w:val="auto"/>
              </w:rPr>
              <w:t>(51)</w:t>
            </w:r>
          </w:p>
        </w:tc>
      </w:tr>
      <w:tr>
        <w:trPr>
          <w:trHeight w:val="221"/>
        </w:trPr>
        <w:tc>
          <w:tcPr>
            <w:tcW w:w="7280" w:type="dxa"/>
            <w:vAlign w:val="bottom"/>
            <w:shd w:val="clear" w:color="auto" w:fill="E5FFFF"/>
          </w:tcPr>
          <w:p>
            <w:pPr>
              <w:spacing w:after="0"/>
              <w:rPr>
                <w:sz w:val="20"/>
                <w:szCs w:val="20"/>
                <w:color w:val="auto"/>
              </w:rPr>
            </w:pPr>
            <w:r>
              <w:rPr>
                <w:rFonts w:ascii="Arial" w:cs="Arial" w:eastAsia="Arial" w:hAnsi="Arial"/>
                <w:sz w:val="17"/>
                <w:szCs w:val="17"/>
                <w:color w:val="auto"/>
              </w:rPr>
              <w:t>Share-based compensation</w:t>
            </w:r>
          </w:p>
        </w:tc>
        <w:tc>
          <w:tcPr>
            <w:tcW w:w="2460" w:type="dxa"/>
            <w:vAlign w:val="bottom"/>
            <w:gridSpan w:val="2"/>
            <w:shd w:val="clear" w:color="auto" w:fill="E5FFFF"/>
          </w:tcPr>
          <w:p>
            <w:pPr>
              <w:jc w:val="right"/>
              <w:ind w:right="300"/>
              <w:spacing w:after="0"/>
              <w:rPr>
                <w:sz w:val="20"/>
                <w:szCs w:val="20"/>
                <w:color w:val="auto"/>
              </w:rPr>
            </w:pPr>
            <w:r>
              <w:rPr>
                <w:rFonts w:ascii="Arial" w:cs="Arial" w:eastAsia="Arial" w:hAnsi="Arial"/>
                <w:sz w:val="17"/>
                <w:szCs w:val="17"/>
                <w:color w:val="auto"/>
              </w:rPr>
              <w:t>4,565</w:t>
            </w:r>
          </w:p>
        </w:tc>
        <w:tc>
          <w:tcPr>
            <w:tcW w:w="21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5,216</w:t>
            </w:r>
          </w:p>
        </w:tc>
        <w:tc>
          <w:tcPr>
            <w:tcW w:w="160" w:type="dxa"/>
            <w:vAlign w:val="bottom"/>
          </w:tcPr>
          <w:p>
            <w:pPr>
              <w:spacing w:after="0"/>
              <w:rPr>
                <w:sz w:val="19"/>
                <w:szCs w:val="19"/>
                <w:color w:val="auto"/>
              </w:rPr>
            </w:pPr>
          </w:p>
        </w:tc>
      </w:tr>
      <w:tr>
        <w:trPr>
          <w:trHeight w:val="208"/>
        </w:trPr>
        <w:tc>
          <w:tcPr>
            <w:tcW w:w="7280" w:type="dxa"/>
            <w:vAlign w:val="bottom"/>
            <w:tcBorders>
              <w:bottom w:val="single" w:sz="8" w:color="E5FFFF"/>
            </w:tcBorders>
          </w:tcPr>
          <w:p>
            <w:pPr>
              <w:spacing w:after="0"/>
              <w:rPr>
                <w:sz w:val="18"/>
                <w:szCs w:val="18"/>
                <w:color w:val="auto"/>
              </w:rPr>
            </w:pPr>
          </w:p>
        </w:tc>
        <w:tc>
          <w:tcPr>
            <w:tcW w:w="2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354,424</w:t>
            </w:r>
          </w:p>
        </w:tc>
        <w:tc>
          <w:tcPr>
            <w:tcW w:w="300" w:type="dxa"/>
            <w:vAlign w:val="bottom"/>
            <w:tcBorders>
              <w:bottom w:val="single" w:sz="8" w:color="E5FFFF"/>
            </w:tcBorders>
          </w:tcPr>
          <w:p>
            <w:pPr>
              <w:spacing w:after="0"/>
              <w:rPr>
                <w:sz w:val="18"/>
                <w:szCs w:val="18"/>
                <w:color w:val="auto"/>
              </w:rPr>
            </w:pPr>
          </w:p>
        </w:tc>
        <w:tc>
          <w:tcPr>
            <w:tcW w:w="2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453,339</w:t>
            </w:r>
          </w:p>
        </w:tc>
        <w:tc>
          <w:tcPr>
            <w:tcW w:w="160" w:type="dxa"/>
            <w:vAlign w:val="bottom"/>
          </w:tcPr>
          <w:p>
            <w:pPr>
              <w:spacing w:after="0"/>
              <w:rPr>
                <w:sz w:val="18"/>
                <w:szCs w:val="18"/>
                <w:color w:val="auto"/>
              </w:rPr>
            </w:pPr>
          </w:p>
        </w:tc>
      </w:tr>
      <w:tr>
        <w:trPr>
          <w:trHeight w:val="208"/>
        </w:trPr>
        <w:tc>
          <w:tcPr>
            <w:tcW w:w="7280" w:type="dxa"/>
            <w:vAlign w:val="bottom"/>
            <w:shd w:val="clear" w:color="auto" w:fill="E5FFFF"/>
          </w:tcPr>
          <w:p>
            <w:pPr>
              <w:spacing w:after="0"/>
              <w:rPr>
                <w:sz w:val="20"/>
                <w:szCs w:val="20"/>
                <w:color w:val="auto"/>
              </w:rPr>
            </w:pPr>
            <w:r>
              <w:rPr>
                <w:rFonts w:ascii="Arial" w:cs="Arial" w:eastAsia="Arial" w:hAnsi="Arial"/>
                <w:sz w:val="17"/>
                <w:szCs w:val="17"/>
                <w:color w:val="auto"/>
              </w:rPr>
              <w:t>Movements in working capital</w:t>
            </w:r>
          </w:p>
        </w:tc>
        <w:tc>
          <w:tcPr>
            <w:tcW w:w="2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(4,163)</w:t>
            </w:r>
          </w:p>
        </w:tc>
        <w:tc>
          <w:tcPr>
            <w:tcW w:w="300" w:type="dxa"/>
            <w:vAlign w:val="bottom"/>
            <w:shd w:val="clear" w:color="auto" w:fill="E5FFFF"/>
          </w:tcPr>
          <w:p>
            <w:pPr>
              <w:spacing w:after="0"/>
              <w:rPr>
                <w:sz w:val="18"/>
                <w:szCs w:val="18"/>
                <w:color w:val="auto"/>
              </w:rPr>
            </w:pPr>
          </w:p>
        </w:tc>
        <w:tc>
          <w:tcPr>
            <w:tcW w:w="2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(27,708)</w:t>
            </w:r>
          </w:p>
        </w:tc>
        <w:tc>
          <w:tcPr>
            <w:tcW w:w="160" w:type="dxa"/>
            <w:vAlign w:val="bottom"/>
          </w:tcPr>
          <w:p>
            <w:pPr>
              <w:spacing w:after="0"/>
              <w:rPr>
                <w:sz w:val="18"/>
                <w:szCs w:val="18"/>
                <w:color w:val="auto"/>
              </w:rPr>
            </w:pPr>
          </w:p>
        </w:tc>
      </w:tr>
      <w:tr>
        <w:trPr>
          <w:trHeight w:val="208"/>
        </w:trPr>
        <w:tc>
          <w:tcPr>
            <w:tcW w:w="7280" w:type="dxa"/>
            <w:vAlign w:val="bottom"/>
            <w:tcBorders>
              <w:bottom w:val="single" w:sz="8" w:color="E5FFFF"/>
            </w:tcBorders>
          </w:tcPr>
          <w:p>
            <w:pPr>
              <w:spacing w:after="0"/>
              <w:rPr>
                <w:sz w:val="20"/>
                <w:szCs w:val="20"/>
                <w:color w:val="auto"/>
              </w:rPr>
            </w:pPr>
            <w:r>
              <w:rPr>
                <w:rFonts w:ascii="Arial" w:cs="Arial" w:eastAsia="Arial" w:hAnsi="Arial"/>
                <w:sz w:val="17"/>
                <w:szCs w:val="17"/>
                <w:b w:val="1"/>
                <w:bCs w:val="1"/>
                <w:color w:val="auto"/>
              </w:rPr>
              <w:t>Cash provided by operations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350,261</w:t>
            </w:r>
          </w:p>
        </w:tc>
        <w:tc>
          <w:tcPr>
            <w:tcW w:w="300" w:type="dxa"/>
            <w:vAlign w:val="bottom"/>
            <w:tcBorders>
              <w:bottom w:val="single" w:sz="8" w:color="E5FFFF"/>
            </w:tcBorders>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425,631</w:t>
            </w:r>
          </w:p>
        </w:tc>
        <w:tc>
          <w:tcPr>
            <w:tcW w:w="160" w:type="dxa"/>
            <w:vAlign w:val="bottom"/>
          </w:tcPr>
          <w:p>
            <w:pPr>
              <w:spacing w:after="0"/>
              <w:rPr>
                <w:sz w:val="18"/>
                <w:szCs w:val="18"/>
                <w:color w:val="auto"/>
              </w:rPr>
            </w:pPr>
          </w:p>
        </w:tc>
      </w:tr>
      <w:tr>
        <w:trPr>
          <w:trHeight w:val="208"/>
        </w:trPr>
        <w:tc>
          <w:tcPr>
            <w:tcW w:w="7280" w:type="dxa"/>
            <w:vAlign w:val="bottom"/>
            <w:shd w:val="clear" w:color="auto" w:fill="E5FFFF"/>
          </w:tcPr>
          <w:p>
            <w:pPr>
              <w:spacing w:after="0"/>
              <w:rPr>
                <w:sz w:val="20"/>
                <w:szCs w:val="20"/>
                <w:color w:val="auto"/>
              </w:rPr>
            </w:pPr>
            <w:r>
              <w:rPr>
                <w:rFonts w:ascii="Arial" w:cs="Arial" w:eastAsia="Arial" w:hAnsi="Arial"/>
                <w:sz w:val="17"/>
                <w:szCs w:val="17"/>
                <w:color w:val="auto"/>
              </w:rPr>
              <w:t>Interest paid</w:t>
            </w:r>
          </w:p>
        </w:tc>
        <w:tc>
          <w:tcPr>
            <w:tcW w:w="2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(126,631)</w:t>
            </w:r>
          </w:p>
        </w:tc>
        <w:tc>
          <w:tcPr>
            <w:tcW w:w="300" w:type="dxa"/>
            <w:vAlign w:val="bottom"/>
            <w:shd w:val="clear" w:color="auto" w:fill="E5FFFF"/>
          </w:tcPr>
          <w:p>
            <w:pPr>
              <w:spacing w:after="0"/>
              <w:rPr>
                <w:sz w:val="18"/>
                <w:szCs w:val="18"/>
                <w:color w:val="auto"/>
              </w:rPr>
            </w:pPr>
          </w:p>
        </w:tc>
        <w:tc>
          <w:tcPr>
            <w:tcW w:w="2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(141,921)</w:t>
            </w:r>
          </w:p>
        </w:tc>
        <w:tc>
          <w:tcPr>
            <w:tcW w:w="160" w:type="dxa"/>
            <w:vAlign w:val="bottom"/>
          </w:tcPr>
          <w:p>
            <w:pPr>
              <w:spacing w:after="0"/>
              <w:rPr>
                <w:sz w:val="18"/>
                <w:szCs w:val="18"/>
                <w:color w:val="auto"/>
              </w:rPr>
            </w:pPr>
          </w:p>
        </w:tc>
      </w:tr>
      <w:tr>
        <w:trPr>
          <w:trHeight w:val="208"/>
        </w:trPr>
        <w:tc>
          <w:tcPr>
            <w:tcW w:w="7280" w:type="dxa"/>
            <w:vAlign w:val="bottom"/>
            <w:tcBorders>
              <w:bottom w:val="single" w:sz="8" w:color="E5FFFF"/>
            </w:tcBorders>
          </w:tcPr>
          <w:p>
            <w:pPr>
              <w:spacing w:after="0"/>
              <w:rPr>
                <w:sz w:val="20"/>
                <w:szCs w:val="20"/>
                <w:color w:val="auto"/>
              </w:rPr>
            </w:pPr>
            <w:r>
              <w:rPr>
                <w:rFonts w:ascii="Arial" w:cs="Arial" w:eastAsia="Arial" w:hAnsi="Arial"/>
                <w:sz w:val="17"/>
                <w:szCs w:val="17"/>
                <w:b w:val="1"/>
                <w:bCs w:val="1"/>
                <w:color w:val="auto"/>
              </w:rPr>
              <w:t>Net cash provided by operating activities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223,630</w:t>
            </w:r>
          </w:p>
        </w:tc>
        <w:tc>
          <w:tcPr>
            <w:tcW w:w="300" w:type="dxa"/>
            <w:vAlign w:val="bottom"/>
            <w:tcBorders>
              <w:bottom w:val="single" w:sz="8" w:color="E5FFFF"/>
            </w:tcBorders>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283,710</w:t>
            </w:r>
          </w:p>
        </w:tc>
        <w:tc>
          <w:tcPr>
            <w:tcW w:w="160" w:type="dxa"/>
            <w:vAlign w:val="bottom"/>
          </w:tcPr>
          <w:p>
            <w:pPr>
              <w:spacing w:after="0"/>
              <w:rPr>
                <w:sz w:val="18"/>
                <w:szCs w:val="18"/>
                <w:color w:val="auto"/>
              </w:rPr>
            </w:pPr>
          </w:p>
        </w:tc>
      </w:tr>
      <w:tr>
        <w:trPr>
          <w:trHeight w:val="194"/>
        </w:trPr>
        <w:tc>
          <w:tcPr>
            <w:tcW w:w="7280" w:type="dxa"/>
            <w:vAlign w:val="bottom"/>
            <w:shd w:val="clear" w:color="auto" w:fill="E5FFFF"/>
          </w:tcPr>
          <w:p>
            <w:pPr>
              <w:spacing w:after="0" w:line="194" w:lineRule="exact"/>
              <w:rPr>
                <w:sz w:val="20"/>
                <w:szCs w:val="20"/>
                <w:color w:val="auto"/>
              </w:rPr>
            </w:pPr>
            <w:r>
              <w:rPr>
                <w:rFonts w:ascii="Arial" w:cs="Arial" w:eastAsia="Arial" w:hAnsi="Arial"/>
                <w:sz w:val="17"/>
                <w:szCs w:val="17"/>
                <w:b w:val="1"/>
                <w:bCs w:val="1"/>
                <w:color w:val="auto"/>
              </w:rPr>
              <w:t>Cash flows from investing activities:</w:t>
            </w:r>
          </w:p>
        </w:tc>
        <w:tc>
          <w:tcPr>
            <w:tcW w:w="2160" w:type="dxa"/>
            <w:vAlign w:val="bottom"/>
            <w:shd w:val="clear" w:color="auto" w:fill="E5FFFF"/>
          </w:tcPr>
          <w:p>
            <w:pPr>
              <w:spacing w:after="0"/>
              <w:rPr>
                <w:sz w:val="16"/>
                <w:szCs w:val="16"/>
                <w:color w:val="auto"/>
              </w:rPr>
            </w:pPr>
          </w:p>
        </w:tc>
        <w:tc>
          <w:tcPr>
            <w:tcW w:w="300" w:type="dxa"/>
            <w:vAlign w:val="bottom"/>
            <w:shd w:val="clear" w:color="auto" w:fill="E5FFFF"/>
          </w:tcPr>
          <w:p>
            <w:pPr>
              <w:spacing w:after="0"/>
              <w:rPr>
                <w:sz w:val="16"/>
                <w:szCs w:val="16"/>
                <w:color w:val="auto"/>
              </w:rPr>
            </w:pPr>
          </w:p>
        </w:tc>
        <w:tc>
          <w:tcPr>
            <w:tcW w:w="2140" w:type="dxa"/>
            <w:vAlign w:val="bottom"/>
            <w:shd w:val="clear" w:color="auto" w:fill="E5FFFF"/>
          </w:tcPr>
          <w:p>
            <w:pPr>
              <w:spacing w:after="0"/>
              <w:rPr>
                <w:sz w:val="16"/>
                <w:szCs w:val="16"/>
                <w:color w:val="auto"/>
              </w:rPr>
            </w:pPr>
          </w:p>
        </w:tc>
        <w:tc>
          <w:tcPr>
            <w:tcW w:w="160" w:type="dxa"/>
            <w:vAlign w:val="bottom"/>
          </w:tcPr>
          <w:p>
            <w:pPr>
              <w:spacing w:after="0"/>
              <w:rPr>
                <w:sz w:val="16"/>
                <w:szCs w:val="16"/>
                <w:color w:val="auto"/>
              </w:rPr>
            </w:pPr>
          </w:p>
        </w:tc>
      </w:tr>
      <w:tr>
        <w:trPr>
          <w:trHeight w:val="214"/>
        </w:trPr>
        <w:tc>
          <w:tcPr>
            <w:tcW w:w="7280" w:type="dxa"/>
            <w:vAlign w:val="bottom"/>
          </w:tcPr>
          <w:p>
            <w:pPr>
              <w:spacing w:after="0"/>
              <w:rPr>
                <w:sz w:val="20"/>
                <w:szCs w:val="20"/>
                <w:color w:val="auto"/>
              </w:rPr>
            </w:pPr>
            <w:r>
              <w:rPr>
                <w:rFonts w:ascii="Arial" w:cs="Arial" w:eastAsia="Arial" w:hAnsi="Arial"/>
                <w:sz w:val="17"/>
                <w:szCs w:val="17"/>
                <w:color w:val="auto"/>
                <w:w w:val="97"/>
              </w:rPr>
              <w:t>Payments for tangible fixed assets, vessels under construction and vessel held under finance lease</w:t>
            </w:r>
          </w:p>
        </w:tc>
        <w:tc>
          <w:tcPr>
            <w:tcW w:w="2460" w:type="dxa"/>
            <w:vAlign w:val="bottom"/>
            <w:gridSpan w:val="2"/>
          </w:tcPr>
          <w:p>
            <w:pPr>
              <w:jc w:val="right"/>
              <w:ind w:right="240"/>
              <w:spacing w:after="0"/>
              <w:rPr>
                <w:sz w:val="20"/>
                <w:szCs w:val="20"/>
                <w:color w:val="auto"/>
              </w:rPr>
            </w:pPr>
            <w:r>
              <w:rPr>
                <w:rFonts w:ascii="Arial" w:cs="Arial" w:eastAsia="Arial" w:hAnsi="Arial"/>
                <w:sz w:val="17"/>
                <w:szCs w:val="17"/>
                <w:color w:val="auto"/>
              </w:rPr>
              <w:t>(82,352)</w:t>
            </w:r>
          </w:p>
        </w:tc>
        <w:tc>
          <w:tcPr>
            <w:tcW w:w="2140" w:type="dxa"/>
            <w:vAlign w:val="bottom"/>
          </w:tcPr>
          <w:p>
            <w:pPr>
              <w:jc w:val="right"/>
              <w:spacing w:after="0"/>
              <w:rPr>
                <w:sz w:val="20"/>
                <w:szCs w:val="20"/>
                <w:color w:val="auto"/>
              </w:rPr>
            </w:pPr>
            <w:r>
              <w:rPr>
                <w:rFonts w:ascii="Arial" w:cs="Arial" w:eastAsia="Arial" w:hAnsi="Arial"/>
                <w:sz w:val="17"/>
                <w:szCs w:val="17"/>
                <w:color w:val="auto"/>
              </w:rPr>
              <w:t>(673,823)</w:t>
            </w:r>
          </w:p>
        </w:tc>
        <w:tc>
          <w:tcPr>
            <w:tcW w:w="160" w:type="dxa"/>
            <w:vAlign w:val="bottom"/>
          </w:tcPr>
          <w:p>
            <w:pPr>
              <w:spacing w:after="0"/>
              <w:rPr>
                <w:sz w:val="18"/>
                <w:szCs w:val="18"/>
                <w:color w:val="auto"/>
              </w:rPr>
            </w:pPr>
          </w:p>
        </w:tc>
      </w:tr>
      <w:tr>
        <w:trPr>
          <w:trHeight w:val="214"/>
        </w:trPr>
        <w:tc>
          <w:tcPr>
            <w:tcW w:w="7280" w:type="dxa"/>
            <w:vAlign w:val="bottom"/>
            <w:shd w:val="clear" w:color="auto" w:fill="E5FFFF"/>
          </w:tcPr>
          <w:p>
            <w:pPr>
              <w:spacing w:after="0"/>
              <w:rPr>
                <w:sz w:val="20"/>
                <w:szCs w:val="20"/>
                <w:color w:val="auto"/>
              </w:rPr>
            </w:pPr>
            <w:r>
              <w:rPr>
                <w:rFonts w:ascii="Arial" w:cs="Arial" w:eastAsia="Arial" w:hAnsi="Arial"/>
                <w:sz w:val="17"/>
                <w:szCs w:val="17"/>
                <w:color w:val="auto"/>
              </w:rPr>
              <w:t>Dividends received from associate</w:t>
            </w:r>
          </w:p>
        </w:tc>
        <w:tc>
          <w:tcPr>
            <w:tcW w:w="2460" w:type="dxa"/>
            <w:vAlign w:val="bottom"/>
            <w:gridSpan w:val="2"/>
            <w:shd w:val="clear" w:color="auto" w:fill="E5FFFF"/>
          </w:tcPr>
          <w:p>
            <w:pPr>
              <w:jc w:val="right"/>
              <w:ind w:right="300"/>
              <w:spacing w:after="0"/>
              <w:rPr>
                <w:sz w:val="20"/>
                <w:szCs w:val="20"/>
                <w:color w:val="auto"/>
              </w:rPr>
            </w:pPr>
            <w:r>
              <w:rPr>
                <w:rFonts w:ascii="Arial" w:cs="Arial" w:eastAsia="Arial" w:hAnsi="Arial"/>
                <w:sz w:val="17"/>
                <w:szCs w:val="17"/>
                <w:color w:val="auto"/>
              </w:rPr>
              <w:t>1,315</w:t>
            </w:r>
          </w:p>
        </w:tc>
        <w:tc>
          <w:tcPr>
            <w:tcW w:w="21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1,263</w:t>
            </w:r>
          </w:p>
        </w:tc>
        <w:tc>
          <w:tcPr>
            <w:tcW w:w="160" w:type="dxa"/>
            <w:vAlign w:val="bottom"/>
          </w:tcPr>
          <w:p>
            <w:pPr>
              <w:spacing w:after="0"/>
              <w:rPr>
                <w:sz w:val="18"/>
                <w:szCs w:val="18"/>
                <w:color w:val="auto"/>
              </w:rPr>
            </w:pPr>
          </w:p>
        </w:tc>
      </w:tr>
      <w:tr>
        <w:trPr>
          <w:trHeight w:val="214"/>
        </w:trPr>
        <w:tc>
          <w:tcPr>
            <w:tcW w:w="7280" w:type="dxa"/>
            <w:vAlign w:val="bottom"/>
          </w:tcPr>
          <w:p>
            <w:pPr>
              <w:spacing w:after="0"/>
              <w:rPr>
                <w:sz w:val="20"/>
                <w:szCs w:val="20"/>
                <w:color w:val="auto"/>
              </w:rPr>
            </w:pPr>
            <w:r>
              <w:rPr>
                <w:rFonts w:ascii="Arial" w:cs="Arial" w:eastAsia="Arial" w:hAnsi="Arial"/>
                <w:sz w:val="17"/>
                <w:szCs w:val="17"/>
                <w:color w:val="auto"/>
              </w:rPr>
              <w:t>Return of contributed capital from associate</w:t>
            </w:r>
          </w:p>
        </w:tc>
        <w:tc>
          <w:tcPr>
            <w:tcW w:w="2460" w:type="dxa"/>
            <w:vAlign w:val="bottom"/>
            <w:gridSpan w:val="2"/>
          </w:tcPr>
          <w:p>
            <w:pPr>
              <w:jc w:val="right"/>
              <w:ind w:right="300"/>
              <w:spacing w:after="0"/>
              <w:rPr>
                <w:sz w:val="20"/>
                <w:szCs w:val="20"/>
                <w:color w:val="auto"/>
              </w:rPr>
            </w:pPr>
            <w:r>
              <w:rPr>
                <w:rFonts w:ascii="Arial" w:cs="Arial" w:eastAsia="Arial" w:hAnsi="Arial"/>
                <w:sz w:val="17"/>
                <w:szCs w:val="17"/>
                <w:color w:val="auto"/>
              </w:rPr>
              <w:t>59</w:t>
            </w:r>
          </w:p>
        </w:tc>
        <w:tc>
          <w:tcPr>
            <w:tcW w:w="21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r>
      <w:tr>
        <w:trPr>
          <w:trHeight w:val="214"/>
        </w:trPr>
        <w:tc>
          <w:tcPr>
            <w:tcW w:w="7280" w:type="dxa"/>
            <w:vAlign w:val="bottom"/>
            <w:shd w:val="clear" w:color="auto" w:fill="E5FFFF"/>
          </w:tcPr>
          <w:p>
            <w:pPr>
              <w:spacing w:after="0"/>
              <w:rPr>
                <w:sz w:val="20"/>
                <w:szCs w:val="20"/>
                <w:color w:val="auto"/>
              </w:rPr>
            </w:pPr>
            <w:r>
              <w:rPr>
                <w:rFonts w:ascii="Arial" w:cs="Arial" w:eastAsia="Arial" w:hAnsi="Arial"/>
                <w:sz w:val="17"/>
                <w:szCs w:val="17"/>
                <w:color w:val="auto"/>
              </w:rPr>
              <w:t>Other investments</w:t>
            </w:r>
          </w:p>
        </w:tc>
        <w:tc>
          <w:tcPr>
            <w:tcW w:w="2460" w:type="dxa"/>
            <w:vAlign w:val="bottom"/>
            <w:gridSpan w:val="2"/>
            <w:shd w:val="clear" w:color="auto" w:fill="E5FFFF"/>
          </w:tcPr>
          <w:p>
            <w:pPr>
              <w:jc w:val="right"/>
              <w:ind w:right="240"/>
              <w:spacing w:after="0"/>
              <w:rPr>
                <w:sz w:val="20"/>
                <w:szCs w:val="20"/>
                <w:color w:val="auto"/>
              </w:rPr>
            </w:pPr>
            <w:r>
              <w:rPr>
                <w:rFonts w:ascii="Arial" w:cs="Arial" w:eastAsia="Arial" w:hAnsi="Arial"/>
                <w:sz w:val="17"/>
                <w:szCs w:val="17"/>
                <w:color w:val="auto"/>
              </w:rPr>
              <w:t>(14,125)</w:t>
            </w:r>
          </w:p>
        </w:tc>
        <w:tc>
          <w:tcPr>
            <w:tcW w:w="21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(136)</w:t>
            </w:r>
          </w:p>
        </w:tc>
        <w:tc>
          <w:tcPr>
            <w:tcW w:w="160" w:type="dxa"/>
            <w:vAlign w:val="bottom"/>
          </w:tcPr>
          <w:p>
            <w:pPr>
              <w:spacing w:after="0"/>
              <w:rPr>
                <w:sz w:val="18"/>
                <w:szCs w:val="18"/>
                <w:color w:val="auto"/>
              </w:rPr>
            </w:pPr>
          </w:p>
        </w:tc>
      </w:tr>
      <w:tr>
        <w:trPr>
          <w:trHeight w:val="214"/>
        </w:trPr>
        <w:tc>
          <w:tcPr>
            <w:tcW w:w="7280" w:type="dxa"/>
            <w:vAlign w:val="bottom"/>
          </w:tcPr>
          <w:p>
            <w:pPr>
              <w:spacing w:after="0"/>
              <w:rPr>
                <w:sz w:val="20"/>
                <w:szCs w:val="20"/>
                <w:color w:val="auto"/>
              </w:rPr>
            </w:pPr>
            <w:r>
              <w:rPr>
                <w:rFonts w:ascii="Arial" w:cs="Arial" w:eastAsia="Arial" w:hAnsi="Arial"/>
                <w:sz w:val="17"/>
                <w:szCs w:val="17"/>
                <w:color w:val="auto"/>
              </w:rPr>
              <w:t>Purchase of short-term investments</w:t>
            </w:r>
          </w:p>
        </w:tc>
        <w:tc>
          <w:tcPr>
            <w:tcW w:w="2460" w:type="dxa"/>
            <w:vAlign w:val="bottom"/>
            <w:gridSpan w:val="2"/>
          </w:tcPr>
          <w:p>
            <w:pPr>
              <w:jc w:val="right"/>
              <w:ind w:right="240"/>
              <w:spacing w:after="0"/>
              <w:rPr>
                <w:sz w:val="20"/>
                <w:szCs w:val="20"/>
                <w:color w:val="auto"/>
              </w:rPr>
            </w:pPr>
            <w:r>
              <w:rPr>
                <w:rFonts w:ascii="Arial" w:cs="Arial" w:eastAsia="Arial" w:hAnsi="Arial"/>
                <w:sz w:val="17"/>
                <w:szCs w:val="17"/>
                <w:color w:val="auto"/>
              </w:rPr>
              <w:t>(37,244)</w:t>
            </w:r>
          </w:p>
        </w:tc>
        <w:tc>
          <w:tcPr>
            <w:tcW w:w="2140" w:type="dxa"/>
            <w:vAlign w:val="bottom"/>
          </w:tcPr>
          <w:p>
            <w:pPr>
              <w:jc w:val="right"/>
              <w:spacing w:after="0"/>
              <w:rPr>
                <w:sz w:val="20"/>
                <w:szCs w:val="20"/>
                <w:color w:val="auto"/>
              </w:rPr>
            </w:pPr>
            <w:r>
              <w:rPr>
                <w:rFonts w:ascii="Arial" w:cs="Arial" w:eastAsia="Arial" w:hAnsi="Arial"/>
                <w:sz w:val="17"/>
                <w:szCs w:val="17"/>
                <w:color w:val="auto"/>
              </w:rPr>
              <w:t>(71,000)</w:t>
            </w:r>
          </w:p>
        </w:tc>
        <w:tc>
          <w:tcPr>
            <w:tcW w:w="160" w:type="dxa"/>
            <w:vAlign w:val="bottom"/>
          </w:tcPr>
          <w:p>
            <w:pPr>
              <w:spacing w:after="0"/>
              <w:rPr>
                <w:sz w:val="18"/>
                <w:szCs w:val="18"/>
                <w:color w:val="auto"/>
              </w:rPr>
            </w:pPr>
          </w:p>
        </w:tc>
      </w:tr>
      <w:tr>
        <w:trPr>
          <w:trHeight w:val="214"/>
        </w:trPr>
        <w:tc>
          <w:tcPr>
            <w:tcW w:w="7280" w:type="dxa"/>
            <w:vAlign w:val="bottom"/>
            <w:shd w:val="clear" w:color="auto" w:fill="E5FFFF"/>
          </w:tcPr>
          <w:p>
            <w:pPr>
              <w:spacing w:after="0"/>
              <w:rPr>
                <w:sz w:val="20"/>
                <w:szCs w:val="20"/>
                <w:color w:val="auto"/>
              </w:rPr>
            </w:pPr>
            <w:r>
              <w:rPr>
                <w:rFonts w:ascii="Arial" w:cs="Arial" w:eastAsia="Arial" w:hAnsi="Arial"/>
                <w:sz w:val="17"/>
                <w:szCs w:val="17"/>
                <w:color w:val="auto"/>
              </w:rPr>
              <w:t>Maturity of short-term investments</w:t>
            </w:r>
          </w:p>
        </w:tc>
        <w:tc>
          <w:tcPr>
            <w:tcW w:w="2460" w:type="dxa"/>
            <w:vAlign w:val="bottom"/>
            <w:gridSpan w:val="2"/>
            <w:shd w:val="clear" w:color="auto" w:fill="E5FFFF"/>
          </w:tcPr>
          <w:p>
            <w:pPr>
              <w:jc w:val="right"/>
              <w:ind w:right="300"/>
              <w:spacing w:after="0"/>
              <w:rPr>
                <w:sz w:val="20"/>
                <w:szCs w:val="20"/>
                <w:color w:val="auto"/>
              </w:rPr>
            </w:pPr>
            <w:r>
              <w:rPr>
                <w:rFonts w:ascii="Arial" w:cs="Arial" w:eastAsia="Arial" w:hAnsi="Arial"/>
                <w:sz w:val="17"/>
                <w:szCs w:val="17"/>
                <w:color w:val="auto"/>
              </w:rPr>
              <w:t>55,244</w:t>
            </w:r>
          </w:p>
        </w:tc>
        <w:tc>
          <w:tcPr>
            <w:tcW w:w="21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46,000</w:t>
            </w:r>
          </w:p>
        </w:tc>
        <w:tc>
          <w:tcPr>
            <w:tcW w:w="160" w:type="dxa"/>
            <w:vAlign w:val="bottom"/>
          </w:tcPr>
          <w:p>
            <w:pPr>
              <w:spacing w:after="0"/>
              <w:rPr>
                <w:sz w:val="18"/>
                <w:szCs w:val="18"/>
                <w:color w:val="auto"/>
              </w:rPr>
            </w:pPr>
          </w:p>
        </w:tc>
      </w:tr>
      <w:tr>
        <w:trPr>
          <w:trHeight w:val="214"/>
        </w:trPr>
        <w:tc>
          <w:tcPr>
            <w:tcW w:w="7280" w:type="dxa"/>
            <w:vAlign w:val="bottom"/>
          </w:tcPr>
          <w:p>
            <w:pPr>
              <w:spacing w:after="0"/>
              <w:rPr>
                <w:sz w:val="20"/>
                <w:szCs w:val="20"/>
                <w:color w:val="auto"/>
              </w:rPr>
            </w:pPr>
            <w:r>
              <w:rPr>
                <w:rFonts w:ascii="Arial" w:cs="Arial" w:eastAsia="Arial" w:hAnsi="Arial"/>
                <w:sz w:val="17"/>
                <w:szCs w:val="17"/>
                <w:color w:val="auto"/>
              </w:rPr>
              <w:t>Financial income received</w:t>
            </w:r>
          </w:p>
        </w:tc>
        <w:tc>
          <w:tcPr>
            <w:tcW w:w="2460" w:type="dxa"/>
            <w:vAlign w:val="bottom"/>
            <w:gridSpan w:val="2"/>
          </w:tcPr>
          <w:p>
            <w:pPr>
              <w:jc w:val="right"/>
              <w:ind w:right="300"/>
              <w:spacing w:after="0"/>
              <w:rPr>
                <w:sz w:val="20"/>
                <w:szCs w:val="20"/>
                <w:color w:val="auto"/>
              </w:rPr>
            </w:pPr>
            <w:r>
              <w:rPr>
                <w:rFonts w:ascii="Arial" w:cs="Arial" w:eastAsia="Arial" w:hAnsi="Arial"/>
                <w:sz w:val="17"/>
                <w:szCs w:val="17"/>
                <w:color w:val="auto"/>
              </w:rPr>
              <w:t>2,504</w:t>
            </w:r>
          </w:p>
        </w:tc>
        <w:tc>
          <w:tcPr>
            <w:tcW w:w="2140" w:type="dxa"/>
            <w:vAlign w:val="bottom"/>
          </w:tcPr>
          <w:p>
            <w:pPr>
              <w:jc w:val="right"/>
              <w:spacing w:after="0"/>
              <w:rPr>
                <w:sz w:val="20"/>
                <w:szCs w:val="20"/>
                <w:color w:val="auto"/>
              </w:rPr>
            </w:pPr>
            <w:r>
              <w:rPr>
                <w:rFonts w:ascii="Arial" w:cs="Arial" w:eastAsia="Arial" w:hAnsi="Arial"/>
                <w:sz w:val="17"/>
                <w:szCs w:val="17"/>
                <w:color w:val="auto"/>
              </w:rPr>
              <w:t>4,697</w:t>
            </w:r>
          </w:p>
        </w:tc>
        <w:tc>
          <w:tcPr>
            <w:tcW w:w="160" w:type="dxa"/>
            <w:vAlign w:val="bottom"/>
          </w:tcPr>
          <w:p>
            <w:pPr>
              <w:spacing w:after="0"/>
              <w:rPr>
                <w:sz w:val="18"/>
                <w:szCs w:val="18"/>
                <w:color w:val="auto"/>
              </w:rPr>
            </w:pPr>
          </w:p>
        </w:tc>
      </w:tr>
      <w:tr>
        <w:trPr>
          <w:trHeight w:val="208"/>
        </w:trPr>
        <w:tc>
          <w:tcPr>
            <w:tcW w:w="72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7"/>
                <w:szCs w:val="17"/>
                <w:b w:val="1"/>
                <w:bCs w:val="1"/>
                <w:color w:val="auto"/>
              </w:rPr>
              <w:t>Net cash used in investing activities</w:t>
            </w:r>
          </w:p>
        </w:tc>
        <w:tc>
          <w:tcPr>
            <w:tcW w:w="2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(74,599)</w:t>
            </w:r>
          </w:p>
        </w:tc>
        <w:tc>
          <w:tcPr>
            <w:tcW w:w="300" w:type="dxa"/>
            <w:vAlign w:val="bottom"/>
            <w:tcBorders>
              <w:top w:val="single" w:sz="8" w:color="E5FFFF"/>
            </w:tcBorders>
            <w:shd w:val="clear" w:color="auto" w:fill="E5FFFF"/>
          </w:tcPr>
          <w:p>
            <w:pPr>
              <w:spacing w:after="0"/>
              <w:rPr>
                <w:sz w:val="18"/>
                <w:szCs w:val="18"/>
                <w:color w:val="auto"/>
              </w:rPr>
            </w:pPr>
          </w:p>
        </w:tc>
        <w:tc>
          <w:tcPr>
            <w:tcW w:w="2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(692,999)</w:t>
            </w:r>
          </w:p>
        </w:tc>
        <w:tc>
          <w:tcPr>
            <w:tcW w:w="160" w:type="dxa"/>
            <w:vAlign w:val="bottom"/>
          </w:tcPr>
          <w:p>
            <w:pPr>
              <w:spacing w:after="0"/>
              <w:rPr>
                <w:sz w:val="18"/>
                <w:szCs w:val="18"/>
                <w:color w:val="auto"/>
              </w:rPr>
            </w:pPr>
          </w:p>
        </w:tc>
      </w:tr>
      <w:tr>
        <w:trPr>
          <w:trHeight w:val="194"/>
        </w:trPr>
        <w:tc>
          <w:tcPr>
            <w:tcW w:w="7280" w:type="dxa"/>
            <w:vAlign w:val="bottom"/>
          </w:tcPr>
          <w:p>
            <w:pPr>
              <w:spacing w:after="0" w:line="194" w:lineRule="exact"/>
              <w:rPr>
                <w:sz w:val="20"/>
                <w:szCs w:val="20"/>
                <w:color w:val="auto"/>
              </w:rPr>
            </w:pPr>
            <w:r>
              <w:rPr>
                <w:rFonts w:ascii="Arial" w:cs="Arial" w:eastAsia="Arial" w:hAnsi="Arial"/>
                <w:sz w:val="17"/>
                <w:szCs w:val="17"/>
                <w:b w:val="1"/>
                <w:bCs w:val="1"/>
                <w:color w:val="auto"/>
              </w:rPr>
              <w:t>Cash flows from financing activities:</w:t>
            </w:r>
          </w:p>
        </w:tc>
        <w:tc>
          <w:tcPr>
            <w:tcW w:w="2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4"/>
        </w:trPr>
        <w:tc>
          <w:tcPr>
            <w:tcW w:w="7280" w:type="dxa"/>
            <w:vAlign w:val="bottom"/>
            <w:shd w:val="clear" w:color="auto" w:fill="E5FFFF"/>
          </w:tcPr>
          <w:p>
            <w:pPr>
              <w:spacing w:after="0"/>
              <w:rPr>
                <w:sz w:val="20"/>
                <w:szCs w:val="20"/>
                <w:color w:val="auto"/>
              </w:rPr>
            </w:pPr>
            <w:r>
              <w:rPr>
                <w:rFonts w:ascii="Arial" w:cs="Arial" w:eastAsia="Arial" w:hAnsi="Arial"/>
                <w:sz w:val="17"/>
                <w:szCs w:val="17"/>
                <w:color w:val="auto"/>
              </w:rPr>
              <w:t>Proceeds from bank loans and bonds</w:t>
            </w:r>
          </w:p>
        </w:tc>
        <w:tc>
          <w:tcPr>
            <w:tcW w:w="2460" w:type="dxa"/>
            <w:vAlign w:val="bottom"/>
            <w:gridSpan w:val="2"/>
            <w:shd w:val="clear" w:color="auto" w:fill="E5FFFF"/>
          </w:tcPr>
          <w:p>
            <w:pPr>
              <w:jc w:val="right"/>
              <w:ind w:right="300"/>
              <w:spacing w:after="0"/>
              <w:rPr>
                <w:sz w:val="20"/>
                <w:szCs w:val="20"/>
                <w:color w:val="auto"/>
              </w:rPr>
            </w:pPr>
            <w:r>
              <w:rPr>
                <w:rFonts w:ascii="Arial" w:cs="Arial" w:eastAsia="Arial" w:hAnsi="Arial"/>
                <w:sz w:val="17"/>
                <w:szCs w:val="17"/>
                <w:color w:val="auto"/>
              </w:rPr>
              <w:t>280,000</w:t>
            </w:r>
          </w:p>
        </w:tc>
        <w:tc>
          <w:tcPr>
            <w:tcW w:w="21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524,165</w:t>
            </w:r>
          </w:p>
        </w:tc>
        <w:tc>
          <w:tcPr>
            <w:tcW w:w="160" w:type="dxa"/>
            <w:vAlign w:val="bottom"/>
          </w:tcPr>
          <w:p>
            <w:pPr>
              <w:spacing w:after="0"/>
              <w:rPr>
                <w:sz w:val="18"/>
                <w:szCs w:val="18"/>
                <w:color w:val="auto"/>
              </w:rPr>
            </w:pPr>
          </w:p>
        </w:tc>
      </w:tr>
      <w:tr>
        <w:trPr>
          <w:trHeight w:val="214"/>
        </w:trPr>
        <w:tc>
          <w:tcPr>
            <w:tcW w:w="7280" w:type="dxa"/>
            <w:vAlign w:val="bottom"/>
          </w:tcPr>
          <w:p>
            <w:pPr>
              <w:spacing w:after="0"/>
              <w:rPr>
                <w:sz w:val="20"/>
                <w:szCs w:val="20"/>
                <w:color w:val="auto"/>
              </w:rPr>
            </w:pPr>
            <w:r>
              <w:rPr>
                <w:rFonts w:ascii="Arial" w:cs="Arial" w:eastAsia="Arial" w:hAnsi="Arial"/>
                <w:sz w:val="17"/>
                <w:szCs w:val="17"/>
                <w:color w:val="auto"/>
              </w:rPr>
              <w:t>Bank loans and bonds repayments</w:t>
            </w:r>
          </w:p>
        </w:tc>
        <w:tc>
          <w:tcPr>
            <w:tcW w:w="2460" w:type="dxa"/>
            <w:vAlign w:val="bottom"/>
            <w:gridSpan w:val="2"/>
          </w:tcPr>
          <w:p>
            <w:pPr>
              <w:jc w:val="right"/>
              <w:ind w:right="240"/>
              <w:spacing w:after="0"/>
              <w:rPr>
                <w:sz w:val="20"/>
                <w:szCs w:val="20"/>
                <w:color w:val="auto"/>
              </w:rPr>
            </w:pPr>
            <w:r>
              <w:rPr>
                <w:rFonts w:ascii="Arial" w:cs="Arial" w:eastAsia="Arial" w:hAnsi="Arial"/>
                <w:sz w:val="17"/>
                <w:szCs w:val="17"/>
                <w:color w:val="auto"/>
              </w:rPr>
              <w:t>(397,008)</w:t>
            </w:r>
          </w:p>
        </w:tc>
        <w:tc>
          <w:tcPr>
            <w:tcW w:w="2140" w:type="dxa"/>
            <w:vAlign w:val="bottom"/>
          </w:tcPr>
          <w:p>
            <w:pPr>
              <w:jc w:val="right"/>
              <w:spacing w:after="0"/>
              <w:rPr>
                <w:sz w:val="20"/>
                <w:szCs w:val="20"/>
                <w:color w:val="auto"/>
              </w:rPr>
            </w:pPr>
            <w:r>
              <w:rPr>
                <w:rFonts w:ascii="Arial" w:cs="Arial" w:eastAsia="Arial" w:hAnsi="Arial"/>
                <w:sz w:val="17"/>
                <w:szCs w:val="17"/>
                <w:color w:val="auto"/>
              </w:rPr>
              <w:t>(231,753)</w:t>
            </w:r>
          </w:p>
        </w:tc>
        <w:tc>
          <w:tcPr>
            <w:tcW w:w="160" w:type="dxa"/>
            <w:vAlign w:val="bottom"/>
          </w:tcPr>
          <w:p>
            <w:pPr>
              <w:spacing w:after="0"/>
              <w:rPr>
                <w:sz w:val="18"/>
                <w:szCs w:val="18"/>
                <w:color w:val="auto"/>
              </w:rPr>
            </w:pPr>
          </w:p>
        </w:tc>
      </w:tr>
      <w:tr>
        <w:trPr>
          <w:trHeight w:val="214"/>
        </w:trPr>
        <w:tc>
          <w:tcPr>
            <w:tcW w:w="7280" w:type="dxa"/>
            <w:vAlign w:val="bottom"/>
            <w:shd w:val="clear" w:color="auto" w:fill="E5FFFF"/>
          </w:tcPr>
          <w:p>
            <w:pPr>
              <w:spacing w:after="0"/>
              <w:rPr>
                <w:sz w:val="20"/>
                <w:szCs w:val="20"/>
                <w:color w:val="auto"/>
              </w:rPr>
            </w:pPr>
            <w:r>
              <w:rPr>
                <w:rFonts w:ascii="Arial" w:cs="Arial" w:eastAsia="Arial" w:hAnsi="Arial"/>
                <w:sz w:val="17"/>
                <w:szCs w:val="17"/>
                <w:color w:val="auto"/>
              </w:rPr>
              <w:t>Payment of loan issuance costs</w:t>
            </w:r>
          </w:p>
        </w:tc>
        <w:tc>
          <w:tcPr>
            <w:tcW w:w="2460" w:type="dxa"/>
            <w:vAlign w:val="bottom"/>
            <w:gridSpan w:val="2"/>
            <w:shd w:val="clear" w:color="auto" w:fill="E5FFFF"/>
          </w:tcPr>
          <w:p>
            <w:pPr>
              <w:jc w:val="right"/>
              <w:ind w:right="240"/>
              <w:spacing w:after="0"/>
              <w:rPr>
                <w:sz w:val="20"/>
                <w:szCs w:val="20"/>
                <w:color w:val="auto"/>
              </w:rPr>
            </w:pPr>
            <w:r>
              <w:rPr>
                <w:rFonts w:ascii="Arial" w:cs="Arial" w:eastAsia="Arial" w:hAnsi="Arial"/>
                <w:sz w:val="17"/>
                <w:szCs w:val="17"/>
                <w:color w:val="auto"/>
              </w:rPr>
              <w:t>(8,830)</w:t>
            </w:r>
          </w:p>
        </w:tc>
        <w:tc>
          <w:tcPr>
            <w:tcW w:w="21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(7,449)</w:t>
            </w:r>
          </w:p>
        </w:tc>
        <w:tc>
          <w:tcPr>
            <w:tcW w:w="160" w:type="dxa"/>
            <w:vAlign w:val="bottom"/>
          </w:tcPr>
          <w:p>
            <w:pPr>
              <w:spacing w:after="0"/>
              <w:rPr>
                <w:sz w:val="18"/>
                <w:szCs w:val="18"/>
                <w:color w:val="auto"/>
              </w:rPr>
            </w:pPr>
          </w:p>
        </w:tc>
      </w:tr>
      <w:tr>
        <w:trPr>
          <w:trHeight w:val="204"/>
        </w:trPr>
        <w:tc>
          <w:tcPr>
            <w:tcW w:w="7280" w:type="dxa"/>
            <w:vAlign w:val="bottom"/>
          </w:tcPr>
          <w:p>
            <w:pPr>
              <w:spacing w:after="0"/>
              <w:rPr>
                <w:sz w:val="20"/>
                <w:szCs w:val="20"/>
                <w:color w:val="auto"/>
              </w:rPr>
            </w:pPr>
            <w:r>
              <w:rPr>
                <w:rFonts w:ascii="Arial" w:cs="Arial" w:eastAsia="Arial" w:hAnsi="Arial"/>
                <w:sz w:val="17"/>
                <w:szCs w:val="17"/>
                <w:color w:val="auto"/>
                <w:w w:val="99"/>
              </w:rPr>
              <w:t>Proceeds from GasLog Partners’ public common unit offerings (net of underwriting discounts and</w:t>
            </w:r>
          </w:p>
        </w:tc>
        <w:tc>
          <w:tcPr>
            <w:tcW w:w="2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7280" w:type="dxa"/>
            <w:vAlign w:val="bottom"/>
          </w:tcPr>
          <w:p>
            <w:pPr>
              <w:ind w:left="180"/>
              <w:spacing w:after="0"/>
              <w:rPr>
                <w:sz w:val="20"/>
                <w:szCs w:val="20"/>
                <w:color w:val="auto"/>
              </w:rPr>
            </w:pPr>
            <w:r>
              <w:rPr>
                <w:rFonts w:ascii="Arial" w:cs="Arial" w:eastAsia="Arial" w:hAnsi="Arial"/>
                <w:sz w:val="17"/>
                <w:szCs w:val="17"/>
                <w:color w:val="auto"/>
              </w:rPr>
              <w:t>commissions)</w:t>
            </w:r>
          </w:p>
        </w:tc>
        <w:tc>
          <w:tcPr>
            <w:tcW w:w="2460" w:type="dxa"/>
            <w:vAlign w:val="bottom"/>
            <w:gridSpan w:val="2"/>
          </w:tcPr>
          <w:p>
            <w:pPr>
              <w:jc w:val="right"/>
              <w:ind w:right="300"/>
              <w:spacing w:after="0"/>
              <w:rPr>
                <w:sz w:val="20"/>
                <w:szCs w:val="20"/>
                <w:color w:val="auto"/>
              </w:rPr>
            </w:pPr>
            <w:r>
              <w:rPr>
                <w:rFonts w:ascii="Arial" w:cs="Arial" w:eastAsia="Arial" w:hAnsi="Arial"/>
                <w:sz w:val="17"/>
                <w:szCs w:val="17"/>
                <w:color w:val="auto"/>
              </w:rPr>
              <w:t>141,395</w:t>
            </w:r>
          </w:p>
        </w:tc>
        <w:tc>
          <w:tcPr>
            <w:tcW w:w="2140" w:type="dxa"/>
            <w:vAlign w:val="bottom"/>
          </w:tcPr>
          <w:p>
            <w:pPr>
              <w:jc w:val="right"/>
              <w:spacing w:after="0"/>
              <w:rPr>
                <w:sz w:val="20"/>
                <w:szCs w:val="20"/>
                <w:color w:val="auto"/>
              </w:rPr>
            </w:pPr>
            <w:r>
              <w:rPr>
                <w:rFonts w:ascii="Arial" w:cs="Arial" w:eastAsia="Arial" w:hAnsi="Arial"/>
                <w:sz w:val="17"/>
                <w:szCs w:val="17"/>
                <w:color w:val="auto"/>
              </w:rPr>
              <w:t>60,345</w:t>
            </w:r>
          </w:p>
        </w:tc>
        <w:tc>
          <w:tcPr>
            <w:tcW w:w="160" w:type="dxa"/>
            <w:vAlign w:val="bottom"/>
          </w:tcPr>
          <w:p>
            <w:pPr>
              <w:spacing w:after="0"/>
              <w:rPr>
                <w:sz w:val="18"/>
                <w:szCs w:val="18"/>
                <w:color w:val="auto"/>
              </w:rPr>
            </w:pPr>
          </w:p>
        </w:tc>
      </w:tr>
      <w:tr>
        <w:trPr>
          <w:trHeight w:val="211"/>
        </w:trPr>
        <w:tc>
          <w:tcPr>
            <w:tcW w:w="7280" w:type="dxa"/>
            <w:vAlign w:val="bottom"/>
            <w:shd w:val="clear" w:color="auto" w:fill="E5FFFF"/>
          </w:tcPr>
          <w:p>
            <w:pPr>
              <w:spacing w:after="0"/>
              <w:rPr>
                <w:sz w:val="20"/>
                <w:szCs w:val="20"/>
                <w:color w:val="auto"/>
              </w:rPr>
            </w:pPr>
            <w:r>
              <w:rPr>
                <w:rFonts w:ascii="Arial" w:cs="Arial" w:eastAsia="Arial" w:hAnsi="Arial"/>
                <w:sz w:val="17"/>
                <w:szCs w:val="17"/>
                <w:color w:val="auto"/>
              </w:rPr>
              <w:t>Proceeds from GasLog Partners’ preference unit offering (net of underwriting discounts and</w:t>
            </w:r>
          </w:p>
        </w:tc>
        <w:tc>
          <w:tcPr>
            <w:tcW w:w="21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2140" w:type="dxa"/>
            <w:vAlign w:val="bottom"/>
            <w:shd w:val="clear" w:color="auto" w:fill="E5FFFF"/>
          </w:tcPr>
          <w:p>
            <w:pPr>
              <w:spacing w:after="0"/>
              <w:rPr>
                <w:sz w:val="18"/>
                <w:szCs w:val="18"/>
                <w:color w:val="auto"/>
              </w:rPr>
            </w:pPr>
          </w:p>
        </w:tc>
        <w:tc>
          <w:tcPr>
            <w:tcW w:w="160" w:type="dxa"/>
            <w:vAlign w:val="bottom"/>
          </w:tcPr>
          <w:p>
            <w:pPr>
              <w:spacing w:after="0"/>
              <w:rPr>
                <w:sz w:val="18"/>
                <w:szCs w:val="18"/>
                <w:color w:val="auto"/>
              </w:rPr>
            </w:pPr>
          </w:p>
        </w:tc>
      </w:tr>
      <w:tr>
        <w:trPr>
          <w:trHeight w:val="224"/>
        </w:trPr>
        <w:tc>
          <w:tcPr>
            <w:tcW w:w="7280" w:type="dxa"/>
            <w:vAlign w:val="bottom"/>
            <w:shd w:val="clear" w:color="auto" w:fill="E5FFFF"/>
          </w:tcPr>
          <w:p>
            <w:pPr>
              <w:ind w:left="180"/>
              <w:spacing w:after="0"/>
              <w:rPr>
                <w:sz w:val="20"/>
                <w:szCs w:val="20"/>
                <w:color w:val="auto"/>
              </w:rPr>
            </w:pPr>
            <w:r>
              <w:rPr>
                <w:rFonts w:ascii="Arial" w:cs="Arial" w:eastAsia="Arial" w:hAnsi="Arial"/>
                <w:sz w:val="17"/>
                <w:szCs w:val="17"/>
                <w:color w:val="auto"/>
              </w:rPr>
              <w:t>commissions)</w:t>
            </w:r>
          </w:p>
        </w:tc>
        <w:tc>
          <w:tcPr>
            <w:tcW w:w="2460" w:type="dxa"/>
            <w:vAlign w:val="bottom"/>
            <w:gridSpan w:val="2"/>
            <w:shd w:val="clear" w:color="auto" w:fill="E5FFFF"/>
          </w:tcPr>
          <w:p>
            <w:pPr>
              <w:jc w:val="right"/>
              <w:ind w:right="300"/>
              <w:spacing w:after="0"/>
              <w:rPr>
                <w:sz w:val="20"/>
                <w:szCs w:val="20"/>
                <w:color w:val="auto"/>
              </w:rPr>
            </w:pPr>
            <w:r>
              <w:rPr>
                <w:rFonts w:ascii="Arial" w:cs="Arial" w:eastAsia="Arial" w:hAnsi="Arial"/>
                <w:sz w:val="17"/>
                <w:szCs w:val="17"/>
                <w:color w:val="auto"/>
              </w:rPr>
              <w:t>139,222</w:t>
            </w:r>
          </w:p>
        </w:tc>
        <w:tc>
          <w:tcPr>
            <w:tcW w:w="21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208,394</w:t>
            </w:r>
          </w:p>
        </w:tc>
        <w:tc>
          <w:tcPr>
            <w:tcW w:w="160" w:type="dxa"/>
            <w:vAlign w:val="bottom"/>
          </w:tcPr>
          <w:p>
            <w:pPr>
              <w:spacing w:after="0"/>
              <w:rPr>
                <w:sz w:val="19"/>
                <w:szCs w:val="19"/>
                <w:color w:val="auto"/>
              </w:rPr>
            </w:pPr>
          </w:p>
        </w:tc>
      </w:tr>
      <w:tr>
        <w:trPr>
          <w:trHeight w:val="214"/>
        </w:trPr>
        <w:tc>
          <w:tcPr>
            <w:tcW w:w="7280" w:type="dxa"/>
            <w:vAlign w:val="bottom"/>
          </w:tcPr>
          <w:p>
            <w:pPr>
              <w:spacing w:after="0"/>
              <w:rPr>
                <w:sz w:val="20"/>
                <w:szCs w:val="20"/>
                <w:color w:val="auto"/>
              </w:rPr>
            </w:pPr>
            <w:r>
              <w:rPr>
                <w:rFonts w:ascii="Arial" w:cs="Arial" w:eastAsia="Arial" w:hAnsi="Arial"/>
                <w:sz w:val="17"/>
                <w:szCs w:val="17"/>
                <w:color w:val="auto"/>
              </w:rPr>
              <w:t>Payment of equity raising costs</w:t>
            </w:r>
          </w:p>
        </w:tc>
        <w:tc>
          <w:tcPr>
            <w:tcW w:w="2460" w:type="dxa"/>
            <w:vAlign w:val="bottom"/>
            <w:gridSpan w:val="2"/>
          </w:tcPr>
          <w:p>
            <w:pPr>
              <w:jc w:val="right"/>
              <w:ind w:right="240"/>
              <w:spacing w:after="0"/>
              <w:rPr>
                <w:sz w:val="20"/>
                <w:szCs w:val="20"/>
                <w:color w:val="auto"/>
              </w:rPr>
            </w:pPr>
            <w:r>
              <w:rPr>
                <w:rFonts w:ascii="Arial" w:cs="Arial" w:eastAsia="Arial" w:hAnsi="Arial"/>
                <w:sz w:val="17"/>
                <w:szCs w:val="17"/>
                <w:color w:val="auto"/>
              </w:rPr>
              <w:t>(2,032)</w:t>
            </w:r>
          </w:p>
        </w:tc>
        <w:tc>
          <w:tcPr>
            <w:tcW w:w="2140" w:type="dxa"/>
            <w:vAlign w:val="bottom"/>
          </w:tcPr>
          <w:p>
            <w:pPr>
              <w:jc w:val="right"/>
              <w:spacing w:after="0"/>
              <w:rPr>
                <w:sz w:val="20"/>
                <w:szCs w:val="20"/>
                <w:color w:val="auto"/>
              </w:rPr>
            </w:pPr>
            <w:r>
              <w:rPr>
                <w:rFonts w:ascii="Arial" w:cs="Arial" w:eastAsia="Arial" w:hAnsi="Arial"/>
                <w:sz w:val="17"/>
                <w:szCs w:val="17"/>
                <w:color w:val="auto"/>
              </w:rPr>
              <w:t>(917)</w:t>
            </w:r>
          </w:p>
        </w:tc>
        <w:tc>
          <w:tcPr>
            <w:tcW w:w="160" w:type="dxa"/>
            <w:vAlign w:val="bottom"/>
          </w:tcPr>
          <w:p>
            <w:pPr>
              <w:spacing w:after="0"/>
              <w:rPr>
                <w:sz w:val="18"/>
                <w:szCs w:val="18"/>
                <w:color w:val="auto"/>
              </w:rPr>
            </w:pPr>
          </w:p>
        </w:tc>
      </w:tr>
      <w:tr>
        <w:trPr>
          <w:trHeight w:val="214"/>
        </w:trPr>
        <w:tc>
          <w:tcPr>
            <w:tcW w:w="7280" w:type="dxa"/>
            <w:vAlign w:val="bottom"/>
            <w:shd w:val="clear" w:color="auto" w:fill="E5FFFF"/>
          </w:tcPr>
          <w:p>
            <w:pPr>
              <w:spacing w:after="0"/>
              <w:rPr>
                <w:sz w:val="20"/>
                <w:szCs w:val="20"/>
                <w:color w:val="auto"/>
              </w:rPr>
            </w:pPr>
            <w:r>
              <w:rPr>
                <w:rFonts w:ascii="Arial" w:cs="Arial" w:eastAsia="Arial" w:hAnsi="Arial"/>
                <w:sz w:val="17"/>
                <w:szCs w:val="17"/>
                <w:color w:val="auto"/>
              </w:rPr>
              <w:t>Payment for NOK bond repurchase at a premium</w:t>
            </w:r>
          </w:p>
        </w:tc>
        <w:tc>
          <w:tcPr>
            <w:tcW w:w="2460" w:type="dxa"/>
            <w:vAlign w:val="bottom"/>
            <w:gridSpan w:val="2"/>
            <w:shd w:val="clear" w:color="auto" w:fill="E5FFFF"/>
          </w:tcPr>
          <w:p>
            <w:pPr>
              <w:jc w:val="right"/>
              <w:ind w:right="240"/>
              <w:spacing w:after="0"/>
              <w:rPr>
                <w:sz w:val="20"/>
                <w:szCs w:val="20"/>
                <w:color w:val="auto"/>
              </w:rPr>
            </w:pPr>
            <w:r>
              <w:rPr>
                <w:rFonts w:ascii="Arial" w:cs="Arial" w:eastAsia="Arial" w:hAnsi="Arial"/>
                <w:sz w:val="17"/>
                <w:szCs w:val="17"/>
                <w:color w:val="auto"/>
              </w:rPr>
              <w:t>(1,459)</w:t>
            </w:r>
          </w:p>
        </w:tc>
        <w:tc>
          <w:tcPr>
            <w:tcW w:w="21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r>
      <w:tr>
        <w:trPr>
          <w:trHeight w:val="214"/>
        </w:trPr>
        <w:tc>
          <w:tcPr>
            <w:tcW w:w="7280" w:type="dxa"/>
            <w:vAlign w:val="bottom"/>
          </w:tcPr>
          <w:p>
            <w:pPr>
              <w:spacing w:after="0"/>
              <w:rPr>
                <w:sz w:val="20"/>
                <w:szCs w:val="20"/>
                <w:color w:val="auto"/>
              </w:rPr>
            </w:pPr>
            <w:r>
              <w:rPr>
                <w:rFonts w:ascii="Arial" w:cs="Arial" w:eastAsia="Arial" w:hAnsi="Arial"/>
                <w:sz w:val="17"/>
                <w:szCs w:val="17"/>
                <w:color w:val="auto"/>
              </w:rPr>
              <w:t>Payment for cross currency swaps’ termination</w:t>
            </w:r>
          </w:p>
        </w:tc>
        <w:tc>
          <w:tcPr>
            <w:tcW w:w="2460" w:type="dxa"/>
            <w:vAlign w:val="bottom"/>
            <w:gridSpan w:val="2"/>
          </w:tcPr>
          <w:p>
            <w:pPr>
              <w:jc w:val="right"/>
              <w:ind w:right="240"/>
              <w:spacing w:after="0"/>
              <w:rPr>
                <w:sz w:val="20"/>
                <w:szCs w:val="20"/>
                <w:color w:val="auto"/>
              </w:rPr>
            </w:pPr>
            <w:r>
              <w:rPr>
                <w:rFonts w:ascii="Arial" w:cs="Arial" w:eastAsia="Arial" w:hAnsi="Arial"/>
                <w:sz w:val="17"/>
                <w:szCs w:val="17"/>
                <w:color w:val="auto"/>
              </w:rPr>
              <w:t>(20,603)</w:t>
            </w:r>
          </w:p>
        </w:tc>
        <w:tc>
          <w:tcPr>
            <w:tcW w:w="21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r>
      <w:tr>
        <w:trPr>
          <w:trHeight w:val="214"/>
        </w:trPr>
        <w:tc>
          <w:tcPr>
            <w:tcW w:w="7280" w:type="dxa"/>
            <w:vAlign w:val="bottom"/>
            <w:shd w:val="clear" w:color="auto" w:fill="E5FFFF"/>
          </w:tcPr>
          <w:p>
            <w:pPr>
              <w:spacing w:after="0"/>
              <w:rPr>
                <w:sz w:val="20"/>
                <w:szCs w:val="20"/>
                <w:color w:val="auto"/>
              </w:rPr>
            </w:pPr>
            <w:r>
              <w:rPr>
                <w:rFonts w:ascii="Arial" w:cs="Arial" w:eastAsia="Arial" w:hAnsi="Arial"/>
                <w:sz w:val="17"/>
                <w:szCs w:val="17"/>
                <w:color w:val="auto"/>
              </w:rPr>
              <w:t>Purchase of treasury shares</w:t>
            </w:r>
          </w:p>
        </w:tc>
        <w:tc>
          <w:tcPr>
            <w:tcW w:w="2460" w:type="dxa"/>
            <w:vAlign w:val="bottom"/>
            <w:gridSpan w:val="2"/>
            <w:shd w:val="clear" w:color="auto" w:fill="E5FFFF"/>
          </w:tcPr>
          <w:p>
            <w:pPr>
              <w:jc w:val="right"/>
              <w:ind w:right="300"/>
              <w:spacing w:after="0"/>
              <w:rPr>
                <w:sz w:val="20"/>
                <w:szCs w:val="20"/>
                <w:color w:val="auto"/>
              </w:rPr>
            </w:pPr>
            <w:r>
              <w:rPr>
                <w:rFonts w:ascii="Arial" w:cs="Arial" w:eastAsia="Arial" w:hAnsi="Arial"/>
                <w:sz w:val="17"/>
                <w:szCs w:val="17"/>
                <w:color w:val="auto"/>
              </w:rPr>
              <w:t>—</w:t>
            </w:r>
          </w:p>
        </w:tc>
        <w:tc>
          <w:tcPr>
            <w:tcW w:w="21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(62)</w:t>
            </w:r>
          </w:p>
        </w:tc>
        <w:tc>
          <w:tcPr>
            <w:tcW w:w="160" w:type="dxa"/>
            <w:vAlign w:val="bottom"/>
          </w:tcPr>
          <w:p>
            <w:pPr>
              <w:spacing w:after="0"/>
              <w:rPr>
                <w:sz w:val="18"/>
                <w:szCs w:val="18"/>
                <w:color w:val="auto"/>
              </w:rPr>
            </w:pPr>
          </w:p>
        </w:tc>
      </w:tr>
      <w:tr>
        <w:trPr>
          <w:trHeight w:val="214"/>
        </w:trPr>
        <w:tc>
          <w:tcPr>
            <w:tcW w:w="7280" w:type="dxa"/>
            <w:vAlign w:val="bottom"/>
          </w:tcPr>
          <w:p>
            <w:pPr>
              <w:spacing w:after="0"/>
              <w:rPr>
                <w:sz w:val="20"/>
                <w:szCs w:val="20"/>
                <w:color w:val="auto"/>
              </w:rPr>
            </w:pPr>
            <w:r>
              <w:rPr>
                <w:rFonts w:ascii="Arial" w:cs="Arial" w:eastAsia="Arial" w:hAnsi="Arial"/>
                <w:sz w:val="17"/>
                <w:szCs w:val="17"/>
                <w:color w:val="auto"/>
              </w:rPr>
              <w:t>Proceeds from stock options’ exercise</w:t>
            </w:r>
          </w:p>
        </w:tc>
        <w:tc>
          <w:tcPr>
            <w:tcW w:w="2460" w:type="dxa"/>
            <w:vAlign w:val="bottom"/>
            <w:gridSpan w:val="2"/>
          </w:tcPr>
          <w:p>
            <w:pPr>
              <w:jc w:val="right"/>
              <w:ind w:right="300"/>
              <w:spacing w:after="0"/>
              <w:rPr>
                <w:sz w:val="20"/>
                <w:szCs w:val="20"/>
                <w:color w:val="auto"/>
              </w:rPr>
            </w:pPr>
            <w:r>
              <w:rPr>
                <w:rFonts w:ascii="Arial" w:cs="Arial" w:eastAsia="Arial" w:hAnsi="Arial"/>
                <w:sz w:val="17"/>
                <w:szCs w:val="17"/>
                <w:color w:val="auto"/>
              </w:rPr>
              <w:t>1,223</w:t>
            </w:r>
          </w:p>
        </w:tc>
        <w:tc>
          <w:tcPr>
            <w:tcW w:w="2140" w:type="dxa"/>
            <w:vAlign w:val="bottom"/>
          </w:tcPr>
          <w:p>
            <w:pPr>
              <w:jc w:val="right"/>
              <w:spacing w:after="0"/>
              <w:rPr>
                <w:sz w:val="20"/>
                <w:szCs w:val="20"/>
                <w:color w:val="auto"/>
              </w:rPr>
            </w:pPr>
            <w:r>
              <w:rPr>
                <w:rFonts w:ascii="Arial" w:cs="Arial" w:eastAsia="Arial" w:hAnsi="Arial"/>
                <w:sz w:val="17"/>
                <w:szCs w:val="17"/>
                <w:color w:val="auto"/>
              </w:rPr>
              <w:t>754</w:t>
            </w:r>
          </w:p>
        </w:tc>
        <w:tc>
          <w:tcPr>
            <w:tcW w:w="160" w:type="dxa"/>
            <w:vAlign w:val="bottom"/>
          </w:tcPr>
          <w:p>
            <w:pPr>
              <w:spacing w:after="0"/>
              <w:rPr>
                <w:sz w:val="18"/>
                <w:szCs w:val="18"/>
                <w:color w:val="auto"/>
              </w:rPr>
            </w:pPr>
          </w:p>
        </w:tc>
      </w:tr>
      <w:tr>
        <w:trPr>
          <w:trHeight w:val="214"/>
        </w:trPr>
        <w:tc>
          <w:tcPr>
            <w:tcW w:w="7280" w:type="dxa"/>
            <w:vAlign w:val="bottom"/>
            <w:shd w:val="clear" w:color="auto" w:fill="E5FFFF"/>
          </w:tcPr>
          <w:p>
            <w:pPr>
              <w:spacing w:after="0"/>
              <w:rPr>
                <w:sz w:val="20"/>
                <w:szCs w:val="20"/>
                <w:color w:val="auto"/>
              </w:rPr>
            </w:pPr>
            <w:r>
              <w:rPr>
                <w:rFonts w:ascii="Arial" w:cs="Arial" w:eastAsia="Arial" w:hAnsi="Arial"/>
                <w:sz w:val="17"/>
                <w:szCs w:val="17"/>
                <w:color w:val="auto"/>
              </w:rPr>
              <w:t>Dividends paid</w:t>
            </w:r>
          </w:p>
        </w:tc>
        <w:tc>
          <w:tcPr>
            <w:tcW w:w="2460" w:type="dxa"/>
            <w:vAlign w:val="bottom"/>
            <w:gridSpan w:val="2"/>
            <w:shd w:val="clear" w:color="auto" w:fill="E5FFFF"/>
          </w:tcPr>
          <w:p>
            <w:pPr>
              <w:jc w:val="right"/>
              <w:ind w:right="240"/>
              <w:spacing w:after="0"/>
              <w:rPr>
                <w:sz w:val="20"/>
                <w:szCs w:val="20"/>
                <w:color w:val="auto"/>
              </w:rPr>
            </w:pPr>
            <w:r>
              <w:rPr>
                <w:rFonts w:ascii="Arial" w:cs="Arial" w:eastAsia="Arial" w:hAnsi="Arial"/>
                <w:sz w:val="17"/>
                <w:szCs w:val="17"/>
                <w:color w:val="auto"/>
              </w:rPr>
              <w:t>(121,071)</w:t>
            </w:r>
          </w:p>
        </w:tc>
        <w:tc>
          <w:tcPr>
            <w:tcW w:w="21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(178,028)</w:t>
            </w:r>
          </w:p>
        </w:tc>
        <w:tc>
          <w:tcPr>
            <w:tcW w:w="160" w:type="dxa"/>
            <w:vAlign w:val="bottom"/>
          </w:tcPr>
          <w:p>
            <w:pPr>
              <w:spacing w:after="0"/>
              <w:rPr>
                <w:sz w:val="18"/>
                <w:szCs w:val="18"/>
                <w:color w:val="auto"/>
              </w:rPr>
            </w:pPr>
          </w:p>
        </w:tc>
      </w:tr>
      <w:tr>
        <w:trPr>
          <w:trHeight w:val="214"/>
        </w:trPr>
        <w:tc>
          <w:tcPr>
            <w:tcW w:w="7280" w:type="dxa"/>
            <w:vAlign w:val="bottom"/>
          </w:tcPr>
          <w:p>
            <w:pPr>
              <w:spacing w:after="0"/>
              <w:rPr>
                <w:sz w:val="20"/>
                <w:szCs w:val="20"/>
                <w:color w:val="auto"/>
              </w:rPr>
            </w:pPr>
            <w:r>
              <w:rPr>
                <w:rFonts w:ascii="Arial" w:cs="Arial" w:eastAsia="Arial" w:hAnsi="Arial"/>
                <w:sz w:val="17"/>
                <w:szCs w:val="17"/>
                <w:color w:val="auto"/>
              </w:rPr>
              <w:t>Payments for finance lease liability</w:t>
            </w:r>
          </w:p>
        </w:tc>
        <w:tc>
          <w:tcPr>
            <w:tcW w:w="2460" w:type="dxa"/>
            <w:vAlign w:val="bottom"/>
            <w:gridSpan w:val="2"/>
          </w:tcPr>
          <w:p>
            <w:pPr>
              <w:jc w:val="right"/>
              <w:ind w:right="240"/>
              <w:spacing w:after="0"/>
              <w:rPr>
                <w:sz w:val="20"/>
                <w:szCs w:val="20"/>
                <w:color w:val="auto"/>
              </w:rPr>
            </w:pPr>
            <w:r>
              <w:rPr>
                <w:rFonts w:ascii="Arial" w:cs="Arial" w:eastAsia="Arial" w:hAnsi="Arial"/>
                <w:sz w:val="17"/>
                <w:szCs w:val="17"/>
                <w:color w:val="auto"/>
              </w:rPr>
              <w:t>(3,572)</w:t>
            </w:r>
          </w:p>
        </w:tc>
        <w:tc>
          <w:tcPr>
            <w:tcW w:w="2140" w:type="dxa"/>
            <w:vAlign w:val="bottom"/>
          </w:tcPr>
          <w:p>
            <w:pPr>
              <w:jc w:val="right"/>
              <w:spacing w:after="0"/>
              <w:rPr>
                <w:sz w:val="20"/>
                <w:szCs w:val="20"/>
                <w:color w:val="auto"/>
              </w:rPr>
            </w:pPr>
            <w:r>
              <w:rPr>
                <w:rFonts w:ascii="Arial" w:cs="Arial" w:eastAsia="Arial" w:hAnsi="Arial"/>
                <w:sz w:val="17"/>
                <w:szCs w:val="17"/>
                <w:color w:val="auto"/>
              </w:rPr>
              <w:t>(7,329)</w:t>
            </w:r>
          </w:p>
        </w:tc>
        <w:tc>
          <w:tcPr>
            <w:tcW w:w="160" w:type="dxa"/>
            <w:vAlign w:val="bottom"/>
          </w:tcPr>
          <w:p>
            <w:pPr>
              <w:spacing w:after="0"/>
              <w:rPr>
                <w:sz w:val="18"/>
                <w:szCs w:val="18"/>
                <w:color w:val="auto"/>
              </w:rPr>
            </w:pPr>
          </w:p>
        </w:tc>
      </w:tr>
      <w:tr>
        <w:trPr>
          <w:trHeight w:val="208"/>
        </w:trPr>
        <w:tc>
          <w:tcPr>
            <w:tcW w:w="72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7"/>
                <w:szCs w:val="17"/>
                <w:b w:val="1"/>
                <w:bCs w:val="1"/>
                <w:color w:val="auto"/>
              </w:rPr>
              <w:t>Net cash provided by financing activities</w:t>
            </w:r>
          </w:p>
        </w:tc>
        <w:tc>
          <w:tcPr>
            <w:tcW w:w="2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7,265</w:t>
            </w:r>
          </w:p>
        </w:tc>
        <w:tc>
          <w:tcPr>
            <w:tcW w:w="300" w:type="dxa"/>
            <w:vAlign w:val="bottom"/>
            <w:tcBorders>
              <w:top w:val="single" w:sz="8" w:color="E5FFFF"/>
            </w:tcBorders>
            <w:shd w:val="clear" w:color="auto" w:fill="E5FFFF"/>
          </w:tcPr>
          <w:p>
            <w:pPr>
              <w:spacing w:after="0"/>
              <w:rPr>
                <w:sz w:val="18"/>
                <w:szCs w:val="18"/>
                <w:color w:val="auto"/>
              </w:rPr>
            </w:pPr>
          </w:p>
        </w:tc>
        <w:tc>
          <w:tcPr>
            <w:tcW w:w="2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368,120</w:t>
            </w:r>
          </w:p>
        </w:tc>
        <w:tc>
          <w:tcPr>
            <w:tcW w:w="160" w:type="dxa"/>
            <w:vAlign w:val="bottom"/>
          </w:tcPr>
          <w:p>
            <w:pPr>
              <w:spacing w:after="0"/>
              <w:rPr>
                <w:sz w:val="18"/>
                <w:szCs w:val="18"/>
                <w:color w:val="auto"/>
              </w:rPr>
            </w:pPr>
          </w:p>
        </w:tc>
      </w:tr>
      <w:tr>
        <w:trPr>
          <w:trHeight w:val="208"/>
        </w:trPr>
        <w:tc>
          <w:tcPr>
            <w:tcW w:w="7280" w:type="dxa"/>
            <w:vAlign w:val="bottom"/>
            <w:tcBorders>
              <w:bottom w:val="single" w:sz="8" w:color="E5FFFF"/>
            </w:tcBorders>
          </w:tcPr>
          <w:p>
            <w:pPr>
              <w:spacing w:after="0"/>
              <w:rPr>
                <w:sz w:val="20"/>
                <w:szCs w:val="20"/>
                <w:color w:val="auto"/>
              </w:rPr>
            </w:pPr>
            <w:r>
              <w:rPr>
                <w:rFonts w:ascii="Arial" w:cs="Arial" w:eastAsia="Arial" w:hAnsi="Arial"/>
                <w:sz w:val="17"/>
                <w:szCs w:val="17"/>
                <w:color w:val="auto"/>
              </w:rPr>
              <w:t>Effects of exchange rate changes on cash and cash equivalents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772</w:t>
            </w:r>
          </w:p>
        </w:tc>
        <w:tc>
          <w:tcPr>
            <w:tcW w:w="300" w:type="dxa"/>
            <w:vAlign w:val="bottom"/>
            <w:tcBorders>
              <w:bottom w:val="single" w:sz="8" w:color="E5FFFF"/>
            </w:tcBorders>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(329)</w:t>
            </w:r>
          </w:p>
        </w:tc>
        <w:tc>
          <w:tcPr>
            <w:tcW w:w="160" w:type="dxa"/>
            <w:vAlign w:val="bottom"/>
          </w:tcPr>
          <w:p>
            <w:pPr>
              <w:spacing w:after="0"/>
              <w:rPr>
                <w:sz w:val="18"/>
                <w:szCs w:val="18"/>
                <w:color w:val="auto"/>
              </w:rPr>
            </w:pPr>
          </w:p>
        </w:tc>
      </w:tr>
      <w:tr>
        <w:trPr>
          <w:trHeight w:val="208"/>
        </w:trPr>
        <w:tc>
          <w:tcPr>
            <w:tcW w:w="7280" w:type="dxa"/>
            <w:vAlign w:val="bottom"/>
            <w:shd w:val="clear" w:color="auto" w:fill="E5FFFF"/>
          </w:tcPr>
          <w:p>
            <w:pPr>
              <w:spacing w:after="0"/>
              <w:rPr>
                <w:sz w:val="20"/>
                <w:szCs w:val="20"/>
                <w:color w:val="auto"/>
              </w:rPr>
            </w:pPr>
            <w:r>
              <w:rPr>
                <w:rFonts w:ascii="Arial" w:cs="Arial" w:eastAsia="Arial" w:hAnsi="Arial"/>
                <w:sz w:val="17"/>
                <w:szCs w:val="17"/>
                <w:b w:val="1"/>
                <w:bCs w:val="1"/>
                <w:color w:val="auto"/>
              </w:rPr>
              <w:t>Increase/(decrease) in cash and cash equivalents</w:t>
            </w:r>
          </w:p>
        </w:tc>
        <w:tc>
          <w:tcPr>
            <w:tcW w:w="2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157,068</w:t>
            </w:r>
          </w:p>
        </w:tc>
        <w:tc>
          <w:tcPr>
            <w:tcW w:w="300" w:type="dxa"/>
            <w:vAlign w:val="bottom"/>
            <w:shd w:val="clear" w:color="auto" w:fill="E5FFFF"/>
          </w:tcPr>
          <w:p>
            <w:pPr>
              <w:spacing w:after="0"/>
              <w:rPr>
                <w:sz w:val="18"/>
                <w:szCs w:val="18"/>
                <w:color w:val="auto"/>
              </w:rPr>
            </w:pPr>
          </w:p>
        </w:tc>
        <w:tc>
          <w:tcPr>
            <w:tcW w:w="2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(41,498)</w:t>
            </w:r>
          </w:p>
        </w:tc>
        <w:tc>
          <w:tcPr>
            <w:tcW w:w="160" w:type="dxa"/>
            <w:vAlign w:val="bottom"/>
          </w:tcPr>
          <w:p>
            <w:pPr>
              <w:spacing w:after="0"/>
              <w:rPr>
                <w:sz w:val="18"/>
                <w:szCs w:val="18"/>
                <w:color w:val="auto"/>
              </w:rPr>
            </w:pPr>
          </w:p>
        </w:tc>
      </w:tr>
      <w:tr>
        <w:trPr>
          <w:trHeight w:val="208"/>
        </w:trPr>
        <w:tc>
          <w:tcPr>
            <w:tcW w:w="7280" w:type="dxa"/>
            <w:vAlign w:val="bottom"/>
            <w:tcBorders>
              <w:bottom w:val="single" w:sz="8" w:color="E5FFFF"/>
            </w:tcBorders>
          </w:tcPr>
          <w:p>
            <w:pPr>
              <w:spacing w:after="0"/>
              <w:rPr>
                <w:sz w:val="20"/>
                <w:szCs w:val="20"/>
                <w:color w:val="auto"/>
              </w:rPr>
            </w:pPr>
            <w:r>
              <w:rPr>
                <w:rFonts w:ascii="Arial" w:cs="Arial" w:eastAsia="Arial" w:hAnsi="Arial"/>
                <w:sz w:val="17"/>
                <w:szCs w:val="17"/>
                <w:color w:val="auto"/>
              </w:rPr>
              <w:t>Cash and cash equivalents, beginning of the year</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227,024</w:t>
            </w:r>
          </w:p>
        </w:tc>
        <w:tc>
          <w:tcPr>
            <w:tcW w:w="300" w:type="dxa"/>
            <w:vAlign w:val="bottom"/>
            <w:tcBorders>
              <w:bottom w:val="single" w:sz="8" w:color="E5FFFF"/>
            </w:tcBorders>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384,092</w:t>
            </w:r>
          </w:p>
        </w:tc>
        <w:tc>
          <w:tcPr>
            <w:tcW w:w="160" w:type="dxa"/>
            <w:vAlign w:val="bottom"/>
          </w:tcPr>
          <w:p>
            <w:pPr>
              <w:spacing w:after="0"/>
              <w:rPr>
                <w:sz w:val="18"/>
                <w:szCs w:val="18"/>
                <w:color w:val="auto"/>
              </w:rPr>
            </w:pPr>
          </w:p>
        </w:tc>
      </w:tr>
      <w:tr>
        <w:trPr>
          <w:trHeight w:val="208"/>
        </w:trPr>
        <w:tc>
          <w:tcPr>
            <w:tcW w:w="728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7"/>
                <w:szCs w:val="17"/>
                <w:b w:val="1"/>
                <w:bCs w:val="1"/>
                <w:color w:val="auto"/>
              </w:rPr>
              <w:t>Cash and cash equivalents, end of the year</w:t>
            </w:r>
          </w:p>
        </w:tc>
        <w:tc>
          <w:tcPr>
            <w:tcW w:w="2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384,092</w:t>
            </w:r>
          </w:p>
        </w:tc>
        <w:tc>
          <w:tcPr>
            <w:tcW w:w="300" w:type="dxa"/>
            <w:vAlign w:val="bottom"/>
            <w:tcBorders>
              <w:bottom w:val="single" w:sz="8" w:color="E5FFFF"/>
            </w:tcBorders>
            <w:shd w:val="clear" w:color="auto" w:fill="E5FFFF"/>
          </w:tcPr>
          <w:p>
            <w:pPr>
              <w:spacing w:after="0"/>
              <w:rPr>
                <w:sz w:val="18"/>
                <w:szCs w:val="18"/>
                <w:color w:val="auto"/>
              </w:rPr>
            </w:pPr>
          </w:p>
        </w:tc>
        <w:tc>
          <w:tcPr>
            <w:tcW w:w="2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342,594</w:t>
            </w:r>
          </w:p>
        </w:tc>
        <w:tc>
          <w:tcPr>
            <w:tcW w:w="160" w:type="dxa"/>
            <w:vAlign w:val="bottom"/>
          </w:tcPr>
          <w:p>
            <w:pPr>
              <w:spacing w:after="0"/>
              <w:rPr>
                <w:sz w:val="18"/>
                <w:szCs w:val="18"/>
                <w:color w:val="auto"/>
              </w:rPr>
            </w:pPr>
          </w:p>
        </w:tc>
      </w:tr>
      <w:tr>
        <w:trPr>
          <w:trHeight w:val="20"/>
        </w:trPr>
        <w:tc>
          <w:tcPr>
            <w:tcW w:w="728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51"/>
        </w:trPr>
        <w:tc>
          <w:tcPr>
            <w:tcW w:w="7280" w:type="dxa"/>
            <w:vAlign w:val="bottom"/>
            <w:tcBorders>
              <w:bottom w:val="single" w:sz="8" w:color="808080"/>
            </w:tcBorders>
          </w:tcPr>
          <w:p>
            <w:pPr>
              <w:spacing w:after="0"/>
              <w:rPr>
                <w:sz w:val="24"/>
                <w:szCs w:val="24"/>
                <w:color w:val="auto"/>
              </w:rPr>
            </w:pPr>
          </w:p>
        </w:tc>
        <w:tc>
          <w:tcPr>
            <w:tcW w:w="21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1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7628255</wp:posOffset>
            </wp:positionH>
            <wp:positionV relativeFrom="paragraph">
              <wp:posOffset>-30480</wp:posOffset>
            </wp:positionV>
            <wp:extent cx="12700" cy="311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12700" cy="311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2240" w:h="15840" w:orient="portrait"/>
          <w:cols w:equalWidth="0" w:num="1">
            <w:col w:w="12040"/>
          </w:cols>
          <w:pgMar w:left="120" w:top="212" w:right="80" w:bottom="1440" w:gutter="0" w:footer="0" w:header="0"/>
        </w:sectPr>
      </w:pPr>
    </w:p>
    <w:bookmarkStart w:id="16" w:name="page17"/>
    <w:bookmarkEnd w:id="16"/>
    <w:p>
      <w:pPr>
        <w:ind w:left="6"/>
        <w:spacing w:after="0"/>
        <w:rPr>
          <w:sz w:val="20"/>
          <w:szCs w:val="20"/>
          <w:color w:val="auto"/>
        </w:rPr>
      </w:pPr>
      <w:r>
        <w:rPr>
          <w:rFonts w:ascii="Arial" w:cs="Arial" w:eastAsia="Arial" w:hAnsi="Arial"/>
          <w:sz w:val="17"/>
          <w:szCs w:val="17"/>
          <w:b w:val="1"/>
          <w:bCs w:val="1"/>
          <w:color w:val="auto"/>
        </w:rPr>
        <w:t>EXHIBIT II</w:t>
      </w:r>
    </w:p>
    <w:p>
      <w:pPr>
        <w:spacing w:after="0" w:line="247" w:lineRule="exact"/>
        <w:rPr>
          <w:sz w:val="20"/>
          <w:szCs w:val="20"/>
          <w:color w:val="auto"/>
        </w:rPr>
      </w:pPr>
    </w:p>
    <w:p>
      <w:pPr>
        <w:ind w:left="6"/>
        <w:spacing w:after="0"/>
        <w:rPr>
          <w:sz w:val="20"/>
          <w:szCs w:val="20"/>
          <w:color w:val="auto"/>
        </w:rPr>
      </w:pPr>
      <w:r>
        <w:rPr>
          <w:rFonts w:ascii="Arial" w:cs="Arial" w:eastAsia="Arial" w:hAnsi="Arial"/>
          <w:sz w:val="17"/>
          <w:szCs w:val="17"/>
          <w:b w:val="1"/>
          <w:bCs w:val="1"/>
          <w:color w:val="auto"/>
        </w:rPr>
        <w:t>Non-GAAP Financial Measures:</w:t>
      </w:r>
    </w:p>
    <w:p>
      <w:pPr>
        <w:spacing w:after="0" w:line="247" w:lineRule="exact"/>
        <w:rPr>
          <w:sz w:val="20"/>
          <w:szCs w:val="20"/>
          <w:color w:val="auto"/>
        </w:rPr>
      </w:pPr>
    </w:p>
    <w:p>
      <w:pPr>
        <w:ind w:left="6"/>
        <w:spacing w:after="0"/>
        <w:rPr>
          <w:sz w:val="20"/>
          <w:szCs w:val="20"/>
          <w:color w:val="auto"/>
        </w:rPr>
      </w:pPr>
      <w:r>
        <w:rPr>
          <w:rFonts w:ascii="Arial" w:cs="Arial" w:eastAsia="Arial" w:hAnsi="Arial"/>
          <w:sz w:val="17"/>
          <w:szCs w:val="17"/>
          <w:b w:val="1"/>
          <w:bCs w:val="1"/>
          <w:color w:val="auto"/>
        </w:rPr>
        <w:t>EBITDA, Adjusted EBITDA, Adjusted Profit and Adjusted EPS</w:t>
      </w:r>
    </w:p>
    <w:p>
      <w:pPr>
        <w:spacing w:after="0" w:line="253" w:lineRule="exact"/>
        <w:rPr>
          <w:sz w:val="20"/>
          <w:szCs w:val="20"/>
          <w:color w:val="auto"/>
        </w:rPr>
      </w:pPr>
    </w:p>
    <w:p>
      <w:pPr>
        <w:ind w:left="6" w:right="340"/>
        <w:spacing w:after="0" w:line="298" w:lineRule="auto"/>
        <w:rPr>
          <w:sz w:val="20"/>
          <w:szCs w:val="20"/>
          <w:color w:val="auto"/>
        </w:rPr>
      </w:pPr>
      <w:r>
        <w:rPr>
          <w:rFonts w:ascii="Arial" w:cs="Arial" w:eastAsia="Arial" w:hAnsi="Arial"/>
          <w:sz w:val="15"/>
          <w:szCs w:val="15"/>
          <w:color w:val="auto"/>
        </w:rPr>
        <w:t>EBITDA is defined as earnings before depreciation, amortization, financial income and costs, gain/loss on derivatives and taxes. Adjusted EBITDA is defined as EBITDA before foreign exchange gains/losses. Adjusted Profit represents earnings before write-off and accelerated amortization of unamortized loan fees/bond fees and premium, foreign exchange gains/losses and non-cash gain/loss on derivatives that includes (if any) (a) unrealized gain/loss on derivative financial instruments held for trading,</w:t>
      </w:r>
    </w:p>
    <w:p>
      <w:pPr>
        <w:spacing w:after="0" w:line="2" w:lineRule="exact"/>
        <w:rPr>
          <w:sz w:val="20"/>
          <w:szCs w:val="20"/>
          <w:color w:val="auto"/>
        </w:rPr>
      </w:pPr>
    </w:p>
    <w:p>
      <w:pPr>
        <w:ind w:left="6" w:right="40" w:hanging="6"/>
        <w:spacing w:after="0" w:line="302" w:lineRule="auto"/>
        <w:tabs>
          <w:tab w:leader="none" w:pos="248" w:val="left"/>
        </w:tabs>
        <w:numPr>
          <w:ilvl w:val="0"/>
          <w:numId w:val="8"/>
        </w:numPr>
        <w:rPr>
          <w:rFonts w:ascii="Arial" w:cs="Arial" w:eastAsia="Arial" w:hAnsi="Arial"/>
          <w:sz w:val="15"/>
          <w:szCs w:val="15"/>
          <w:color w:val="auto"/>
        </w:rPr>
      </w:pPr>
      <w:r>
        <w:rPr>
          <w:rFonts w:ascii="Arial" w:cs="Arial" w:eastAsia="Arial" w:hAnsi="Arial"/>
          <w:sz w:val="15"/>
          <w:szCs w:val="15"/>
          <w:color w:val="auto"/>
        </w:rPr>
        <w:t>recycled loss of cash flow hedges reclassified to profit or loss and (c) ineffective portion of cash flow hedges. Adjusted EPS represents earnings attributable to owners of the Group before non-cash gain/loss on derivatives as defined above, foreign exchange gains/losses and write-off and accelerated amortization of unamortized loan/bond fees and premium, divided by the weighted average number of shares outstanding. EBITDA, Adjusted EBITDA, Adjusted Profit and Adjusted EPS are non-GAAP financial measures that are used as supplemental financial measures by management and external users of financial statements, such as investors, to assess our financial and operating performance. We believe that these non-GAAP financial measures assist our management and investors by increasing the comparability of our performance from period to period. We believe that including EBITDA, Adjusted EBITDA, Adjusted Profit and Adjusted EPS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purchase and/or to continue to hold our common shares. This is achieved by excluding the potentially disparate effects between periods of, in the case of EBITDA and Adjusted EBITDA, financial costs, gain/loss on derivatives, taxes, depreciation and amortization; in the case of Adjusted EBITDA, foreign exchange gains/losses; and in the case of Adjusted Profit and Adjusted EPS, non-cash gain/loss on derivatives, foreign exchange gains/losses and write-off and accelerated amortization of unamortized loan/bond fees and premium, which items are affected by various and possibly changing financing methods, financial market conditions, capital structure and historical cost basis, and which items may significantly affect results of operations between periods.</w:t>
      </w:r>
    </w:p>
    <w:p>
      <w:pPr>
        <w:spacing w:after="0" w:line="188" w:lineRule="exact"/>
        <w:rPr>
          <w:sz w:val="20"/>
          <w:szCs w:val="20"/>
          <w:color w:val="auto"/>
        </w:rPr>
      </w:pPr>
    </w:p>
    <w:p>
      <w:pPr>
        <w:ind w:left="6" w:right="220"/>
        <w:spacing w:after="0" w:line="266" w:lineRule="auto"/>
        <w:rPr>
          <w:sz w:val="20"/>
          <w:szCs w:val="20"/>
          <w:color w:val="auto"/>
        </w:rPr>
      </w:pPr>
      <w:r>
        <w:rPr>
          <w:rFonts w:ascii="Arial" w:cs="Arial" w:eastAsia="Arial" w:hAnsi="Arial"/>
          <w:sz w:val="17"/>
          <w:szCs w:val="17"/>
          <w:color w:val="auto"/>
        </w:rPr>
        <w:t>EBITDA, Adjusted EBITDA, Adjusted Profit and Adjusted EPS have limitations as analytical tools and should not be considered as alternatives to, or as substitutes for, or superior to, profit, profit from operations, earnings per share or any other measure of operating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have to be replaced in the future, and EBITDA and Adjusted EBITDA do not reflect any cash requirements for such replacements. EBITDA, Adjusted EBITDA, Adjusted Profit and Adjusted EPS are not adjusted for all non-cash income or expense items that are reflected in our statements of cash flows and other companies in our industry may calculate these measures differently than we do, limiting their usefulness as a comparative measure.</w:t>
      </w:r>
    </w:p>
    <w:p>
      <w:pPr>
        <w:spacing w:after="0" w:line="206" w:lineRule="exact"/>
        <w:rPr>
          <w:sz w:val="20"/>
          <w:szCs w:val="20"/>
          <w:color w:val="auto"/>
        </w:rPr>
      </w:pPr>
    </w:p>
    <w:p>
      <w:pPr>
        <w:ind w:left="6" w:right="200"/>
        <w:spacing w:after="0" w:line="271" w:lineRule="auto"/>
        <w:rPr>
          <w:sz w:val="20"/>
          <w:szCs w:val="20"/>
          <w:color w:val="auto"/>
        </w:rPr>
      </w:pPr>
      <w:r>
        <w:rPr>
          <w:rFonts w:ascii="Arial" w:cs="Arial" w:eastAsia="Arial" w:hAnsi="Arial"/>
          <w:sz w:val="17"/>
          <w:szCs w:val="17"/>
          <w:color w:val="auto"/>
        </w:rPr>
        <w:t>In evaluating Adjusted EBITDA, Adjusted Profit and Adjusted EPS, you should be aware that in the future we may incur expenses that are the same as or similar to some of the adjustments in this presentation. Our presentation of Adjusted EBITDA, Adjusted Profit and Adjusted EPS should not be construed as an inference that our future results will be unaffected by the excluded items. Therefore, the non-GAAP financial measures as presented below may not be comparable to similarly titled measures of other companies in the shipping or other industries.</w:t>
      </w:r>
    </w:p>
    <w:p>
      <w:pPr>
        <w:spacing w:after="0" w:line="195" w:lineRule="exact"/>
        <w:rPr>
          <w:sz w:val="20"/>
          <w:szCs w:val="20"/>
          <w:color w:val="auto"/>
        </w:rPr>
      </w:pPr>
    </w:p>
    <w:p>
      <w:pPr>
        <w:ind w:left="6"/>
        <w:spacing w:after="0"/>
        <w:rPr>
          <w:sz w:val="20"/>
          <w:szCs w:val="20"/>
          <w:color w:val="auto"/>
        </w:rPr>
      </w:pPr>
      <w:r>
        <w:rPr>
          <w:rFonts w:ascii="Arial" w:cs="Arial" w:eastAsia="Arial" w:hAnsi="Arial"/>
          <w:sz w:val="17"/>
          <w:szCs w:val="17"/>
          <w:b w:val="1"/>
          <w:bCs w:val="1"/>
          <w:color w:val="auto"/>
        </w:rPr>
        <w:t>Reconciliation of Profit to EBITDA and Adjusted EBITDA:</w:t>
      </w:r>
    </w:p>
    <w:p>
      <w:pPr>
        <w:spacing w:after="0" w:line="27" w:lineRule="exact"/>
        <w:rPr>
          <w:sz w:val="20"/>
          <w:szCs w:val="20"/>
          <w:color w:val="auto"/>
        </w:rPr>
      </w:pPr>
    </w:p>
    <w:p>
      <w:pPr>
        <w:ind w:left="6"/>
        <w:spacing w:after="0"/>
        <w:rPr>
          <w:sz w:val="20"/>
          <w:szCs w:val="20"/>
          <w:color w:val="auto"/>
        </w:rPr>
      </w:pPr>
      <w:r>
        <w:rPr>
          <w:rFonts w:ascii="Arial" w:cs="Arial" w:eastAsia="Arial" w:hAnsi="Arial"/>
          <w:sz w:val="17"/>
          <w:szCs w:val="17"/>
          <w:b w:val="1"/>
          <w:bCs w:val="1"/>
          <w:color w:val="auto"/>
        </w:rPr>
        <w:t>(Amounts expressed in thousands of U.S. Dollars)</w:t>
      </w:r>
    </w:p>
    <w:p>
      <w:pPr>
        <w:spacing w:after="0" w:line="238" w:lineRule="exact"/>
        <w:rPr>
          <w:sz w:val="20"/>
          <w:szCs w:val="20"/>
          <w:color w:val="auto"/>
        </w:rPr>
      </w:pPr>
    </w:p>
    <w:tbl>
      <w:tblPr>
        <w:tblLayout w:type="fixed"/>
        <w:tblInd w:w="6" w:type="dxa"/>
        <w:tblCellMar>
          <w:top w:w="0" w:type="dxa"/>
          <w:left w:w="0" w:type="dxa"/>
          <w:bottom w:w="0" w:type="dxa"/>
          <w:right w:w="0" w:type="dxa"/>
        </w:tblCellMar>
      </w:tblPr>
      <w:tr>
        <w:trPr>
          <w:trHeight w:val="214"/>
        </w:trPr>
        <w:tc>
          <w:tcPr>
            <w:tcW w:w="5420" w:type="dxa"/>
            <w:vAlign w:val="bottom"/>
          </w:tcPr>
          <w:p>
            <w:pPr>
              <w:spacing w:after="0"/>
              <w:rPr>
                <w:sz w:val="18"/>
                <w:szCs w:val="18"/>
                <w:color w:val="auto"/>
              </w:rPr>
            </w:pPr>
          </w:p>
        </w:tc>
        <w:tc>
          <w:tcPr>
            <w:tcW w:w="3360" w:type="dxa"/>
            <w:vAlign w:val="bottom"/>
            <w:gridSpan w:val="4"/>
          </w:tcPr>
          <w:p>
            <w:pPr>
              <w:ind w:left="560"/>
              <w:spacing w:after="0"/>
              <w:rPr>
                <w:sz w:val="20"/>
                <w:szCs w:val="20"/>
                <w:color w:val="auto"/>
              </w:rPr>
            </w:pPr>
            <w:r>
              <w:rPr>
                <w:rFonts w:ascii="Arial" w:cs="Arial" w:eastAsia="Arial" w:hAnsi="Arial"/>
                <w:sz w:val="17"/>
                <w:szCs w:val="17"/>
                <w:b w:val="1"/>
                <w:bCs w:val="1"/>
                <w:color w:val="auto"/>
              </w:rPr>
              <w:t>For the three months ended</w:t>
            </w:r>
          </w:p>
        </w:tc>
        <w:tc>
          <w:tcPr>
            <w:tcW w:w="3220" w:type="dxa"/>
            <w:vAlign w:val="bottom"/>
            <w:gridSpan w:val="3"/>
          </w:tcPr>
          <w:p>
            <w:pPr>
              <w:jc w:val="right"/>
              <w:ind w:right="894"/>
              <w:spacing w:after="0"/>
              <w:rPr>
                <w:sz w:val="20"/>
                <w:szCs w:val="20"/>
                <w:color w:val="auto"/>
              </w:rPr>
            </w:pPr>
            <w:r>
              <w:rPr>
                <w:rFonts w:ascii="Arial" w:cs="Arial" w:eastAsia="Arial" w:hAnsi="Arial"/>
                <w:sz w:val="17"/>
                <w:szCs w:val="17"/>
                <w:b w:val="1"/>
                <w:bCs w:val="1"/>
                <w:color w:val="auto"/>
              </w:rPr>
              <w:t>For the year ended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20" w:type="dxa"/>
            <w:vAlign w:val="bottom"/>
          </w:tcPr>
          <w:p>
            <w:pPr>
              <w:spacing w:after="0"/>
              <w:rPr>
                <w:sz w:val="18"/>
                <w:szCs w:val="18"/>
                <w:color w:val="auto"/>
              </w:rPr>
            </w:pPr>
          </w:p>
        </w:tc>
        <w:tc>
          <w:tcPr>
            <w:tcW w:w="170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December 31,</w:t>
            </w:r>
          </w:p>
        </w:tc>
        <w:tc>
          <w:tcPr>
            <w:tcW w:w="166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rPr>
              <w:t>December 31,</w:t>
            </w:r>
          </w:p>
        </w:tc>
        <w:tc>
          <w:tcPr>
            <w:tcW w:w="166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rPr>
              <w:t>December 31,</w:t>
            </w:r>
          </w:p>
        </w:tc>
        <w:tc>
          <w:tcPr>
            <w:tcW w:w="1560" w:type="dxa"/>
            <w:vAlign w:val="bottom"/>
          </w:tcPr>
          <w:p>
            <w:pPr>
              <w:jc w:val="right"/>
              <w:ind w:right="254"/>
              <w:spacing w:after="0"/>
              <w:rPr>
                <w:sz w:val="20"/>
                <w:szCs w:val="20"/>
                <w:color w:val="auto"/>
              </w:rPr>
            </w:pPr>
            <w:r>
              <w:rPr>
                <w:rFonts w:ascii="Arial" w:cs="Arial" w:eastAsia="Arial" w:hAnsi="Arial"/>
                <w:sz w:val="17"/>
                <w:szCs w:val="17"/>
                <w:b w:val="1"/>
                <w:bCs w:val="1"/>
                <w:color w:val="auto"/>
              </w:rPr>
              <w:t>December 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420" w:type="dxa"/>
            <w:vAlign w:val="bottom"/>
            <w:tcBorders>
              <w:bottom w:val="single" w:sz="8" w:color="E5FFFF"/>
            </w:tcBorders>
          </w:tcPr>
          <w:p>
            <w:pPr>
              <w:spacing w:after="0"/>
              <w:rPr>
                <w:sz w:val="19"/>
                <w:szCs w:val="19"/>
                <w:color w:val="auto"/>
              </w:rPr>
            </w:pPr>
          </w:p>
        </w:tc>
        <w:tc>
          <w:tcPr>
            <w:tcW w:w="1440" w:type="dxa"/>
            <w:vAlign w:val="bottom"/>
            <w:tcBorders>
              <w:bottom w:val="single" w:sz="8" w:color="auto"/>
            </w:tcBorders>
          </w:tcPr>
          <w:p>
            <w:pPr>
              <w:ind w:left="540"/>
              <w:spacing w:after="0"/>
              <w:rPr>
                <w:sz w:val="20"/>
                <w:szCs w:val="20"/>
                <w:color w:val="auto"/>
              </w:rPr>
            </w:pPr>
            <w:r>
              <w:rPr>
                <w:rFonts w:ascii="Arial" w:cs="Arial" w:eastAsia="Arial" w:hAnsi="Arial"/>
                <w:sz w:val="17"/>
                <w:szCs w:val="17"/>
                <w:b w:val="1"/>
                <w:bCs w:val="1"/>
                <w:color w:val="auto"/>
              </w:rPr>
              <w:t>2017</w:t>
            </w:r>
          </w:p>
        </w:tc>
        <w:tc>
          <w:tcPr>
            <w:tcW w:w="260" w:type="dxa"/>
            <w:vAlign w:val="bottom"/>
            <w:tcBorders>
              <w:bottom w:val="single" w:sz="8" w:color="E5FFFF"/>
            </w:tcBorders>
          </w:tcPr>
          <w:p>
            <w:pPr>
              <w:spacing w:after="0"/>
              <w:rPr>
                <w:sz w:val="19"/>
                <w:szCs w:val="19"/>
                <w:color w:val="auto"/>
              </w:rPr>
            </w:pPr>
          </w:p>
        </w:tc>
        <w:tc>
          <w:tcPr>
            <w:tcW w:w="144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2018</w:t>
            </w:r>
          </w:p>
        </w:tc>
        <w:tc>
          <w:tcPr>
            <w:tcW w:w="220" w:type="dxa"/>
            <w:vAlign w:val="bottom"/>
            <w:tcBorders>
              <w:bottom w:val="single" w:sz="8" w:color="E5FFFF"/>
            </w:tcBorders>
          </w:tcPr>
          <w:p>
            <w:pPr>
              <w:spacing w:after="0"/>
              <w:rPr>
                <w:sz w:val="19"/>
                <w:szCs w:val="19"/>
                <w:color w:val="auto"/>
              </w:rPr>
            </w:pPr>
          </w:p>
        </w:tc>
        <w:tc>
          <w:tcPr>
            <w:tcW w:w="144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2017</w:t>
            </w:r>
          </w:p>
        </w:tc>
        <w:tc>
          <w:tcPr>
            <w:tcW w:w="220" w:type="dxa"/>
            <w:vAlign w:val="bottom"/>
            <w:tcBorders>
              <w:bottom w:val="single" w:sz="8" w:color="E5FFFF"/>
            </w:tcBorders>
          </w:tcPr>
          <w:p>
            <w:pPr>
              <w:spacing w:after="0"/>
              <w:rPr>
                <w:sz w:val="19"/>
                <w:szCs w:val="19"/>
                <w:color w:val="auto"/>
              </w:rPr>
            </w:pPr>
          </w:p>
        </w:tc>
        <w:tc>
          <w:tcPr>
            <w:tcW w:w="156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420" w:type="dxa"/>
            <w:vAlign w:val="bottom"/>
            <w:shd w:val="clear" w:color="auto" w:fill="E5FFFF"/>
          </w:tcPr>
          <w:p>
            <w:pPr>
              <w:spacing w:after="0"/>
              <w:rPr>
                <w:sz w:val="20"/>
                <w:szCs w:val="20"/>
                <w:color w:val="auto"/>
              </w:rPr>
            </w:pPr>
            <w:r>
              <w:rPr>
                <w:rFonts w:ascii="Arial" w:cs="Arial" w:eastAsia="Arial" w:hAnsi="Arial"/>
                <w:sz w:val="17"/>
                <w:szCs w:val="17"/>
                <w:color w:val="auto"/>
              </w:rPr>
              <w:t>Profit for the period</w:t>
            </w:r>
          </w:p>
        </w:tc>
        <w:tc>
          <w:tcPr>
            <w:tcW w:w="1700" w:type="dxa"/>
            <w:vAlign w:val="bottom"/>
            <w:gridSpan w:val="2"/>
            <w:shd w:val="clear" w:color="auto" w:fill="E5FFFF"/>
          </w:tcPr>
          <w:p>
            <w:pPr>
              <w:jc w:val="right"/>
              <w:ind w:right="260"/>
              <w:spacing w:after="0"/>
              <w:rPr>
                <w:sz w:val="20"/>
                <w:szCs w:val="20"/>
                <w:color w:val="auto"/>
              </w:rPr>
            </w:pPr>
            <w:r>
              <w:rPr>
                <w:rFonts w:ascii="Arial" w:cs="Arial" w:eastAsia="Arial" w:hAnsi="Arial"/>
                <w:sz w:val="17"/>
                <w:szCs w:val="17"/>
                <w:color w:val="auto"/>
              </w:rPr>
              <w:t>29,685</w:t>
            </w:r>
          </w:p>
        </w:tc>
        <w:tc>
          <w:tcPr>
            <w:tcW w:w="1660" w:type="dxa"/>
            <w:vAlign w:val="bottom"/>
            <w:gridSpan w:val="2"/>
            <w:shd w:val="clear" w:color="auto" w:fill="E5FFFF"/>
          </w:tcPr>
          <w:p>
            <w:pPr>
              <w:jc w:val="right"/>
              <w:ind w:right="220"/>
              <w:spacing w:after="0"/>
              <w:rPr>
                <w:sz w:val="20"/>
                <w:szCs w:val="20"/>
                <w:color w:val="auto"/>
              </w:rPr>
            </w:pPr>
            <w:r>
              <w:rPr>
                <w:rFonts w:ascii="Arial" w:cs="Arial" w:eastAsia="Arial" w:hAnsi="Arial"/>
                <w:sz w:val="17"/>
                <w:szCs w:val="17"/>
                <w:color w:val="auto"/>
              </w:rPr>
              <w:t>30,384</w:t>
            </w:r>
          </w:p>
        </w:tc>
        <w:tc>
          <w:tcPr>
            <w:tcW w:w="14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84,209</w:t>
            </w:r>
          </w:p>
        </w:tc>
        <w:tc>
          <w:tcPr>
            <w:tcW w:w="220" w:type="dxa"/>
            <w:vAlign w:val="bottom"/>
            <w:shd w:val="clear" w:color="auto" w:fill="E5FFFF"/>
          </w:tcPr>
          <w:p>
            <w:pPr>
              <w:spacing w:after="0"/>
              <w:rPr>
                <w:sz w:val="22"/>
                <w:szCs w:val="22"/>
                <w:color w:val="auto"/>
              </w:rPr>
            </w:pPr>
          </w:p>
        </w:tc>
        <w:tc>
          <w:tcPr>
            <w:tcW w:w="1560" w:type="dxa"/>
            <w:vAlign w:val="bottom"/>
            <w:shd w:val="clear" w:color="auto" w:fill="E5FFFF"/>
          </w:tcPr>
          <w:p>
            <w:pPr>
              <w:jc w:val="right"/>
              <w:ind w:right="34"/>
              <w:spacing w:after="0"/>
              <w:rPr>
                <w:sz w:val="20"/>
                <w:szCs w:val="20"/>
                <w:color w:val="auto"/>
              </w:rPr>
            </w:pPr>
            <w:r>
              <w:rPr>
                <w:rFonts w:ascii="Arial" w:cs="Arial" w:eastAsia="Arial" w:hAnsi="Arial"/>
                <w:sz w:val="17"/>
                <w:szCs w:val="17"/>
                <w:color w:val="auto"/>
              </w:rPr>
              <w:t>126,398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5420" w:type="dxa"/>
            <w:vAlign w:val="bottom"/>
          </w:tcPr>
          <w:p>
            <w:pPr>
              <w:spacing w:after="0"/>
              <w:rPr>
                <w:sz w:val="20"/>
                <w:szCs w:val="20"/>
                <w:color w:val="auto"/>
              </w:rPr>
            </w:pPr>
            <w:r>
              <w:rPr>
                <w:rFonts w:ascii="Arial" w:cs="Arial" w:eastAsia="Arial" w:hAnsi="Arial"/>
                <w:sz w:val="17"/>
                <w:szCs w:val="17"/>
                <w:color w:val="auto"/>
              </w:rPr>
              <w:t>Depreciation</w:t>
            </w:r>
          </w:p>
        </w:tc>
        <w:tc>
          <w:tcPr>
            <w:tcW w:w="1700" w:type="dxa"/>
            <w:vAlign w:val="bottom"/>
            <w:gridSpan w:val="2"/>
          </w:tcPr>
          <w:p>
            <w:pPr>
              <w:jc w:val="right"/>
              <w:ind w:right="260"/>
              <w:spacing w:after="0"/>
              <w:rPr>
                <w:sz w:val="20"/>
                <w:szCs w:val="20"/>
                <w:color w:val="auto"/>
              </w:rPr>
            </w:pPr>
            <w:r>
              <w:rPr>
                <w:rFonts w:ascii="Arial" w:cs="Arial" w:eastAsia="Arial" w:hAnsi="Arial"/>
                <w:sz w:val="17"/>
                <w:szCs w:val="17"/>
                <w:color w:val="auto"/>
              </w:rPr>
              <w:t>34,581</w:t>
            </w:r>
          </w:p>
        </w:tc>
        <w:tc>
          <w:tcPr>
            <w:tcW w:w="1660" w:type="dxa"/>
            <w:vAlign w:val="bottom"/>
            <w:gridSpan w:val="2"/>
          </w:tcPr>
          <w:p>
            <w:pPr>
              <w:jc w:val="right"/>
              <w:ind w:right="220"/>
              <w:spacing w:after="0"/>
              <w:rPr>
                <w:sz w:val="20"/>
                <w:szCs w:val="20"/>
                <w:color w:val="auto"/>
              </w:rPr>
            </w:pPr>
            <w:r>
              <w:rPr>
                <w:rFonts w:ascii="Arial" w:cs="Arial" w:eastAsia="Arial" w:hAnsi="Arial"/>
                <w:sz w:val="17"/>
                <w:szCs w:val="17"/>
                <w:color w:val="auto"/>
              </w:rPr>
              <w:t>39,510</w:t>
            </w:r>
          </w:p>
        </w:tc>
        <w:tc>
          <w:tcPr>
            <w:tcW w:w="1440" w:type="dxa"/>
            <w:vAlign w:val="bottom"/>
          </w:tcPr>
          <w:p>
            <w:pPr>
              <w:jc w:val="right"/>
              <w:spacing w:after="0"/>
              <w:rPr>
                <w:sz w:val="20"/>
                <w:szCs w:val="20"/>
                <w:color w:val="auto"/>
              </w:rPr>
            </w:pPr>
            <w:r>
              <w:rPr>
                <w:rFonts w:ascii="Arial" w:cs="Arial" w:eastAsia="Arial" w:hAnsi="Arial"/>
                <w:sz w:val="17"/>
                <w:szCs w:val="17"/>
                <w:color w:val="auto"/>
              </w:rPr>
              <w:t>137,187</w:t>
            </w:r>
          </w:p>
        </w:tc>
        <w:tc>
          <w:tcPr>
            <w:tcW w:w="220" w:type="dxa"/>
            <w:vAlign w:val="bottom"/>
          </w:tcPr>
          <w:p>
            <w:pPr>
              <w:spacing w:after="0"/>
              <w:rPr>
                <w:sz w:val="22"/>
                <w:szCs w:val="22"/>
                <w:color w:val="auto"/>
              </w:rPr>
            </w:pPr>
          </w:p>
        </w:tc>
        <w:tc>
          <w:tcPr>
            <w:tcW w:w="1560" w:type="dxa"/>
            <w:vAlign w:val="bottom"/>
          </w:tcPr>
          <w:p>
            <w:pPr>
              <w:jc w:val="right"/>
              <w:ind w:right="34"/>
              <w:spacing w:after="0"/>
              <w:rPr>
                <w:sz w:val="20"/>
                <w:szCs w:val="20"/>
                <w:color w:val="auto"/>
              </w:rPr>
            </w:pPr>
            <w:r>
              <w:rPr>
                <w:rFonts w:ascii="Arial" w:cs="Arial" w:eastAsia="Arial" w:hAnsi="Arial"/>
                <w:sz w:val="17"/>
                <w:szCs w:val="17"/>
                <w:color w:val="auto"/>
              </w:rPr>
              <w:t>153,193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420" w:type="dxa"/>
            <w:vAlign w:val="bottom"/>
            <w:shd w:val="clear" w:color="auto" w:fill="E5FFFF"/>
          </w:tcPr>
          <w:p>
            <w:pPr>
              <w:spacing w:after="0"/>
              <w:rPr>
                <w:sz w:val="20"/>
                <w:szCs w:val="20"/>
                <w:color w:val="auto"/>
              </w:rPr>
            </w:pPr>
            <w:r>
              <w:rPr>
                <w:rFonts w:ascii="Arial" w:cs="Arial" w:eastAsia="Arial" w:hAnsi="Arial"/>
                <w:sz w:val="17"/>
                <w:szCs w:val="17"/>
                <w:color w:val="auto"/>
              </w:rPr>
              <w:t>Financial costs</w:t>
            </w:r>
          </w:p>
        </w:tc>
        <w:tc>
          <w:tcPr>
            <w:tcW w:w="1700" w:type="dxa"/>
            <w:vAlign w:val="bottom"/>
            <w:gridSpan w:val="2"/>
            <w:shd w:val="clear" w:color="auto" w:fill="E5FFFF"/>
          </w:tcPr>
          <w:p>
            <w:pPr>
              <w:jc w:val="right"/>
              <w:ind w:right="260"/>
              <w:spacing w:after="0"/>
              <w:rPr>
                <w:sz w:val="20"/>
                <w:szCs w:val="20"/>
                <w:color w:val="auto"/>
              </w:rPr>
            </w:pPr>
            <w:r>
              <w:rPr>
                <w:rFonts w:ascii="Arial" w:cs="Arial" w:eastAsia="Arial" w:hAnsi="Arial"/>
                <w:sz w:val="17"/>
                <w:szCs w:val="17"/>
                <w:color w:val="auto"/>
              </w:rPr>
              <w:t>34,870</w:t>
            </w:r>
          </w:p>
        </w:tc>
        <w:tc>
          <w:tcPr>
            <w:tcW w:w="1660" w:type="dxa"/>
            <w:vAlign w:val="bottom"/>
            <w:gridSpan w:val="2"/>
            <w:shd w:val="clear" w:color="auto" w:fill="E5FFFF"/>
          </w:tcPr>
          <w:p>
            <w:pPr>
              <w:jc w:val="right"/>
              <w:ind w:right="220"/>
              <w:spacing w:after="0"/>
              <w:rPr>
                <w:sz w:val="20"/>
                <w:szCs w:val="20"/>
                <w:color w:val="auto"/>
              </w:rPr>
            </w:pPr>
            <w:r>
              <w:rPr>
                <w:rFonts w:ascii="Arial" w:cs="Arial" w:eastAsia="Arial" w:hAnsi="Arial"/>
                <w:sz w:val="17"/>
                <w:szCs w:val="17"/>
                <w:color w:val="auto"/>
              </w:rPr>
              <w:t>44,122</w:t>
            </w:r>
          </w:p>
        </w:tc>
        <w:tc>
          <w:tcPr>
            <w:tcW w:w="14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139,181</w:t>
            </w:r>
          </w:p>
        </w:tc>
        <w:tc>
          <w:tcPr>
            <w:tcW w:w="220" w:type="dxa"/>
            <w:vAlign w:val="bottom"/>
            <w:shd w:val="clear" w:color="auto" w:fill="E5FFFF"/>
          </w:tcPr>
          <w:p>
            <w:pPr>
              <w:spacing w:after="0"/>
              <w:rPr>
                <w:sz w:val="22"/>
                <w:szCs w:val="22"/>
                <w:color w:val="auto"/>
              </w:rPr>
            </w:pPr>
          </w:p>
        </w:tc>
        <w:tc>
          <w:tcPr>
            <w:tcW w:w="1560" w:type="dxa"/>
            <w:vAlign w:val="bottom"/>
            <w:shd w:val="clear" w:color="auto" w:fill="E5FFFF"/>
          </w:tcPr>
          <w:p>
            <w:pPr>
              <w:jc w:val="right"/>
              <w:ind w:right="34"/>
              <w:spacing w:after="0"/>
              <w:rPr>
                <w:sz w:val="20"/>
                <w:szCs w:val="20"/>
                <w:color w:val="auto"/>
              </w:rPr>
            </w:pPr>
            <w:r>
              <w:rPr>
                <w:rFonts w:ascii="Arial" w:cs="Arial" w:eastAsia="Arial" w:hAnsi="Arial"/>
                <w:sz w:val="17"/>
                <w:szCs w:val="17"/>
                <w:color w:val="auto"/>
              </w:rPr>
              <w:t>166,627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5420" w:type="dxa"/>
            <w:vAlign w:val="bottom"/>
          </w:tcPr>
          <w:p>
            <w:pPr>
              <w:spacing w:after="0"/>
              <w:rPr>
                <w:sz w:val="20"/>
                <w:szCs w:val="20"/>
                <w:color w:val="auto"/>
              </w:rPr>
            </w:pPr>
            <w:r>
              <w:rPr>
                <w:rFonts w:ascii="Arial" w:cs="Arial" w:eastAsia="Arial" w:hAnsi="Arial"/>
                <w:sz w:val="17"/>
                <w:szCs w:val="17"/>
                <w:color w:val="auto"/>
              </w:rPr>
              <w:t>Financial income</w:t>
            </w:r>
          </w:p>
        </w:tc>
        <w:tc>
          <w:tcPr>
            <w:tcW w:w="1700" w:type="dxa"/>
            <w:vAlign w:val="bottom"/>
            <w:gridSpan w:val="2"/>
          </w:tcPr>
          <w:p>
            <w:pPr>
              <w:jc w:val="right"/>
              <w:ind w:right="200"/>
              <w:spacing w:after="0"/>
              <w:rPr>
                <w:sz w:val="20"/>
                <w:szCs w:val="20"/>
                <w:color w:val="auto"/>
              </w:rPr>
            </w:pPr>
            <w:r>
              <w:rPr>
                <w:rFonts w:ascii="Arial" w:cs="Arial" w:eastAsia="Arial" w:hAnsi="Arial"/>
                <w:sz w:val="17"/>
                <w:szCs w:val="17"/>
                <w:color w:val="auto"/>
              </w:rPr>
              <w:t>(871)</w:t>
            </w:r>
          </w:p>
        </w:tc>
        <w:tc>
          <w:tcPr>
            <w:tcW w:w="1660" w:type="dxa"/>
            <w:vAlign w:val="bottom"/>
            <w:gridSpan w:val="2"/>
          </w:tcPr>
          <w:p>
            <w:pPr>
              <w:jc w:val="right"/>
              <w:ind w:right="180"/>
              <w:spacing w:after="0"/>
              <w:rPr>
                <w:sz w:val="20"/>
                <w:szCs w:val="20"/>
                <w:color w:val="auto"/>
              </w:rPr>
            </w:pPr>
            <w:r>
              <w:rPr>
                <w:rFonts w:ascii="Arial" w:cs="Arial" w:eastAsia="Arial" w:hAnsi="Arial"/>
                <w:sz w:val="17"/>
                <w:szCs w:val="17"/>
                <w:color w:val="auto"/>
              </w:rPr>
              <w:t>(1,417)</w:t>
            </w:r>
          </w:p>
        </w:tc>
        <w:tc>
          <w:tcPr>
            <w:tcW w:w="1660" w:type="dxa"/>
            <w:vAlign w:val="bottom"/>
            <w:gridSpan w:val="2"/>
          </w:tcPr>
          <w:p>
            <w:pPr>
              <w:jc w:val="right"/>
              <w:ind w:right="160"/>
              <w:spacing w:after="0"/>
              <w:rPr>
                <w:sz w:val="20"/>
                <w:szCs w:val="20"/>
                <w:color w:val="auto"/>
              </w:rPr>
            </w:pPr>
            <w:r>
              <w:rPr>
                <w:rFonts w:ascii="Arial" w:cs="Arial" w:eastAsia="Arial" w:hAnsi="Arial"/>
                <w:sz w:val="17"/>
                <w:szCs w:val="17"/>
                <w:color w:val="auto"/>
              </w:rPr>
              <w:t>(2,650)</w:t>
            </w:r>
          </w:p>
        </w:tc>
        <w:tc>
          <w:tcPr>
            <w:tcW w:w="1560" w:type="dxa"/>
            <w:vAlign w:val="bottom"/>
          </w:tcPr>
          <w:p>
            <w:pPr>
              <w:jc w:val="right"/>
              <w:spacing w:after="0"/>
              <w:rPr>
                <w:sz w:val="20"/>
                <w:szCs w:val="20"/>
                <w:color w:val="auto"/>
              </w:rPr>
            </w:pPr>
            <w:r>
              <w:rPr>
                <w:rFonts w:ascii="Arial" w:cs="Arial" w:eastAsia="Arial" w:hAnsi="Arial"/>
                <w:sz w:val="17"/>
                <w:szCs w:val="17"/>
                <w:color w:val="auto"/>
              </w:rPr>
              <w:t>(4,784)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420" w:type="dxa"/>
            <w:vAlign w:val="bottom"/>
            <w:shd w:val="clear" w:color="auto" w:fill="E5FFFF"/>
          </w:tcPr>
          <w:p>
            <w:pPr>
              <w:spacing w:after="0"/>
              <w:rPr>
                <w:sz w:val="20"/>
                <w:szCs w:val="20"/>
                <w:color w:val="auto"/>
              </w:rPr>
            </w:pPr>
            <w:r>
              <w:rPr>
                <w:rFonts w:ascii="Arial" w:cs="Arial" w:eastAsia="Arial" w:hAnsi="Arial"/>
                <w:sz w:val="17"/>
                <w:szCs w:val="17"/>
                <w:color w:val="auto"/>
              </w:rPr>
              <w:t>(Gain)/loss on derivatives</w:t>
            </w:r>
          </w:p>
        </w:tc>
        <w:tc>
          <w:tcPr>
            <w:tcW w:w="1700" w:type="dxa"/>
            <w:vAlign w:val="bottom"/>
            <w:gridSpan w:val="2"/>
            <w:shd w:val="clear" w:color="auto" w:fill="E5FFFF"/>
          </w:tcPr>
          <w:p>
            <w:pPr>
              <w:jc w:val="right"/>
              <w:ind w:right="200"/>
              <w:spacing w:after="0"/>
              <w:rPr>
                <w:sz w:val="20"/>
                <w:szCs w:val="20"/>
                <w:color w:val="auto"/>
              </w:rPr>
            </w:pPr>
            <w:r>
              <w:rPr>
                <w:rFonts w:ascii="Arial" w:cs="Arial" w:eastAsia="Arial" w:hAnsi="Arial"/>
                <w:sz w:val="17"/>
                <w:szCs w:val="17"/>
                <w:color w:val="auto"/>
              </w:rPr>
              <w:t>(8,610)</w:t>
            </w:r>
          </w:p>
        </w:tc>
        <w:tc>
          <w:tcPr>
            <w:tcW w:w="1660" w:type="dxa"/>
            <w:vAlign w:val="bottom"/>
            <w:gridSpan w:val="2"/>
            <w:shd w:val="clear" w:color="auto" w:fill="E5FFFF"/>
          </w:tcPr>
          <w:p>
            <w:pPr>
              <w:jc w:val="right"/>
              <w:ind w:right="220"/>
              <w:spacing w:after="0"/>
              <w:rPr>
                <w:sz w:val="20"/>
                <w:szCs w:val="20"/>
                <w:color w:val="auto"/>
              </w:rPr>
            </w:pPr>
            <w:r>
              <w:rPr>
                <w:rFonts w:ascii="Arial" w:cs="Arial" w:eastAsia="Arial" w:hAnsi="Arial"/>
                <w:sz w:val="17"/>
                <w:szCs w:val="17"/>
                <w:color w:val="auto"/>
              </w:rPr>
              <w:t>32,383</w:t>
            </w:r>
          </w:p>
        </w:tc>
        <w:tc>
          <w:tcPr>
            <w:tcW w:w="1660" w:type="dxa"/>
            <w:vAlign w:val="bottom"/>
            <w:gridSpan w:val="2"/>
            <w:shd w:val="clear" w:color="auto" w:fill="E5FFFF"/>
          </w:tcPr>
          <w:p>
            <w:pPr>
              <w:jc w:val="right"/>
              <w:ind w:right="160"/>
              <w:spacing w:after="0"/>
              <w:rPr>
                <w:sz w:val="20"/>
                <w:szCs w:val="20"/>
                <w:color w:val="auto"/>
              </w:rPr>
            </w:pPr>
            <w:r>
              <w:rPr>
                <w:rFonts w:ascii="Arial" w:cs="Arial" w:eastAsia="Arial" w:hAnsi="Arial"/>
                <w:sz w:val="17"/>
                <w:szCs w:val="17"/>
                <w:color w:val="auto"/>
              </w:rPr>
              <w:t>(2,025)</w:t>
            </w:r>
          </w:p>
        </w:tc>
        <w:tc>
          <w:tcPr>
            <w:tcW w:w="1560" w:type="dxa"/>
            <w:vAlign w:val="bottom"/>
            <w:shd w:val="clear" w:color="auto" w:fill="E5FFFF"/>
          </w:tcPr>
          <w:p>
            <w:pPr>
              <w:jc w:val="right"/>
              <w:ind w:right="34"/>
              <w:spacing w:after="0"/>
              <w:rPr>
                <w:sz w:val="20"/>
                <w:szCs w:val="20"/>
                <w:color w:val="auto"/>
              </w:rPr>
            </w:pPr>
            <w:r>
              <w:rPr>
                <w:rFonts w:ascii="Arial" w:cs="Arial" w:eastAsia="Arial" w:hAnsi="Arial"/>
                <w:sz w:val="17"/>
                <w:szCs w:val="17"/>
                <w:color w:val="auto"/>
              </w:rPr>
              <w:t>6,077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7"/>
                <w:szCs w:val="17"/>
                <w:b w:val="1"/>
                <w:bCs w:val="1"/>
                <w:color w:val="auto"/>
              </w:rPr>
              <w:t>EBITDA</w:t>
            </w:r>
          </w:p>
        </w:tc>
        <w:tc>
          <w:tcPr>
            <w:tcW w:w="1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420" w:type="dxa"/>
            <w:vAlign w:val="bottom"/>
            <w:vMerge w:val="continue"/>
          </w:tcPr>
          <w:p>
            <w:pPr>
              <w:spacing w:after="0"/>
              <w:rPr>
                <w:sz w:val="21"/>
                <w:szCs w:val="21"/>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89,655</w:t>
            </w:r>
          </w:p>
        </w:tc>
        <w:tc>
          <w:tcPr>
            <w:tcW w:w="16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144,982</w:t>
            </w:r>
          </w:p>
        </w:tc>
        <w:tc>
          <w:tcPr>
            <w:tcW w:w="1440" w:type="dxa"/>
            <w:vAlign w:val="bottom"/>
          </w:tcPr>
          <w:p>
            <w:pPr>
              <w:jc w:val="right"/>
              <w:spacing w:after="0"/>
              <w:rPr>
                <w:sz w:val="20"/>
                <w:szCs w:val="20"/>
                <w:color w:val="auto"/>
              </w:rPr>
            </w:pPr>
            <w:r>
              <w:rPr>
                <w:rFonts w:ascii="Arial" w:cs="Arial" w:eastAsia="Arial" w:hAnsi="Arial"/>
                <w:sz w:val="17"/>
                <w:szCs w:val="17"/>
                <w:b w:val="1"/>
                <w:bCs w:val="1"/>
                <w:color w:val="auto"/>
              </w:rPr>
              <w:t>355,902</w:t>
            </w:r>
          </w:p>
        </w:tc>
        <w:tc>
          <w:tcPr>
            <w:tcW w:w="220" w:type="dxa"/>
            <w:vAlign w:val="bottom"/>
          </w:tcPr>
          <w:p>
            <w:pPr>
              <w:spacing w:after="0"/>
              <w:rPr>
                <w:sz w:val="21"/>
                <w:szCs w:val="21"/>
                <w:color w:val="auto"/>
              </w:rPr>
            </w:pPr>
          </w:p>
        </w:tc>
        <w:tc>
          <w:tcPr>
            <w:tcW w:w="1560" w:type="dxa"/>
            <w:vAlign w:val="bottom"/>
          </w:tcPr>
          <w:p>
            <w:pPr>
              <w:jc w:val="right"/>
              <w:ind w:right="34"/>
              <w:spacing w:after="0"/>
              <w:rPr>
                <w:sz w:val="20"/>
                <w:szCs w:val="20"/>
                <w:color w:val="auto"/>
              </w:rPr>
            </w:pPr>
            <w:r>
              <w:rPr>
                <w:rFonts w:ascii="Arial" w:cs="Arial" w:eastAsia="Arial" w:hAnsi="Arial"/>
                <w:sz w:val="17"/>
                <w:szCs w:val="17"/>
                <w:b w:val="1"/>
                <w:bCs w:val="1"/>
                <w:color w:val="auto"/>
              </w:rPr>
              <w:t>447,511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shd w:val="clear" w:color="auto" w:fill="E5FFFF"/>
          </w:tcPr>
          <w:p>
            <w:pPr>
              <w:spacing w:after="0"/>
              <w:rPr>
                <w:sz w:val="20"/>
                <w:szCs w:val="20"/>
                <w:color w:val="auto"/>
              </w:rPr>
            </w:pPr>
            <w:r>
              <w:rPr>
                <w:rFonts w:ascii="Arial" w:cs="Arial" w:eastAsia="Arial" w:hAnsi="Arial"/>
                <w:sz w:val="17"/>
                <w:szCs w:val="17"/>
                <w:color w:val="auto"/>
              </w:rPr>
              <w:t>Foreign exchange losses, net</w:t>
            </w:r>
          </w:p>
        </w:tc>
        <w:tc>
          <w:tcPr>
            <w:tcW w:w="1440" w:type="dxa"/>
            <w:vAlign w:val="bottom"/>
            <w:shd w:val="clear" w:color="auto" w:fill="000000"/>
          </w:tcPr>
          <w:p>
            <w:pPr>
              <w:spacing w:after="0" w:line="20" w:lineRule="exact"/>
              <w:rPr>
                <w:sz w:val="1"/>
                <w:szCs w:val="1"/>
                <w:color w:val="auto"/>
              </w:rPr>
            </w:pPr>
          </w:p>
        </w:tc>
        <w:tc>
          <w:tcPr>
            <w:tcW w:w="260" w:type="dxa"/>
            <w:vAlign w:val="bottom"/>
            <w:shd w:val="clear" w:color="auto" w:fill="E5FF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5420" w:type="dxa"/>
            <w:vAlign w:val="bottom"/>
            <w:vMerge w:val="continue"/>
            <w:shd w:val="clear" w:color="auto" w:fill="E5FFFF"/>
          </w:tcPr>
          <w:p>
            <w:pPr>
              <w:spacing w:after="0"/>
              <w:rPr>
                <w:sz w:val="22"/>
                <w:szCs w:val="22"/>
                <w:color w:val="auto"/>
              </w:rPr>
            </w:pPr>
          </w:p>
        </w:tc>
        <w:tc>
          <w:tcPr>
            <w:tcW w:w="1700" w:type="dxa"/>
            <w:vAlign w:val="bottom"/>
            <w:gridSpan w:val="2"/>
            <w:shd w:val="clear" w:color="auto" w:fill="E5FFFF"/>
          </w:tcPr>
          <w:p>
            <w:pPr>
              <w:jc w:val="right"/>
              <w:ind w:right="260"/>
              <w:spacing w:after="0"/>
              <w:rPr>
                <w:sz w:val="20"/>
                <w:szCs w:val="20"/>
                <w:color w:val="auto"/>
              </w:rPr>
            </w:pPr>
            <w:r>
              <w:rPr>
                <w:rFonts w:ascii="Arial" w:cs="Arial" w:eastAsia="Arial" w:hAnsi="Arial"/>
                <w:sz w:val="17"/>
                <w:szCs w:val="17"/>
                <w:color w:val="auto"/>
              </w:rPr>
              <w:t>11</w:t>
            </w:r>
          </w:p>
        </w:tc>
        <w:tc>
          <w:tcPr>
            <w:tcW w:w="1660" w:type="dxa"/>
            <w:vAlign w:val="bottom"/>
            <w:gridSpan w:val="2"/>
            <w:shd w:val="clear" w:color="auto" w:fill="E5FFFF"/>
          </w:tcPr>
          <w:p>
            <w:pPr>
              <w:jc w:val="right"/>
              <w:ind w:right="220"/>
              <w:spacing w:after="0"/>
              <w:rPr>
                <w:sz w:val="20"/>
                <w:szCs w:val="20"/>
                <w:color w:val="auto"/>
              </w:rPr>
            </w:pPr>
            <w:r>
              <w:rPr>
                <w:rFonts w:ascii="Arial" w:cs="Arial" w:eastAsia="Arial" w:hAnsi="Arial"/>
                <w:sz w:val="17"/>
                <w:szCs w:val="17"/>
                <w:color w:val="auto"/>
              </w:rPr>
              <w:t>44</w:t>
            </w:r>
          </w:p>
        </w:tc>
        <w:tc>
          <w:tcPr>
            <w:tcW w:w="14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146</w:t>
            </w:r>
          </w:p>
        </w:tc>
        <w:tc>
          <w:tcPr>
            <w:tcW w:w="220" w:type="dxa"/>
            <w:vAlign w:val="bottom"/>
            <w:shd w:val="clear" w:color="auto" w:fill="E5FFFF"/>
          </w:tcPr>
          <w:p>
            <w:pPr>
              <w:spacing w:after="0"/>
              <w:rPr>
                <w:sz w:val="22"/>
                <w:szCs w:val="22"/>
                <w:color w:val="auto"/>
              </w:rPr>
            </w:pPr>
          </w:p>
        </w:tc>
        <w:tc>
          <w:tcPr>
            <w:tcW w:w="1560" w:type="dxa"/>
            <w:vAlign w:val="bottom"/>
            <w:shd w:val="clear" w:color="auto" w:fill="E5FFFF"/>
          </w:tcPr>
          <w:p>
            <w:pPr>
              <w:jc w:val="right"/>
              <w:ind w:right="34"/>
              <w:spacing w:after="0"/>
              <w:rPr>
                <w:sz w:val="20"/>
                <w:szCs w:val="20"/>
                <w:color w:val="auto"/>
              </w:rPr>
            </w:pPr>
            <w:r>
              <w:rPr>
                <w:rFonts w:ascii="Arial" w:cs="Arial" w:eastAsia="Arial" w:hAnsi="Arial"/>
                <w:sz w:val="17"/>
                <w:szCs w:val="17"/>
                <w:color w:val="auto"/>
              </w:rPr>
              <w:t>236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7"/>
                <w:szCs w:val="17"/>
                <w:b w:val="1"/>
                <w:bCs w:val="1"/>
                <w:color w:val="auto"/>
              </w:rPr>
              <w:t>Adjusted EBITDA</w:t>
            </w:r>
          </w:p>
        </w:tc>
        <w:tc>
          <w:tcPr>
            <w:tcW w:w="1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420" w:type="dxa"/>
            <w:vAlign w:val="bottom"/>
            <w:vMerge w:val="continue"/>
          </w:tcPr>
          <w:p>
            <w:pPr>
              <w:spacing w:after="0"/>
              <w:rPr>
                <w:sz w:val="21"/>
                <w:szCs w:val="21"/>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89,666</w:t>
            </w:r>
          </w:p>
        </w:tc>
        <w:tc>
          <w:tcPr>
            <w:tcW w:w="16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145,026</w:t>
            </w:r>
          </w:p>
        </w:tc>
        <w:tc>
          <w:tcPr>
            <w:tcW w:w="1440" w:type="dxa"/>
            <w:vAlign w:val="bottom"/>
          </w:tcPr>
          <w:p>
            <w:pPr>
              <w:jc w:val="right"/>
              <w:spacing w:after="0"/>
              <w:rPr>
                <w:sz w:val="20"/>
                <w:szCs w:val="20"/>
                <w:color w:val="auto"/>
              </w:rPr>
            </w:pPr>
            <w:r>
              <w:rPr>
                <w:rFonts w:ascii="Arial" w:cs="Arial" w:eastAsia="Arial" w:hAnsi="Arial"/>
                <w:sz w:val="17"/>
                <w:szCs w:val="17"/>
                <w:b w:val="1"/>
                <w:bCs w:val="1"/>
                <w:color w:val="auto"/>
              </w:rPr>
              <w:t>356,048</w:t>
            </w:r>
          </w:p>
        </w:tc>
        <w:tc>
          <w:tcPr>
            <w:tcW w:w="220" w:type="dxa"/>
            <w:vAlign w:val="bottom"/>
          </w:tcPr>
          <w:p>
            <w:pPr>
              <w:spacing w:after="0"/>
              <w:rPr>
                <w:sz w:val="21"/>
                <w:szCs w:val="21"/>
                <w:color w:val="auto"/>
              </w:rPr>
            </w:pPr>
          </w:p>
        </w:tc>
        <w:tc>
          <w:tcPr>
            <w:tcW w:w="1560" w:type="dxa"/>
            <w:vAlign w:val="bottom"/>
          </w:tcPr>
          <w:p>
            <w:pPr>
              <w:jc w:val="right"/>
              <w:ind w:right="34"/>
              <w:spacing w:after="0"/>
              <w:rPr>
                <w:sz w:val="20"/>
                <w:szCs w:val="20"/>
                <w:color w:val="auto"/>
              </w:rPr>
            </w:pPr>
            <w:r>
              <w:rPr>
                <w:rFonts w:ascii="Arial" w:cs="Arial" w:eastAsia="Arial" w:hAnsi="Arial"/>
                <w:sz w:val="17"/>
                <w:szCs w:val="17"/>
                <w:b w:val="1"/>
                <w:bCs w:val="1"/>
                <w:color w:val="auto"/>
              </w:rPr>
              <w:t>447,747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542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7632065</wp:posOffset>
            </wp:positionH>
            <wp:positionV relativeFrom="paragraph">
              <wp:posOffset>-30480</wp:posOffset>
            </wp:positionV>
            <wp:extent cx="12700" cy="311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-30480</wp:posOffset>
            </wp:positionV>
            <wp:extent cx="12700" cy="311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2240" w:h="15840" w:orient="portrait"/>
          <w:cols w:equalWidth="0" w:num="1">
            <w:col w:w="12046"/>
          </w:cols>
          <w:pgMar w:left="114" w:top="212" w:right="80"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Reconciliation of Profit to Adjusted Profit: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expressed in thousands of U.S. Dollars)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420" w:type="dxa"/>
            <w:vAlign w:val="bottom"/>
          </w:tcPr>
          <w:p>
            <w:pPr>
              <w:spacing w:after="0"/>
              <w:rPr>
                <w:sz w:val="18"/>
                <w:szCs w:val="18"/>
                <w:color w:val="auto"/>
              </w:rPr>
            </w:pPr>
          </w:p>
        </w:tc>
        <w:tc>
          <w:tcPr>
            <w:tcW w:w="3360" w:type="dxa"/>
            <w:vAlign w:val="bottom"/>
            <w:gridSpan w:val="4"/>
          </w:tcPr>
          <w:p>
            <w:pPr>
              <w:ind w:left="560"/>
              <w:spacing w:after="0"/>
              <w:rPr>
                <w:sz w:val="20"/>
                <w:szCs w:val="20"/>
                <w:color w:val="auto"/>
              </w:rPr>
            </w:pPr>
            <w:r>
              <w:rPr>
                <w:rFonts w:ascii="Arial" w:cs="Arial" w:eastAsia="Arial" w:hAnsi="Arial"/>
                <w:sz w:val="17"/>
                <w:szCs w:val="17"/>
                <w:b w:val="1"/>
                <w:bCs w:val="1"/>
                <w:color w:val="auto"/>
              </w:rPr>
              <w:t>For the three months ended</w:t>
            </w:r>
          </w:p>
        </w:tc>
        <w:tc>
          <w:tcPr>
            <w:tcW w:w="3220" w:type="dxa"/>
            <w:vAlign w:val="bottom"/>
            <w:gridSpan w:val="3"/>
          </w:tcPr>
          <w:p>
            <w:pPr>
              <w:jc w:val="right"/>
              <w:ind w:right="894"/>
              <w:spacing w:after="0"/>
              <w:rPr>
                <w:sz w:val="20"/>
                <w:szCs w:val="20"/>
                <w:color w:val="auto"/>
              </w:rPr>
            </w:pPr>
            <w:r>
              <w:rPr>
                <w:rFonts w:ascii="Arial" w:cs="Arial" w:eastAsia="Arial" w:hAnsi="Arial"/>
                <w:sz w:val="17"/>
                <w:szCs w:val="17"/>
                <w:b w:val="1"/>
                <w:bCs w:val="1"/>
                <w:color w:val="auto"/>
              </w:rPr>
              <w:t>For the year ended</w:t>
            </w:r>
          </w:p>
        </w:tc>
        <w:tc>
          <w:tcPr>
            <w:tcW w:w="0" w:type="dxa"/>
            <w:vAlign w:val="bottom"/>
          </w:tcPr>
          <w:p>
            <w:pPr>
              <w:spacing w:after="0"/>
              <w:rPr>
                <w:sz w:val="1"/>
                <w:szCs w:val="1"/>
                <w:color w:val="auto"/>
              </w:rPr>
            </w:pPr>
          </w:p>
        </w:tc>
      </w:tr>
      <w:tr>
        <w:trPr>
          <w:trHeight w:val="214"/>
        </w:trPr>
        <w:tc>
          <w:tcPr>
            <w:tcW w:w="5420" w:type="dxa"/>
            <w:vAlign w:val="bottom"/>
          </w:tcPr>
          <w:p>
            <w:pPr>
              <w:spacing w:after="0"/>
              <w:rPr>
                <w:sz w:val="18"/>
                <w:szCs w:val="18"/>
                <w:color w:val="auto"/>
              </w:rPr>
            </w:pPr>
          </w:p>
        </w:tc>
        <w:tc>
          <w:tcPr>
            <w:tcW w:w="170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December 31,</w:t>
            </w:r>
          </w:p>
        </w:tc>
        <w:tc>
          <w:tcPr>
            <w:tcW w:w="1660" w:type="dxa"/>
            <w:vAlign w:val="bottom"/>
            <w:gridSpan w:val="2"/>
          </w:tcPr>
          <w:p>
            <w:pPr>
              <w:ind w:left="220"/>
              <w:spacing w:after="0"/>
              <w:rPr>
                <w:sz w:val="20"/>
                <w:szCs w:val="20"/>
                <w:color w:val="auto"/>
              </w:rPr>
            </w:pPr>
            <w:r>
              <w:rPr>
                <w:rFonts w:ascii="Arial" w:cs="Arial" w:eastAsia="Arial" w:hAnsi="Arial"/>
                <w:sz w:val="17"/>
                <w:szCs w:val="17"/>
                <w:b w:val="1"/>
                <w:bCs w:val="1"/>
                <w:color w:val="auto"/>
              </w:rPr>
              <w:t>December 31,</w:t>
            </w:r>
          </w:p>
        </w:tc>
        <w:tc>
          <w:tcPr>
            <w:tcW w:w="166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rPr>
              <w:t>December 31,</w:t>
            </w:r>
          </w:p>
        </w:tc>
        <w:tc>
          <w:tcPr>
            <w:tcW w:w="1560" w:type="dxa"/>
            <w:vAlign w:val="bottom"/>
          </w:tcPr>
          <w:p>
            <w:pPr>
              <w:jc w:val="right"/>
              <w:ind w:right="254"/>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226"/>
        </w:trPr>
        <w:tc>
          <w:tcPr>
            <w:tcW w:w="5420" w:type="dxa"/>
            <w:vAlign w:val="bottom"/>
            <w:tcBorders>
              <w:bottom w:val="single" w:sz="8" w:color="E5FFFF"/>
            </w:tcBorders>
          </w:tcPr>
          <w:p>
            <w:pPr>
              <w:spacing w:after="0"/>
              <w:rPr>
                <w:sz w:val="19"/>
                <w:szCs w:val="19"/>
                <w:color w:val="auto"/>
              </w:rPr>
            </w:pPr>
          </w:p>
        </w:tc>
        <w:tc>
          <w:tcPr>
            <w:tcW w:w="1440" w:type="dxa"/>
            <w:vAlign w:val="bottom"/>
            <w:tcBorders>
              <w:bottom w:val="single" w:sz="8" w:color="auto"/>
            </w:tcBorders>
          </w:tcPr>
          <w:p>
            <w:pPr>
              <w:ind w:left="540"/>
              <w:spacing w:after="0"/>
              <w:rPr>
                <w:sz w:val="20"/>
                <w:szCs w:val="20"/>
                <w:color w:val="auto"/>
              </w:rPr>
            </w:pPr>
            <w:r>
              <w:rPr>
                <w:rFonts w:ascii="Arial" w:cs="Arial" w:eastAsia="Arial" w:hAnsi="Arial"/>
                <w:sz w:val="17"/>
                <w:szCs w:val="17"/>
                <w:b w:val="1"/>
                <w:bCs w:val="1"/>
                <w:color w:val="auto"/>
              </w:rPr>
              <w:t>2017</w:t>
            </w:r>
          </w:p>
        </w:tc>
        <w:tc>
          <w:tcPr>
            <w:tcW w:w="260" w:type="dxa"/>
            <w:vAlign w:val="bottom"/>
            <w:tcBorders>
              <w:bottom w:val="single" w:sz="8" w:color="E5FFFF"/>
            </w:tcBorders>
          </w:tcPr>
          <w:p>
            <w:pPr>
              <w:spacing w:after="0"/>
              <w:rPr>
                <w:sz w:val="19"/>
                <w:szCs w:val="19"/>
                <w:color w:val="auto"/>
              </w:rPr>
            </w:pPr>
          </w:p>
        </w:tc>
        <w:tc>
          <w:tcPr>
            <w:tcW w:w="144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2018</w:t>
            </w:r>
          </w:p>
        </w:tc>
        <w:tc>
          <w:tcPr>
            <w:tcW w:w="220" w:type="dxa"/>
            <w:vAlign w:val="bottom"/>
            <w:tcBorders>
              <w:bottom w:val="single" w:sz="8" w:color="E5FFFF"/>
            </w:tcBorders>
          </w:tcPr>
          <w:p>
            <w:pPr>
              <w:spacing w:after="0"/>
              <w:rPr>
                <w:sz w:val="19"/>
                <w:szCs w:val="19"/>
                <w:color w:val="auto"/>
              </w:rPr>
            </w:pPr>
          </w:p>
        </w:tc>
        <w:tc>
          <w:tcPr>
            <w:tcW w:w="144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2017</w:t>
            </w:r>
          </w:p>
        </w:tc>
        <w:tc>
          <w:tcPr>
            <w:tcW w:w="220" w:type="dxa"/>
            <w:vAlign w:val="bottom"/>
            <w:tcBorders>
              <w:bottom w:val="single" w:sz="8" w:color="E5FFFF"/>
            </w:tcBorders>
          </w:tcPr>
          <w:p>
            <w:pPr>
              <w:spacing w:after="0"/>
              <w:rPr>
                <w:sz w:val="19"/>
                <w:szCs w:val="19"/>
                <w:color w:val="auto"/>
              </w:rPr>
            </w:pPr>
          </w:p>
        </w:tc>
        <w:tc>
          <w:tcPr>
            <w:tcW w:w="156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254"/>
        </w:trPr>
        <w:tc>
          <w:tcPr>
            <w:tcW w:w="5420" w:type="dxa"/>
            <w:vAlign w:val="bottom"/>
            <w:shd w:val="clear" w:color="auto" w:fill="E5FFFF"/>
          </w:tcPr>
          <w:p>
            <w:pPr>
              <w:spacing w:after="0"/>
              <w:rPr>
                <w:sz w:val="20"/>
                <w:szCs w:val="20"/>
                <w:color w:val="auto"/>
              </w:rPr>
            </w:pPr>
            <w:r>
              <w:rPr>
                <w:rFonts w:ascii="Arial" w:cs="Arial" w:eastAsia="Arial" w:hAnsi="Arial"/>
                <w:sz w:val="17"/>
                <w:szCs w:val="17"/>
                <w:color w:val="auto"/>
              </w:rPr>
              <w:t>Profit for the period</w:t>
            </w:r>
          </w:p>
        </w:tc>
        <w:tc>
          <w:tcPr>
            <w:tcW w:w="1700" w:type="dxa"/>
            <w:vAlign w:val="bottom"/>
            <w:gridSpan w:val="2"/>
            <w:shd w:val="clear" w:color="auto" w:fill="E5FFFF"/>
          </w:tcPr>
          <w:p>
            <w:pPr>
              <w:jc w:val="right"/>
              <w:ind w:right="260"/>
              <w:spacing w:after="0"/>
              <w:rPr>
                <w:sz w:val="20"/>
                <w:szCs w:val="20"/>
                <w:color w:val="auto"/>
              </w:rPr>
            </w:pPr>
            <w:r>
              <w:rPr>
                <w:rFonts w:ascii="Arial" w:cs="Arial" w:eastAsia="Arial" w:hAnsi="Arial"/>
                <w:sz w:val="17"/>
                <w:szCs w:val="17"/>
                <w:color w:val="auto"/>
              </w:rPr>
              <w:t>29,685</w:t>
            </w:r>
          </w:p>
        </w:tc>
        <w:tc>
          <w:tcPr>
            <w:tcW w:w="1660" w:type="dxa"/>
            <w:vAlign w:val="bottom"/>
            <w:gridSpan w:val="2"/>
            <w:shd w:val="clear" w:color="auto" w:fill="E5FFFF"/>
          </w:tcPr>
          <w:p>
            <w:pPr>
              <w:jc w:val="right"/>
              <w:ind w:right="220"/>
              <w:spacing w:after="0"/>
              <w:rPr>
                <w:sz w:val="20"/>
                <w:szCs w:val="20"/>
                <w:color w:val="auto"/>
              </w:rPr>
            </w:pPr>
            <w:r>
              <w:rPr>
                <w:rFonts w:ascii="Arial" w:cs="Arial" w:eastAsia="Arial" w:hAnsi="Arial"/>
                <w:sz w:val="17"/>
                <w:szCs w:val="17"/>
                <w:color w:val="auto"/>
              </w:rPr>
              <w:t>30,384</w:t>
            </w:r>
          </w:p>
        </w:tc>
        <w:tc>
          <w:tcPr>
            <w:tcW w:w="14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84,209</w:t>
            </w:r>
          </w:p>
        </w:tc>
        <w:tc>
          <w:tcPr>
            <w:tcW w:w="220" w:type="dxa"/>
            <w:vAlign w:val="bottom"/>
            <w:shd w:val="clear" w:color="auto" w:fill="E5FFFF"/>
          </w:tcPr>
          <w:p>
            <w:pPr>
              <w:spacing w:after="0"/>
              <w:rPr>
                <w:sz w:val="22"/>
                <w:szCs w:val="22"/>
                <w:color w:val="auto"/>
              </w:rPr>
            </w:pPr>
          </w:p>
        </w:tc>
        <w:tc>
          <w:tcPr>
            <w:tcW w:w="1560" w:type="dxa"/>
            <w:vAlign w:val="bottom"/>
            <w:shd w:val="clear" w:color="auto" w:fill="E5FFFF"/>
          </w:tcPr>
          <w:p>
            <w:pPr>
              <w:jc w:val="right"/>
              <w:ind w:right="34"/>
              <w:spacing w:after="0"/>
              <w:rPr>
                <w:sz w:val="20"/>
                <w:szCs w:val="20"/>
                <w:color w:val="auto"/>
              </w:rPr>
            </w:pPr>
            <w:r>
              <w:rPr>
                <w:rFonts w:ascii="Arial" w:cs="Arial" w:eastAsia="Arial" w:hAnsi="Arial"/>
                <w:sz w:val="17"/>
                <w:szCs w:val="17"/>
                <w:color w:val="auto"/>
              </w:rPr>
              <w:t>126,398</w:t>
            </w:r>
          </w:p>
        </w:tc>
        <w:tc>
          <w:tcPr>
            <w:tcW w:w="0" w:type="dxa"/>
            <w:vAlign w:val="bottom"/>
          </w:tcPr>
          <w:p>
            <w:pPr>
              <w:spacing w:after="0"/>
              <w:rPr>
                <w:sz w:val="1"/>
                <w:szCs w:val="1"/>
                <w:color w:val="auto"/>
              </w:rPr>
            </w:pPr>
          </w:p>
        </w:tc>
      </w:tr>
      <w:tr>
        <w:trPr>
          <w:trHeight w:val="253"/>
        </w:trPr>
        <w:tc>
          <w:tcPr>
            <w:tcW w:w="5420" w:type="dxa"/>
            <w:vAlign w:val="bottom"/>
          </w:tcPr>
          <w:p>
            <w:pPr>
              <w:spacing w:after="0"/>
              <w:rPr>
                <w:sz w:val="20"/>
                <w:szCs w:val="20"/>
                <w:color w:val="auto"/>
              </w:rPr>
            </w:pPr>
            <w:r>
              <w:rPr>
                <w:rFonts w:ascii="Arial" w:cs="Arial" w:eastAsia="Arial" w:hAnsi="Arial"/>
                <w:sz w:val="17"/>
                <w:szCs w:val="17"/>
                <w:color w:val="auto"/>
              </w:rPr>
              <w:t>Non-cash (gain)/loss on derivatives</w:t>
            </w:r>
          </w:p>
        </w:tc>
        <w:tc>
          <w:tcPr>
            <w:tcW w:w="1700" w:type="dxa"/>
            <w:vAlign w:val="bottom"/>
            <w:gridSpan w:val="2"/>
          </w:tcPr>
          <w:p>
            <w:pPr>
              <w:jc w:val="right"/>
              <w:ind w:right="200"/>
              <w:spacing w:after="0"/>
              <w:rPr>
                <w:sz w:val="20"/>
                <w:szCs w:val="20"/>
                <w:color w:val="auto"/>
              </w:rPr>
            </w:pPr>
            <w:r>
              <w:rPr>
                <w:rFonts w:ascii="Arial" w:cs="Arial" w:eastAsia="Arial" w:hAnsi="Arial"/>
                <w:sz w:val="17"/>
                <w:szCs w:val="17"/>
                <w:color w:val="auto"/>
              </w:rPr>
              <w:t>(8,471)</w:t>
            </w:r>
          </w:p>
        </w:tc>
        <w:tc>
          <w:tcPr>
            <w:tcW w:w="1660" w:type="dxa"/>
            <w:vAlign w:val="bottom"/>
            <w:gridSpan w:val="2"/>
          </w:tcPr>
          <w:p>
            <w:pPr>
              <w:jc w:val="right"/>
              <w:ind w:right="220"/>
              <w:spacing w:after="0"/>
              <w:rPr>
                <w:sz w:val="20"/>
                <w:szCs w:val="20"/>
                <w:color w:val="auto"/>
              </w:rPr>
            </w:pPr>
            <w:r>
              <w:rPr>
                <w:rFonts w:ascii="Arial" w:cs="Arial" w:eastAsia="Arial" w:hAnsi="Arial"/>
                <w:sz w:val="17"/>
                <w:szCs w:val="17"/>
                <w:color w:val="auto"/>
              </w:rPr>
              <w:t>32,089</w:t>
            </w:r>
          </w:p>
        </w:tc>
        <w:tc>
          <w:tcPr>
            <w:tcW w:w="1660" w:type="dxa"/>
            <w:vAlign w:val="bottom"/>
            <w:gridSpan w:val="2"/>
          </w:tcPr>
          <w:p>
            <w:pPr>
              <w:jc w:val="right"/>
              <w:ind w:right="160"/>
              <w:spacing w:after="0"/>
              <w:rPr>
                <w:sz w:val="20"/>
                <w:szCs w:val="20"/>
                <w:color w:val="auto"/>
              </w:rPr>
            </w:pPr>
            <w:r>
              <w:rPr>
                <w:rFonts w:ascii="Arial" w:cs="Arial" w:eastAsia="Arial" w:hAnsi="Arial"/>
                <w:sz w:val="17"/>
                <w:szCs w:val="17"/>
                <w:color w:val="auto"/>
              </w:rPr>
              <w:t>(6,137)</w:t>
            </w:r>
          </w:p>
        </w:tc>
        <w:tc>
          <w:tcPr>
            <w:tcW w:w="1560" w:type="dxa"/>
            <w:vAlign w:val="bottom"/>
          </w:tcPr>
          <w:p>
            <w:pPr>
              <w:jc w:val="right"/>
              <w:ind w:right="34"/>
              <w:spacing w:after="0"/>
              <w:rPr>
                <w:sz w:val="20"/>
                <w:szCs w:val="20"/>
                <w:color w:val="auto"/>
              </w:rPr>
            </w:pPr>
            <w:r>
              <w:rPr>
                <w:rFonts w:ascii="Arial" w:cs="Arial" w:eastAsia="Arial" w:hAnsi="Arial"/>
                <w:sz w:val="17"/>
                <w:szCs w:val="17"/>
                <w:color w:val="auto"/>
              </w:rPr>
              <w:t>8,211</w:t>
            </w:r>
          </w:p>
        </w:tc>
        <w:tc>
          <w:tcPr>
            <w:tcW w:w="0" w:type="dxa"/>
            <w:vAlign w:val="bottom"/>
          </w:tcPr>
          <w:p>
            <w:pPr>
              <w:spacing w:after="0"/>
              <w:rPr>
                <w:sz w:val="1"/>
                <w:szCs w:val="1"/>
                <w:color w:val="auto"/>
              </w:rPr>
            </w:pPr>
          </w:p>
        </w:tc>
      </w:tr>
      <w:tr>
        <w:trPr>
          <w:trHeight w:val="260"/>
        </w:trPr>
        <w:tc>
          <w:tcPr>
            <w:tcW w:w="5420" w:type="dxa"/>
            <w:vAlign w:val="bottom"/>
            <w:shd w:val="clear" w:color="auto" w:fill="E5FFFF"/>
          </w:tcPr>
          <w:p>
            <w:pPr>
              <w:spacing w:after="0"/>
              <w:rPr>
                <w:sz w:val="20"/>
                <w:szCs w:val="20"/>
                <w:color w:val="auto"/>
              </w:rPr>
            </w:pPr>
            <w:r>
              <w:rPr>
                <w:rFonts w:ascii="Arial" w:cs="Arial" w:eastAsia="Arial" w:hAnsi="Arial"/>
                <w:sz w:val="17"/>
                <w:szCs w:val="17"/>
                <w:color w:val="auto"/>
              </w:rPr>
              <w:t>Write-off of unamortized loan/bond fees and premium</w:t>
            </w:r>
          </w:p>
        </w:tc>
        <w:tc>
          <w:tcPr>
            <w:tcW w:w="1700" w:type="dxa"/>
            <w:vAlign w:val="bottom"/>
            <w:gridSpan w:val="2"/>
            <w:shd w:val="clear" w:color="auto" w:fill="E5FFFF"/>
          </w:tcPr>
          <w:p>
            <w:pPr>
              <w:jc w:val="right"/>
              <w:ind w:right="260"/>
              <w:spacing w:after="0"/>
              <w:rPr>
                <w:sz w:val="20"/>
                <w:szCs w:val="20"/>
                <w:color w:val="auto"/>
              </w:rPr>
            </w:pPr>
            <w:r>
              <w:rPr>
                <w:rFonts w:ascii="Arial" w:cs="Arial" w:eastAsia="Arial" w:hAnsi="Arial"/>
                <w:sz w:val="17"/>
                <w:szCs w:val="17"/>
                <w:color w:val="auto"/>
              </w:rPr>
              <w:t>213</w:t>
            </w:r>
          </w:p>
        </w:tc>
        <w:tc>
          <w:tcPr>
            <w:tcW w:w="1660" w:type="dxa"/>
            <w:vAlign w:val="bottom"/>
            <w:gridSpan w:val="2"/>
            <w:shd w:val="clear" w:color="auto" w:fill="E5FFFF"/>
          </w:tcPr>
          <w:p>
            <w:pPr>
              <w:jc w:val="right"/>
              <w:ind w:right="220"/>
              <w:spacing w:after="0"/>
              <w:rPr>
                <w:sz w:val="20"/>
                <w:szCs w:val="20"/>
                <w:color w:val="auto"/>
              </w:rPr>
            </w:pPr>
            <w:r>
              <w:rPr>
                <w:rFonts w:ascii="Arial" w:cs="Arial" w:eastAsia="Arial" w:hAnsi="Arial"/>
                <w:sz w:val="17"/>
                <w:szCs w:val="17"/>
                <w:color w:val="auto"/>
              </w:rPr>
              <w:t>—</w:t>
            </w:r>
          </w:p>
        </w:tc>
        <w:tc>
          <w:tcPr>
            <w:tcW w:w="14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506</w:t>
            </w:r>
          </w:p>
        </w:tc>
        <w:tc>
          <w:tcPr>
            <w:tcW w:w="220" w:type="dxa"/>
            <w:vAlign w:val="bottom"/>
            <w:shd w:val="clear" w:color="auto" w:fill="E5FFFF"/>
          </w:tcPr>
          <w:p>
            <w:pPr>
              <w:spacing w:after="0"/>
              <w:rPr>
                <w:sz w:val="22"/>
                <w:szCs w:val="22"/>
                <w:color w:val="auto"/>
              </w:rPr>
            </w:pPr>
          </w:p>
        </w:tc>
        <w:tc>
          <w:tcPr>
            <w:tcW w:w="1560" w:type="dxa"/>
            <w:vAlign w:val="bottom"/>
            <w:shd w:val="clear" w:color="auto" w:fill="E5FFFF"/>
          </w:tcPr>
          <w:p>
            <w:pPr>
              <w:jc w:val="right"/>
              <w:ind w:right="3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3"/>
        </w:trPr>
        <w:tc>
          <w:tcPr>
            <w:tcW w:w="5420" w:type="dxa"/>
            <w:vAlign w:val="bottom"/>
          </w:tcPr>
          <w:p>
            <w:pPr>
              <w:spacing w:after="0"/>
              <w:rPr>
                <w:sz w:val="20"/>
                <w:szCs w:val="20"/>
                <w:color w:val="auto"/>
              </w:rPr>
            </w:pPr>
            <w:r>
              <w:rPr>
                <w:rFonts w:ascii="Arial" w:cs="Arial" w:eastAsia="Arial" w:hAnsi="Arial"/>
                <w:sz w:val="17"/>
                <w:szCs w:val="17"/>
                <w:color w:val="auto"/>
              </w:rPr>
              <w:t>Foreign exchange losses, net</w:t>
            </w:r>
          </w:p>
        </w:tc>
        <w:tc>
          <w:tcPr>
            <w:tcW w:w="1700" w:type="dxa"/>
            <w:vAlign w:val="bottom"/>
            <w:gridSpan w:val="2"/>
          </w:tcPr>
          <w:p>
            <w:pPr>
              <w:jc w:val="right"/>
              <w:ind w:right="260"/>
              <w:spacing w:after="0"/>
              <w:rPr>
                <w:sz w:val="20"/>
                <w:szCs w:val="20"/>
                <w:color w:val="auto"/>
              </w:rPr>
            </w:pPr>
            <w:r>
              <w:rPr>
                <w:rFonts w:ascii="Arial" w:cs="Arial" w:eastAsia="Arial" w:hAnsi="Arial"/>
                <w:sz w:val="17"/>
                <w:szCs w:val="17"/>
                <w:color w:val="auto"/>
              </w:rPr>
              <w:t>11</w:t>
            </w:r>
          </w:p>
        </w:tc>
        <w:tc>
          <w:tcPr>
            <w:tcW w:w="1660" w:type="dxa"/>
            <w:vAlign w:val="bottom"/>
            <w:gridSpan w:val="2"/>
          </w:tcPr>
          <w:p>
            <w:pPr>
              <w:jc w:val="right"/>
              <w:ind w:right="220"/>
              <w:spacing w:after="0"/>
              <w:rPr>
                <w:sz w:val="20"/>
                <w:szCs w:val="20"/>
                <w:color w:val="auto"/>
              </w:rPr>
            </w:pPr>
            <w:r>
              <w:rPr>
                <w:rFonts w:ascii="Arial" w:cs="Arial" w:eastAsia="Arial" w:hAnsi="Arial"/>
                <w:sz w:val="17"/>
                <w:szCs w:val="17"/>
                <w:color w:val="auto"/>
              </w:rPr>
              <w:t>44</w:t>
            </w:r>
          </w:p>
        </w:tc>
        <w:tc>
          <w:tcPr>
            <w:tcW w:w="1440" w:type="dxa"/>
            <w:vAlign w:val="bottom"/>
          </w:tcPr>
          <w:p>
            <w:pPr>
              <w:jc w:val="right"/>
              <w:spacing w:after="0"/>
              <w:rPr>
                <w:sz w:val="20"/>
                <w:szCs w:val="20"/>
                <w:color w:val="auto"/>
              </w:rPr>
            </w:pPr>
            <w:r>
              <w:rPr>
                <w:rFonts w:ascii="Arial" w:cs="Arial" w:eastAsia="Arial" w:hAnsi="Arial"/>
                <w:sz w:val="17"/>
                <w:szCs w:val="17"/>
                <w:color w:val="auto"/>
              </w:rPr>
              <w:t>146</w:t>
            </w:r>
          </w:p>
        </w:tc>
        <w:tc>
          <w:tcPr>
            <w:tcW w:w="220" w:type="dxa"/>
            <w:vAlign w:val="bottom"/>
          </w:tcPr>
          <w:p>
            <w:pPr>
              <w:spacing w:after="0"/>
              <w:rPr>
                <w:sz w:val="22"/>
                <w:szCs w:val="22"/>
                <w:color w:val="auto"/>
              </w:rPr>
            </w:pPr>
          </w:p>
        </w:tc>
        <w:tc>
          <w:tcPr>
            <w:tcW w:w="1560" w:type="dxa"/>
            <w:vAlign w:val="bottom"/>
          </w:tcPr>
          <w:p>
            <w:pPr>
              <w:jc w:val="right"/>
              <w:ind w:right="34"/>
              <w:spacing w:after="0"/>
              <w:rPr>
                <w:sz w:val="20"/>
                <w:szCs w:val="20"/>
                <w:color w:val="auto"/>
              </w:rPr>
            </w:pPr>
            <w:r>
              <w:rPr>
                <w:rFonts w:ascii="Arial" w:cs="Arial" w:eastAsia="Arial" w:hAnsi="Arial"/>
                <w:sz w:val="17"/>
                <w:szCs w:val="17"/>
                <w:color w:val="auto"/>
              </w:rPr>
              <w:t>236</w:t>
            </w:r>
          </w:p>
        </w:tc>
        <w:tc>
          <w:tcPr>
            <w:tcW w:w="0" w:type="dxa"/>
            <w:vAlign w:val="bottom"/>
          </w:tcPr>
          <w:p>
            <w:pPr>
              <w:spacing w:after="0"/>
              <w:rPr>
                <w:sz w:val="1"/>
                <w:szCs w:val="1"/>
                <w:color w:val="auto"/>
              </w:rPr>
            </w:pPr>
          </w:p>
        </w:tc>
      </w:tr>
      <w:tr>
        <w:trPr>
          <w:trHeight w:val="20"/>
        </w:trPr>
        <w:tc>
          <w:tcPr>
            <w:tcW w:w="5420" w:type="dxa"/>
            <w:vAlign w:val="bottom"/>
            <w:vMerge w:val="restart"/>
            <w:shd w:val="clear" w:color="auto" w:fill="E5FFFF"/>
          </w:tcPr>
          <w:p>
            <w:pPr>
              <w:spacing w:after="0"/>
              <w:rPr>
                <w:sz w:val="20"/>
                <w:szCs w:val="20"/>
                <w:color w:val="auto"/>
              </w:rPr>
            </w:pPr>
            <w:r>
              <w:rPr>
                <w:rFonts w:ascii="Arial" w:cs="Arial" w:eastAsia="Arial" w:hAnsi="Arial"/>
                <w:sz w:val="17"/>
                <w:szCs w:val="17"/>
                <w:b w:val="1"/>
                <w:bCs w:val="1"/>
                <w:color w:val="auto"/>
              </w:rPr>
              <w:t>Adjusted Profit</w:t>
            </w:r>
          </w:p>
        </w:tc>
        <w:tc>
          <w:tcPr>
            <w:tcW w:w="1440" w:type="dxa"/>
            <w:vAlign w:val="bottom"/>
            <w:shd w:val="clear" w:color="auto" w:fill="000000"/>
          </w:tcPr>
          <w:p>
            <w:pPr>
              <w:spacing w:after="0" w:line="20" w:lineRule="exact"/>
              <w:rPr>
                <w:sz w:val="1"/>
                <w:szCs w:val="1"/>
                <w:color w:val="auto"/>
              </w:rPr>
            </w:pPr>
          </w:p>
        </w:tc>
        <w:tc>
          <w:tcPr>
            <w:tcW w:w="260" w:type="dxa"/>
            <w:vAlign w:val="bottom"/>
            <w:shd w:val="clear" w:color="auto" w:fill="E5FF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420" w:type="dxa"/>
            <w:vAlign w:val="bottom"/>
            <w:vMerge w:val="continue"/>
            <w:shd w:val="clear" w:color="auto" w:fill="E5FFFF"/>
          </w:tcPr>
          <w:p>
            <w:pPr>
              <w:spacing w:after="0"/>
              <w:rPr>
                <w:sz w:val="21"/>
                <w:szCs w:val="21"/>
                <w:color w:val="auto"/>
              </w:rPr>
            </w:pPr>
          </w:p>
        </w:tc>
        <w:tc>
          <w:tcPr>
            <w:tcW w:w="1700" w:type="dxa"/>
            <w:vAlign w:val="bottom"/>
            <w:gridSpan w:val="2"/>
            <w:shd w:val="clear" w:color="auto" w:fill="E5FFFF"/>
          </w:tcPr>
          <w:p>
            <w:pPr>
              <w:jc w:val="right"/>
              <w:ind w:right="260"/>
              <w:spacing w:after="0"/>
              <w:rPr>
                <w:sz w:val="20"/>
                <w:szCs w:val="20"/>
                <w:color w:val="auto"/>
              </w:rPr>
            </w:pPr>
            <w:r>
              <w:rPr>
                <w:rFonts w:ascii="Arial" w:cs="Arial" w:eastAsia="Arial" w:hAnsi="Arial"/>
                <w:sz w:val="17"/>
                <w:szCs w:val="17"/>
                <w:b w:val="1"/>
                <w:bCs w:val="1"/>
                <w:color w:val="auto"/>
              </w:rPr>
              <w:t>21,438</w:t>
            </w:r>
          </w:p>
        </w:tc>
        <w:tc>
          <w:tcPr>
            <w:tcW w:w="1660" w:type="dxa"/>
            <w:vAlign w:val="bottom"/>
            <w:gridSpan w:val="2"/>
            <w:shd w:val="clear" w:color="auto" w:fill="E5FFFF"/>
          </w:tcPr>
          <w:p>
            <w:pPr>
              <w:jc w:val="right"/>
              <w:ind w:right="220"/>
              <w:spacing w:after="0"/>
              <w:rPr>
                <w:sz w:val="20"/>
                <w:szCs w:val="20"/>
                <w:color w:val="auto"/>
              </w:rPr>
            </w:pPr>
            <w:r>
              <w:rPr>
                <w:rFonts w:ascii="Arial" w:cs="Arial" w:eastAsia="Arial" w:hAnsi="Arial"/>
                <w:sz w:val="17"/>
                <w:szCs w:val="17"/>
                <w:b w:val="1"/>
                <w:bCs w:val="1"/>
                <w:color w:val="auto"/>
              </w:rPr>
              <w:t>62,517</w:t>
            </w:r>
          </w:p>
        </w:tc>
        <w:tc>
          <w:tcPr>
            <w:tcW w:w="1440" w:type="dxa"/>
            <w:vAlign w:val="bottom"/>
            <w:shd w:val="clear" w:color="auto" w:fill="E5FFFF"/>
          </w:tcPr>
          <w:p>
            <w:pPr>
              <w:jc w:val="right"/>
              <w:spacing w:after="0"/>
              <w:rPr>
                <w:sz w:val="20"/>
                <w:szCs w:val="20"/>
                <w:color w:val="auto"/>
              </w:rPr>
            </w:pPr>
            <w:r>
              <w:rPr>
                <w:rFonts w:ascii="Arial" w:cs="Arial" w:eastAsia="Arial" w:hAnsi="Arial"/>
                <w:sz w:val="17"/>
                <w:szCs w:val="17"/>
                <w:b w:val="1"/>
                <w:bCs w:val="1"/>
                <w:color w:val="auto"/>
              </w:rPr>
              <w:t>78,724</w:t>
            </w:r>
          </w:p>
        </w:tc>
        <w:tc>
          <w:tcPr>
            <w:tcW w:w="220" w:type="dxa"/>
            <w:vAlign w:val="bottom"/>
            <w:shd w:val="clear" w:color="auto" w:fill="E5FFFF"/>
          </w:tcPr>
          <w:p>
            <w:pPr>
              <w:spacing w:after="0"/>
              <w:rPr>
                <w:sz w:val="21"/>
                <w:szCs w:val="21"/>
                <w:color w:val="auto"/>
              </w:rPr>
            </w:pPr>
          </w:p>
        </w:tc>
        <w:tc>
          <w:tcPr>
            <w:tcW w:w="1560" w:type="dxa"/>
            <w:vAlign w:val="bottom"/>
            <w:shd w:val="clear" w:color="auto" w:fill="E5FFFF"/>
          </w:tcPr>
          <w:p>
            <w:pPr>
              <w:jc w:val="right"/>
              <w:ind w:right="34"/>
              <w:spacing w:after="0"/>
              <w:rPr>
                <w:sz w:val="20"/>
                <w:szCs w:val="20"/>
                <w:color w:val="auto"/>
              </w:rPr>
            </w:pPr>
            <w:r>
              <w:rPr>
                <w:rFonts w:ascii="Arial" w:cs="Arial" w:eastAsia="Arial" w:hAnsi="Arial"/>
                <w:sz w:val="17"/>
                <w:szCs w:val="17"/>
                <w:b w:val="1"/>
                <w:bCs w:val="1"/>
                <w:color w:val="auto"/>
              </w:rPr>
              <w:t>134,845</w:t>
            </w:r>
          </w:p>
        </w:tc>
        <w:tc>
          <w:tcPr>
            <w:tcW w:w="0" w:type="dxa"/>
            <w:vAlign w:val="bottom"/>
          </w:tcPr>
          <w:p>
            <w:pPr>
              <w:spacing w:after="0"/>
              <w:rPr>
                <w:sz w:val="1"/>
                <w:szCs w:val="1"/>
                <w:color w:val="auto"/>
              </w:rPr>
            </w:pPr>
          </w:p>
        </w:tc>
      </w:tr>
      <w:tr>
        <w:trPr>
          <w:trHeight w:val="20"/>
        </w:trPr>
        <w:tc>
          <w:tcPr>
            <w:tcW w:w="5420" w:type="dxa"/>
            <w:vAlign w:val="bottom"/>
            <w:tcBorders>
              <w:top w:val="single" w:sz="8" w:color="E5FF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5FF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Reconciliation of Earnings/(Loss) Per Share to Adjusted (Loss)/Earnings Per Share: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expressed in thousands of U.S. Dollars, except shares and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420" w:type="dxa"/>
            <w:vAlign w:val="bottom"/>
          </w:tcPr>
          <w:p>
            <w:pPr>
              <w:spacing w:after="0"/>
              <w:rPr>
                <w:sz w:val="18"/>
                <w:szCs w:val="18"/>
                <w:color w:val="auto"/>
              </w:rPr>
            </w:pPr>
          </w:p>
        </w:tc>
        <w:tc>
          <w:tcPr>
            <w:tcW w:w="3360" w:type="dxa"/>
            <w:vAlign w:val="bottom"/>
            <w:gridSpan w:val="4"/>
          </w:tcPr>
          <w:p>
            <w:pPr>
              <w:ind w:left="560"/>
              <w:spacing w:after="0"/>
              <w:rPr>
                <w:sz w:val="20"/>
                <w:szCs w:val="20"/>
                <w:color w:val="auto"/>
              </w:rPr>
            </w:pPr>
            <w:r>
              <w:rPr>
                <w:rFonts w:ascii="Arial" w:cs="Arial" w:eastAsia="Arial" w:hAnsi="Arial"/>
                <w:sz w:val="17"/>
                <w:szCs w:val="17"/>
                <w:b w:val="1"/>
                <w:bCs w:val="1"/>
                <w:color w:val="auto"/>
              </w:rPr>
              <w:t>For the three months ended</w:t>
            </w:r>
          </w:p>
        </w:tc>
        <w:tc>
          <w:tcPr>
            <w:tcW w:w="3220" w:type="dxa"/>
            <w:vAlign w:val="bottom"/>
            <w:gridSpan w:val="3"/>
          </w:tcPr>
          <w:p>
            <w:pPr>
              <w:jc w:val="right"/>
              <w:ind w:right="894"/>
              <w:spacing w:after="0"/>
              <w:rPr>
                <w:sz w:val="20"/>
                <w:szCs w:val="20"/>
                <w:color w:val="auto"/>
              </w:rPr>
            </w:pPr>
            <w:r>
              <w:rPr>
                <w:rFonts w:ascii="Arial" w:cs="Arial" w:eastAsia="Arial" w:hAnsi="Arial"/>
                <w:sz w:val="17"/>
                <w:szCs w:val="17"/>
                <w:b w:val="1"/>
                <w:bCs w:val="1"/>
                <w:color w:val="auto"/>
              </w:rPr>
              <w:t>For the year ended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20" w:type="dxa"/>
            <w:vAlign w:val="bottom"/>
          </w:tcPr>
          <w:p>
            <w:pPr>
              <w:spacing w:after="0"/>
              <w:rPr>
                <w:sz w:val="18"/>
                <w:szCs w:val="18"/>
                <w:color w:val="auto"/>
              </w:rPr>
            </w:pPr>
          </w:p>
        </w:tc>
        <w:tc>
          <w:tcPr>
            <w:tcW w:w="170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December 31,</w:t>
            </w:r>
          </w:p>
        </w:tc>
        <w:tc>
          <w:tcPr>
            <w:tcW w:w="166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rPr>
              <w:t>December 31,</w:t>
            </w:r>
          </w:p>
        </w:tc>
        <w:tc>
          <w:tcPr>
            <w:tcW w:w="166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rPr>
              <w:t>December 31,</w:t>
            </w:r>
          </w:p>
        </w:tc>
        <w:tc>
          <w:tcPr>
            <w:tcW w:w="1560" w:type="dxa"/>
            <w:vAlign w:val="bottom"/>
          </w:tcPr>
          <w:p>
            <w:pPr>
              <w:jc w:val="right"/>
              <w:ind w:right="254"/>
              <w:spacing w:after="0"/>
              <w:rPr>
                <w:sz w:val="20"/>
                <w:szCs w:val="20"/>
                <w:color w:val="auto"/>
              </w:rPr>
            </w:pPr>
            <w:r>
              <w:rPr>
                <w:rFonts w:ascii="Arial" w:cs="Arial" w:eastAsia="Arial" w:hAnsi="Arial"/>
                <w:sz w:val="17"/>
                <w:szCs w:val="17"/>
                <w:b w:val="1"/>
                <w:bCs w:val="1"/>
                <w:color w:val="auto"/>
              </w:rPr>
              <w:t>December 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420" w:type="dxa"/>
            <w:vAlign w:val="bottom"/>
            <w:tcBorders>
              <w:bottom w:val="single" w:sz="8" w:color="E5FFFF"/>
            </w:tcBorders>
          </w:tcPr>
          <w:p>
            <w:pPr>
              <w:spacing w:after="0"/>
              <w:rPr>
                <w:sz w:val="19"/>
                <w:szCs w:val="19"/>
                <w:color w:val="auto"/>
              </w:rPr>
            </w:pPr>
          </w:p>
        </w:tc>
        <w:tc>
          <w:tcPr>
            <w:tcW w:w="1440" w:type="dxa"/>
            <w:vAlign w:val="bottom"/>
            <w:tcBorders>
              <w:bottom w:val="single" w:sz="8" w:color="auto"/>
            </w:tcBorders>
          </w:tcPr>
          <w:p>
            <w:pPr>
              <w:ind w:left="540"/>
              <w:spacing w:after="0"/>
              <w:rPr>
                <w:sz w:val="20"/>
                <w:szCs w:val="20"/>
                <w:color w:val="auto"/>
              </w:rPr>
            </w:pPr>
            <w:r>
              <w:rPr>
                <w:rFonts w:ascii="Arial" w:cs="Arial" w:eastAsia="Arial" w:hAnsi="Arial"/>
                <w:sz w:val="17"/>
                <w:szCs w:val="17"/>
                <w:b w:val="1"/>
                <w:bCs w:val="1"/>
                <w:color w:val="auto"/>
              </w:rPr>
              <w:t>2017</w:t>
            </w:r>
          </w:p>
        </w:tc>
        <w:tc>
          <w:tcPr>
            <w:tcW w:w="260" w:type="dxa"/>
            <w:vAlign w:val="bottom"/>
            <w:tcBorders>
              <w:bottom w:val="single" w:sz="8" w:color="E5FFFF"/>
            </w:tcBorders>
          </w:tcPr>
          <w:p>
            <w:pPr>
              <w:spacing w:after="0"/>
              <w:rPr>
                <w:sz w:val="19"/>
                <w:szCs w:val="19"/>
                <w:color w:val="auto"/>
              </w:rPr>
            </w:pPr>
          </w:p>
        </w:tc>
        <w:tc>
          <w:tcPr>
            <w:tcW w:w="144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2018</w:t>
            </w:r>
          </w:p>
        </w:tc>
        <w:tc>
          <w:tcPr>
            <w:tcW w:w="220" w:type="dxa"/>
            <w:vAlign w:val="bottom"/>
            <w:tcBorders>
              <w:bottom w:val="single" w:sz="8" w:color="E5FFFF"/>
            </w:tcBorders>
          </w:tcPr>
          <w:p>
            <w:pPr>
              <w:spacing w:after="0"/>
              <w:rPr>
                <w:sz w:val="19"/>
                <w:szCs w:val="19"/>
                <w:color w:val="auto"/>
              </w:rPr>
            </w:pPr>
          </w:p>
        </w:tc>
        <w:tc>
          <w:tcPr>
            <w:tcW w:w="144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2017</w:t>
            </w:r>
          </w:p>
        </w:tc>
        <w:tc>
          <w:tcPr>
            <w:tcW w:w="220" w:type="dxa"/>
            <w:vAlign w:val="bottom"/>
            <w:tcBorders>
              <w:bottom w:val="single" w:sz="8" w:color="E5FFFF"/>
            </w:tcBorders>
          </w:tcPr>
          <w:p>
            <w:pPr>
              <w:spacing w:after="0"/>
              <w:rPr>
                <w:sz w:val="19"/>
                <w:szCs w:val="19"/>
                <w:color w:val="auto"/>
              </w:rPr>
            </w:pPr>
          </w:p>
        </w:tc>
        <w:tc>
          <w:tcPr>
            <w:tcW w:w="156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420" w:type="dxa"/>
            <w:vAlign w:val="bottom"/>
            <w:shd w:val="clear" w:color="auto" w:fill="E5FFFF"/>
          </w:tcPr>
          <w:p>
            <w:pPr>
              <w:spacing w:after="0"/>
              <w:rPr>
                <w:sz w:val="20"/>
                <w:szCs w:val="20"/>
                <w:color w:val="auto"/>
              </w:rPr>
            </w:pPr>
            <w:r>
              <w:rPr>
                <w:rFonts w:ascii="Arial" w:cs="Arial" w:eastAsia="Arial" w:hAnsi="Arial"/>
                <w:sz w:val="17"/>
                <w:szCs w:val="17"/>
                <w:color w:val="auto"/>
              </w:rPr>
              <w:t>Profit for the period attributable to owners of the Group</w:t>
            </w:r>
          </w:p>
        </w:tc>
        <w:tc>
          <w:tcPr>
            <w:tcW w:w="1700" w:type="dxa"/>
            <w:vAlign w:val="bottom"/>
            <w:gridSpan w:val="2"/>
            <w:shd w:val="clear" w:color="auto" w:fill="E5FFFF"/>
          </w:tcPr>
          <w:p>
            <w:pPr>
              <w:jc w:val="right"/>
              <w:ind w:right="260"/>
              <w:spacing w:after="0"/>
              <w:rPr>
                <w:sz w:val="20"/>
                <w:szCs w:val="20"/>
                <w:color w:val="auto"/>
              </w:rPr>
            </w:pPr>
            <w:r>
              <w:rPr>
                <w:rFonts w:ascii="Arial" w:cs="Arial" w:eastAsia="Arial" w:hAnsi="Arial"/>
                <w:sz w:val="17"/>
                <w:szCs w:val="17"/>
                <w:color w:val="auto"/>
              </w:rPr>
              <w:t>8,934</w:t>
            </w:r>
          </w:p>
        </w:tc>
        <w:tc>
          <w:tcPr>
            <w:tcW w:w="1660" w:type="dxa"/>
            <w:vAlign w:val="bottom"/>
            <w:gridSpan w:val="2"/>
            <w:shd w:val="clear" w:color="auto" w:fill="E5FFFF"/>
          </w:tcPr>
          <w:p>
            <w:pPr>
              <w:jc w:val="right"/>
              <w:ind w:right="220"/>
              <w:spacing w:after="0"/>
              <w:rPr>
                <w:sz w:val="20"/>
                <w:szCs w:val="20"/>
                <w:color w:val="auto"/>
              </w:rPr>
            </w:pPr>
            <w:r>
              <w:rPr>
                <w:rFonts w:ascii="Arial" w:cs="Arial" w:eastAsia="Arial" w:hAnsi="Arial"/>
                <w:sz w:val="17"/>
                <w:szCs w:val="17"/>
                <w:color w:val="auto"/>
              </w:rPr>
              <w:t>13,785</w:t>
            </w:r>
          </w:p>
        </w:tc>
        <w:tc>
          <w:tcPr>
            <w:tcW w:w="14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15,506</w:t>
            </w:r>
          </w:p>
        </w:tc>
        <w:tc>
          <w:tcPr>
            <w:tcW w:w="220" w:type="dxa"/>
            <w:vAlign w:val="bottom"/>
            <w:shd w:val="clear" w:color="auto" w:fill="E5FFFF"/>
          </w:tcPr>
          <w:p>
            <w:pPr>
              <w:spacing w:after="0"/>
              <w:rPr>
                <w:sz w:val="22"/>
                <w:szCs w:val="22"/>
                <w:color w:val="auto"/>
              </w:rPr>
            </w:pPr>
          </w:p>
        </w:tc>
        <w:tc>
          <w:tcPr>
            <w:tcW w:w="1560" w:type="dxa"/>
            <w:vAlign w:val="bottom"/>
            <w:shd w:val="clear" w:color="auto" w:fill="E5FFFF"/>
          </w:tcPr>
          <w:p>
            <w:pPr>
              <w:jc w:val="right"/>
              <w:ind w:right="34"/>
              <w:spacing w:after="0"/>
              <w:rPr>
                <w:sz w:val="20"/>
                <w:szCs w:val="20"/>
                <w:color w:val="auto"/>
              </w:rPr>
            </w:pPr>
            <w:r>
              <w:rPr>
                <w:rFonts w:ascii="Arial" w:cs="Arial" w:eastAsia="Arial" w:hAnsi="Arial"/>
                <w:sz w:val="17"/>
                <w:szCs w:val="17"/>
                <w:color w:val="auto"/>
              </w:rPr>
              <w:t>47,683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5420" w:type="dxa"/>
            <w:vAlign w:val="bottom"/>
          </w:tcPr>
          <w:p>
            <w:pPr>
              <w:spacing w:after="0"/>
              <w:rPr>
                <w:sz w:val="20"/>
                <w:szCs w:val="20"/>
                <w:color w:val="auto"/>
              </w:rPr>
            </w:pPr>
            <w:r>
              <w:rPr>
                <w:rFonts w:ascii="Arial" w:cs="Arial" w:eastAsia="Arial" w:hAnsi="Arial"/>
                <w:sz w:val="17"/>
                <w:szCs w:val="17"/>
                <w:color w:val="auto"/>
              </w:rPr>
              <w:t>Plus:</w:t>
            </w:r>
          </w:p>
        </w:tc>
        <w:tc>
          <w:tcPr>
            <w:tcW w:w="1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420" w:type="dxa"/>
            <w:vAlign w:val="bottom"/>
            <w:shd w:val="clear" w:color="auto" w:fill="E5FFFF"/>
          </w:tcPr>
          <w:p>
            <w:pPr>
              <w:spacing w:after="0"/>
              <w:rPr>
                <w:sz w:val="20"/>
                <w:szCs w:val="20"/>
                <w:color w:val="auto"/>
              </w:rPr>
            </w:pPr>
            <w:r>
              <w:rPr>
                <w:rFonts w:ascii="Arial" w:cs="Arial" w:eastAsia="Arial" w:hAnsi="Arial"/>
                <w:sz w:val="17"/>
                <w:szCs w:val="17"/>
                <w:color w:val="auto"/>
              </w:rPr>
              <w:t>Dividend on preference shares</w:t>
            </w:r>
          </w:p>
        </w:tc>
        <w:tc>
          <w:tcPr>
            <w:tcW w:w="1700" w:type="dxa"/>
            <w:vAlign w:val="bottom"/>
            <w:gridSpan w:val="2"/>
            <w:shd w:val="clear" w:color="auto" w:fill="E5FFFF"/>
          </w:tcPr>
          <w:p>
            <w:pPr>
              <w:jc w:val="right"/>
              <w:ind w:right="200"/>
              <w:spacing w:after="0"/>
              <w:rPr>
                <w:sz w:val="20"/>
                <w:szCs w:val="20"/>
                <w:color w:val="auto"/>
              </w:rPr>
            </w:pPr>
            <w:r>
              <w:rPr>
                <w:rFonts w:ascii="Arial" w:cs="Arial" w:eastAsia="Arial" w:hAnsi="Arial"/>
                <w:sz w:val="17"/>
                <w:szCs w:val="17"/>
                <w:color w:val="auto"/>
              </w:rPr>
              <w:t>(2,516)</w:t>
            </w:r>
          </w:p>
        </w:tc>
        <w:tc>
          <w:tcPr>
            <w:tcW w:w="1660" w:type="dxa"/>
            <w:vAlign w:val="bottom"/>
            <w:gridSpan w:val="2"/>
            <w:shd w:val="clear" w:color="auto" w:fill="E5FFFF"/>
          </w:tcPr>
          <w:p>
            <w:pPr>
              <w:jc w:val="right"/>
              <w:ind w:right="180"/>
              <w:spacing w:after="0"/>
              <w:rPr>
                <w:sz w:val="20"/>
                <w:szCs w:val="20"/>
                <w:color w:val="auto"/>
              </w:rPr>
            </w:pPr>
            <w:r>
              <w:rPr>
                <w:rFonts w:ascii="Arial" w:cs="Arial" w:eastAsia="Arial" w:hAnsi="Arial"/>
                <w:sz w:val="17"/>
                <w:szCs w:val="17"/>
                <w:color w:val="auto"/>
              </w:rPr>
              <w:t>(2,516)</w:t>
            </w:r>
          </w:p>
        </w:tc>
        <w:tc>
          <w:tcPr>
            <w:tcW w:w="1660" w:type="dxa"/>
            <w:vAlign w:val="bottom"/>
            <w:gridSpan w:val="2"/>
            <w:shd w:val="clear" w:color="auto" w:fill="E5FFFF"/>
          </w:tcPr>
          <w:p>
            <w:pPr>
              <w:jc w:val="right"/>
              <w:ind w:right="160"/>
              <w:spacing w:after="0"/>
              <w:rPr>
                <w:sz w:val="20"/>
                <w:szCs w:val="20"/>
                <w:color w:val="auto"/>
              </w:rPr>
            </w:pPr>
            <w:r>
              <w:rPr>
                <w:rFonts w:ascii="Arial" w:cs="Arial" w:eastAsia="Arial" w:hAnsi="Arial"/>
                <w:sz w:val="17"/>
                <w:szCs w:val="17"/>
                <w:color w:val="auto"/>
              </w:rPr>
              <w:t>(10,064)</w:t>
            </w:r>
          </w:p>
        </w:tc>
        <w:tc>
          <w:tcPr>
            <w:tcW w:w="156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(10,063)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5420" w:type="dxa"/>
            <w:vAlign w:val="bottom"/>
          </w:tcPr>
          <w:p>
            <w:pPr>
              <w:spacing w:after="0"/>
              <w:rPr>
                <w:sz w:val="20"/>
                <w:szCs w:val="20"/>
                <w:color w:val="auto"/>
              </w:rPr>
            </w:pPr>
            <w:r>
              <w:rPr>
                <w:rFonts w:ascii="Arial" w:cs="Arial" w:eastAsia="Arial" w:hAnsi="Arial"/>
                <w:sz w:val="17"/>
                <w:szCs w:val="17"/>
                <w:color w:val="auto"/>
              </w:rPr>
              <w:t>Profit for the period available to owners of the Group used in EPS</w:t>
            </w:r>
          </w:p>
        </w:tc>
        <w:tc>
          <w:tcPr>
            <w:tcW w:w="14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420" w:type="dxa"/>
            <w:vAlign w:val="bottom"/>
          </w:tcPr>
          <w:p>
            <w:pPr>
              <w:ind w:left="180"/>
              <w:spacing w:after="0"/>
              <w:rPr>
                <w:sz w:val="20"/>
                <w:szCs w:val="20"/>
                <w:color w:val="auto"/>
              </w:rPr>
            </w:pPr>
            <w:r>
              <w:rPr>
                <w:rFonts w:ascii="Arial" w:cs="Arial" w:eastAsia="Arial" w:hAnsi="Arial"/>
                <w:sz w:val="17"/>
                <w:szCs w:val="17"/>
                <w:color w:val="auto"/>
              </w:rPr>
              <w:t>calculation</w:t>
            </w:r>
          </w:p>
        </w:tc>
        <w:tc>
          <w:tcPr>
            <w:tcW w:w="1700" w:type="dxa"/>
            <w:vAlign w:val="bottom"/>
            <w:gridSpan w:val="2"/>
          </w:tcPr>
          <w:p>
            <w:pPr>
              <w:jc w:val="right"/>
              <w:ind w:right="260"/>
              <w:spacing w:after="0"/>
              <w:rPr>
                <w:sz w:val="20"/>
                <w:szCs w:val="20"/>
                <w:color w:val="auto"/>
              </w:rPr>
            </w:pPr>
            <w:r>
              <w:rPr>
                <w:rFonts w:ascii="Arial" w:cs="Arial" w:eastAsia="Arial" w:hAnsi="Arial"/>
                <w:sz w:val="17"/>
                <w:szCs w:val="17"/>
                <w:color w:val="auto"/>
              </w:rPr>
              <w:t>6,418</w:t>
            </w:r>
          </w:p>
        </w:tc>
        <w:tc>
          <w:tcPr>
            <w:tcW w:w="1660" w:type="dxa"/>
            <w:vAlign w:val="bottom"/>
            <w:gridSpan w:val="2"/>
          </w:tcPr>
          <w:p>
            <w:pPr>
              <w:jc w:val="right"/>
              <w:ind w:right="220"/>
              <w:spacing w:after="0"/>
              <w:rPr>
                <w:sz w:val="20"/>
                <w:szCs w:val="20"/>
                <w:color w:val="auto"/>
              </w:rPr>
            </w:pPr>
            <w:r>
              <w:rPr>
                <w:rFonts w:ascii="Arial" w:cs="Arial" w:eastAsia="Arial" w:hAnsi="Arial"/>
                <w:sz w:val="17"/>
                <w:szCs w:val="17"/>
                <w:color w:val="auto"/>
              </w:rPr>
              <w:t>11,269</w:t>
            </w:r>
          </w:p>
        </w:tc>
        <w:tc>
          <w:tcPr>
            <w:tcW w:w="1440" w:type="dxa"/>
            <w:vAlign w:val="bottom"/>
          </w:tcPr>
          <w:p>
            <w:pPr>
              <w:jc w:val="right"/>
              <w:spacing w:after="0"/>
              <w:rPr>
                <w:sz w:val="20"/>
                <w:szCs w:val="20"/>
                <w:color w:val="auto"/>
              </w:rPr>
            </w:pPr>
            <w:r>
              <w:rPr>
                <w:rFonts w:ascii="Arial" w:cs="Arial" w:eastAsia="Arial" w:hAnsi="Arial"/>
                <w:sz w:val="17"/>
                <w:szCs w:val="17"/>
                <w:color w:val="auto"/>
              </w:rPr>
              <w:t>5,442</w:t>
            </w:r>
          </w:p>
        </w:tc>
        <w:tc>
          <w:tcPr>
            <w:tcW w:w="220" w:type="dxa"/>
            <w:vAlign w:val="bottom"/>
          </w:tcPr>
          <w:p>
            <w:pPr>
              <w:spacing w:after="0"/>
              <w:rPr>
                <w:sz w:val="19"/>
                <w:szCs w:val="19"/>
                <w:color w:val="auto"/>
              </w:rPr>
            </w:pPr>
          </w:p>
        </w:tc>
        <w:tc>
          <w:tcPr>
            <w:tcW w:w="1560" w:type="dxa"/>
            <w:vAlign w:val="bottom"/>
          </w:tcPr>
          <w:p>
            <w:pPr>
              <w:jc w:val="right"/>
              <w:ind w:right="34"/>
              <w:spacing w:after="0"/>
              <w:rPr>
                <w:sz w:val="20"/>
                <w:szCs w:val="20"/>
                <w:color w:val="auto"/>
              </w:rPr>
            </w:pPr>
            <w:r>
              <w:rPr>
                <w:rFonts w:ascii="Arial" w:cs="Arial" w:eastAsia="Arial" w:hAnsi="Arial"/>
                <w:sz w:val="17"/>
                <w:szCs w:val="17"/>
                <w:color w:val="auto"/>
              </w:rPr>
              <w:t>37,620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shd w:val="clear" w:color="auto" w:fill="E5FFFF"/>
          </w:tcPr>
          <w:p>
            <w:pPr>
              <w:spacing w:after="0"/>
              <w:rPr>
                <w:sz w:val="20"/>
                <w:szCs w:val="20"/>
                <w:color w:val="auto"/>
              </w:rPr>
            </w:pPr>
            <w:r>
              <w:rPr>
                <w:rFonts w:ascii="Arial" w:cs="Arial" w:eastAsia="Arial" w:hAnsi="Arial"/>
                <w:sz w:val="17"/>
                <w:szCs w:val="17"/>
                <w:color w:val="auto"/>
              </w:rPr>
              <w:t>Weighted average number of shares outstanding, basic</w:t>
            </w:r>
          </w:p>
        </w:tc>
        <w:tc>
          <w:tcPr>
            <w:tcW w:w="1440" w:type="dxa"/>
            <w:vAlign w:val="bottom"/>
            <w:shd w:val="clear" w:color="auto" w:fill="000000"/>
          </w:tcPr>
          <w:p>
            <w:pPr>
              <w:spacing w:after="0" w:line="20" w:lineRule="exact"/>
              <w:rPr>
                <w:sz w:val="1"/>
                <w:szCs w:val="1"/>
                <w:color w:val="auto"/>
              </w:rPr>
            </w:pPr>
          </w:p>
        </w:tc>
        <w:tc>
          <w:tcPr>
            <w:tcW w:w="260" w:type="dxa"/>
            <w:vAlign w:val="bottom"/>
            <w:shd w:val="clear" w:color="auto" w:fill="E5FF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5420" w:type="dxa"/>
            <w:vAlign w:val="bottom"/>
            <w:vMerge w:val="continue"/>
            <w:shd w:val="clear" w:color="auto" w:fill="E5FFFF"/>
          </w:tcPr>
          <w:p>
            <w:pPr>
              <w:spacing w:after="0"/>
              <w:rPr>
                <w:sz w:val="22"/>
                <w:szCs w:val="22"/>
                <w:color w:val="auto"/>
              </w:rPr>
            </w:pPr>
          </w:p>
        </w:tc>
        <w:tc>
          <w:tcPr>
            <w:tcW w:w="1700" w:type="dxa"/>
            <w:vAlign w:val="bottom"/>
            <w:gridSpan w:val="2"/>
            <w:shd w:val="clear" w:color="auto" w:fill="E5FFFF"/>
          </w:tcPr>
          <w:p>
            <w:pPr>
              <w:jc w:val="right"/>
              <w:ind w:right="260"/>
              <w:spacing w:after="0"/>
              <w:rPr>
                <w:sz w:val="20"/>
                <w:szCs w:val="20"/>
                <w:color w:val="auto"/>
              </w:rPr>
            </w:pPr>
            <w:r>
              <w:rPr>
                <w:rFonts w:ascii="Arial" w:cs="Arial" w:eastAsia="Arial" w:hAnsi="Arial"/>
                <w:sz w:val="17"/>
                <w:szCs w:val="17"/>
                <w:color w:val="auto"/>
              </w:rPr>
              <w:t>80,673,054</w:t>
            </w:r>
          </w:p>
        </w:tc>
        <w:tc>
          <w:tcPr>
            <w:tcW w:w="1660" w:type="dxa"/>
            <w:vAlign w:val="bottom"/>
            <w:gridSpan w:val="2"/>
            <w:shd w:val="clear" w:color="auto" w:fill="E5FFFF"/>
          </w:tcPr>
          <w:p>
            <w:pPr>
              <w:jc w:val="right"/>
              <w:ind w:right="220"/>
              <w:spacing w:after="0"/>
              <w:rPr>
                <w:sz w:val="20"/>
                <w:szCs w:val="20"/>
                <w:color w:val="auto"/>
              </w:rPr>
            </w:pPr>
            <w:r>
              <w:rPr>
                <w:rFonts w:ascii="Arial" w:cs="Arial" w:eastAsia="Arial" w:hAnsi="Arial"/>
                <w:sz w:val="17"/>
                <w:szCs w:val="17"/>
                <w:color w:val="auto"/>
              </w:rPr>
              <w:t>80,838,686</w:t>
            </w:r>
          </w:p>
        </w:tc>
        <w:tc>
          <w:tcPr>
            <w:tcW w:w="14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80,622,788</w:t>
            </w:r>
          </w:p>
        </w:tc>
        <w:tc>
          <w:tcPr>
            <w:tcW w:w="220" w:type="dxa"/>
            <w:vAlign w:val="bottom"/>
            <w:shd w:val="clear" w:color="auto" w:fill="E5FFFF"/>
          </w:tcPr>
          <w:p>
            <w:pPr>
              <w:spacing w:after="0"/>
              <w:rPr>
                <w:sz w:val="22"/>
                <w:szCs w:val="22"/>
                <w:color w:val="auto"/>
              </w:rPr>
            </w:pPr>
          </w:p>
        </w:tc>
        <w:tc>
          <w:tcPr>
            <w:tcW w:w="1560" w:type="dxa"/>
            <w:vAlign w:val="bottom"/>
            <w:shd w:val="clear" w:color="auto" w:fill="E5FFFF"/>
          </w:tcPr>
          <w:p>
            <w:pPr>
              <w:jc w:val="right"/>
              <w:ind w:right="34"/>
              <w:spacing w:after="0"/>
              <w:rPr>
                <w:sz w:val="20"/>
                <w:szCs w:val="20"/>
                <w:color w:val="auto"/>
              </w:rPr>
            </w:pPr>
            <w:r>
              <w:rPr>
                <w:rFonts w:ascii="Arial" w:cs="Arial" w:eastAsia="Arial" w:hAnsi="Arial"/>
                <w:sz w:val="17"/>
                <w:szCs w:val="17"/>
                <w:color w:val="auto"/>
              </w:rPr>
              <w:t>80,792,837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7"/>
                <w:szCs w:val="17"/>
                <w:b w:val="1"/>
                <w:bCs w:val="1"/>
                <w:color w:val="auto"/>
              </w:rPr>
              <w:t>Earnings per share</w:t>
            </w:r>
          </w:p>
        </w:tc>
        <w:tc>
          <w:tcPr>
            <w:tcW w:w="1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5420" w:type="dxa"/>
            <w:vAlign w:val="bottom"/>
            <w:vMerge w:val="continue"/>
          </w:tcPr>
          <w:p>
            <w:pPr>
              <w:spacing w:after="0"/>
              <w:rPr>
                <w:sz w:val="24"/>
                <w:szCs w:val="24"/>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0.08</w:t>
            </w:r>
          </w:p>
        </w:tc>
        <w:tc>
          <w:tcPr>
            <w:tcW w:w="16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0.14</w:t>
            </w:r>
          </w:p>
        </w:tc>
        <w:tc>
          <w:tcPr>
            <w:tcW w:w="1440" w:type="dxa"/>
            <w:vAlign w:val="bottom"/>
          </w:tcPr>
          <w:p>
            <w:pPr>
              <w:jc w:val="right"/>
              <w:spacing w:after="0"/>
              <w:rPr>
                <w:sz w:val="20"/>
                <w:szCs w:val="20"/>
                <w:color w:val="auto"/>
              </w:rPr>
            </w:pPr>
            <w:r>
              <w:rPr>
                <w:rFonts w:ascii="Arial" w:cs="Arial" w:eastAsia="Arial" w:hAnsi="Arial"/>
                <w:sz w:val="17"/>
                <w:szCs w:val="17"/>
                <w:b w:val="1"/>
                <w:bCs w:val="1"/>
                <w:color w:val="auto"/>
              </w:rPr>
              <w:t>0.07</w:t>
            </w:r>
          </w:p>
        </w:tc>
        <w:tc>
          <w:tcPr>
            <w:tcW w:w="220" w:type="dxa"/>
            <w:vAlign w:val="bottom"/>
          </w:tcPr>
          <w:p>
            <w:pPr>
              <w:spacing w:after="0"/>
              <w:rPr>
                <w:sz w:val="24"/>
                <w:szCs w:val="24"/>
                <w:color w:val="auto"/>
              </w:rPr>
            </w:pPr>
          </w:p>
        </w:tc>
        <w:tc>
          <w:tcPr>
            <w:tcW w:w="1560" w:type="dxa"/>
            <w:vAlign w:val="bottom"/>
          </w:tcPr>
          <w:p>
            <w:pPr>
              <w:jc w:val="right"/>
              <w:ind w:right="34"/>
              <w:spacing w:after="0"/>
              <w:rPr>
                <w:sz w:val="20"/>
                <w:szCs w:val="20"/>
                <w:color w:val="auto"/>
              </w:rPr>
            </w:pPr>
            <w:r>
              <w:rPr>
                <w:rFonts w:ascii="Arial" w:cs="Arial" w:eastAsia="Arial" w:hAnsi="Arial"/>
                <w:sz w:val="17"/>
                <w:szCs w:val="17"/>
                <w:b w:val="1"/>
                <w:bCs w:val="1"/>
                <w:color w:val="auto"/>
              </w:rPr>
              <w:t>0.47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4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7"/>
                <w:szCs w:val="17"/>
                <w:color w:val="auto"/>
              </w:rPr>
              <w:t>Profit for the period available to owners of the Group used in EPS</w:t>
            </w:r>
          </w:p>
        </w:tc>
        <w:tc>
          <w:tcPr>
            <w:tcW w:w="1440" w:type="dxa"/>
            <w:vAlign w:val="bottom"/>
            <w:tcBorders>
              <w:top w:val="single" w:sz="8" w:color="auto"/>
            </w:tcBorders>
            <w:shd w:val="clear" w:color="auto" w:fill="E5FFFF"/>
          </w:tcPr>
          <w:p>
            <w:pPr>
              <w:spacing w:after="0"/>
              <w:rPr>
                <w:sz w:val="17"/>
                <w:szCs w:val="17"/>
                <w:color w:val="auto"/>
              </w:rPr>
            </w:pPr>
          </w:p>
        </w:tc>
        <w:tc>
          <w:tcPr>
            <w:tcW w:w="260" w:type="dxa"/>
            <w:vAlign w:val="bottom"/>
            <w:tcBorders>
              <w:top w:val="single" w:sz="8" w:color="E5FFFF"/>
            </w:tcBorders>
            <w:shd w:val="clear" w:color="auto" w:fill="E5FFFF"/>
          </w:tcPr>
          <w:p>
            <w:pPr>
              <w:spacing w:after="0"/>
              <w:rPr>
                <w:sz w:val="17"/>
                <w:szCs w:val="17"/>
                <w:color w:val="auto"/>
              </w:rPr>
            </w:pPr>
          </w:p>
        </w:tc>
        <w:tc>
          <w:tcPr>
            <w:tcW w:w="1440" w:type="dxa"/>
            <w:vAlign w:val="bottom"/>
            <w:tcBorders>
              <w:top w:val="single" w:sz="8" w:color="auto"/>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1440" w:type="dxa"/>
            <w:vAlign w:val="bottom"/>
            <w:tcBorders>
              <w:top w:val="single" w:sz="8" w:color="auto"/>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1560" w:type="dxa"/>
            <w:vAlign w:val="bottom"/>
            <w:tcBorders>
              <w:top w:val="single" w:sz="8" w:color="auto"/>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420" w:type="dxa"/>
            <w:vAlign w:val="bottom"/>
            <w:shd w:val="clear" w:color="auto" w:fill="E5FFFF"/>
          </w:tcPr>
          <w:p>
            <w:pPr>
              <w:spacing w:after="0"/>
              <w:rPr>
                <w:sz w:val="20"/>
                <w:szCs w:val="20"/>
                <w:color w:val="auto"/>
              </w:rPr>
            </w:pPr>
            <w:r>
              <w:rPr>
                <w:rFonts w:ascii="Arial" w:cs="Arial" w:eastAsia="Arial" w:hAnsi="Arial"/>
                <w:sz w:val="17"/>
                <w:szCs w:val="17"/>
                <w:color w:val="auto"/>
              </w:rPr>
              <w:t>calculation</w:t>
            </w:r>
          </w:p>
        </w:tc>
        <w:tc>
          <w:tcPr>
            <w:tcW w:w="1700" w:type="dxa"/>
            <w:vAlign w:val="bottom"/>
            <w:gridSpan w:val="2"/>
            <w:shd w:val="clear" w:color="auto" w:fill="E5FFFF"/>
          </w:tcPr>
          <w:p>
            <w:pPr>
              <w:jc w:val="right"/>
              <w:ind w:right="260"/>
              <w:spacing w:after="0"/>
              <w:rPr>
                <w:sz w:val="20"/>
                <w:szCs w:val="20"/>
                <w:color w:val="auto"/>
              </w:rPr>
            </w:pPr>
            <w:r>
              <w:rPr>
                <w:rFonts w:ascii="Arial" w:cs="Arial" w:eastAsia="Arial" w:hAnsi="Arial"/>
                <w:sz w:val="17"/>
                <w:szCs w:val="17"/>
                <w:color w:val="auto"/>
              </w:rPr>
              <w:t>6,418</w:t>
            </w:r>
          </w:p>
        </w:tc>
        <w:tc>
          <w:tcPr>
            <w:tcW w:w="1660" w:type="dxa"/>
            <w:vAlign w:val="bottom"/>
            <w:gridSpan w:val="2"/>
            <w:shd w:val="clear" w:color="auto" w:fill="E5FFFF"/>
          </w:tcPr>
          <w:p>
            <w:pPr>
              <w:jc w:val="right"/>
              <w:ind w:right="220"/>
              <w:spacing w:after="0"/>
              <w:rPr>
                <w:sz w:val="20"/>
                <w:szCs w:val="20"/>
                <w:color w:val="auto"/>
              </w:rPr>
            </w:pPr>
            <w:r>
              <w:rPr>
                <w:rFonts w:ascii="Arial" w:cs="Arial" w:eastAsia="Arial" w:hAnsi="Arial"/>
                <w:sz w:val="17"/>
                <w:szCs w:val="17"/>
                <w:color w:val="auto"/>
              </w:rPr>
              <w:t>11,269</w:t>
            </w:r>
          </w:p>
        </w:tc>
        <w:tc>
          <w:tcPr>
            <w:tcW w:w="14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5,442</w:t>
            </w:r>
          </w:p>
        </w:tc>
        <w:tc>
          <w:tcPr>
            <w:tcW w:w="220" w:type="dxa"/>
            <w:vAlign w:val="bottom"/>
            <w:shd w:val="clear" w:color="auto" w:fill="E5FFFF"/>
          </w:tcPr>
          <w:p>
            <w:pPr>
              <w:spacing w:after="0"/>
              <w:rPr>
                <w:sz w:val="19"/>
                <w:szCs w:val="19"/>
                <w:color w:val="auto"/>
              </w:rPr>
            </w:pPr>
          </w:p>
        </w:tc>
        <w:tc>
          <w:tcPr>
            <w:tcW w:w="1560" w:type="dxa"/>
            <w:vAlign w:val="bottom"/>
            <w:shd w:val="clear" w:color="auto" w:fill="E5FFFF"/>
          </w:tcPr>
          <w:p>
            <w:pPr>
              <w:jc w:val="right"/>
              <w:ind w:right="34"/>
              <w:spacing w:after="0"/>
              <w:rPr>
                <w:sz w:val="20"/>
                <w:szCs w:val="20"/>
                <w:color w:val="auto"/>
              </w:rPr>
            </w:pPr>
            <w:r>
              <w:rPr>
                <w:rFonts w:ascii="Arial" w:cs="Arial" w:eastAsia="Arial" w:hAnsi="Arial"/>
                <w:sz w:val="17"/>
                <w:szCs w:val="17"/>
                <w:color w:val="auto"/>
              </w:rPr>
              <w:t>37,620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5420" w:type="dxa"/>
            <w:vAlign w:val="bottom"/>
          </w:tcPr>
          <w:p>
            <w:pPr>
              <w:spacing w:after="0"/>
              <w:rPr>
                <w:sz w:val="20"/>
                <w:szCs w:val="20"/>
                <w:color w:val="auto"/>
              </w:rPr>
            </w:pPr>
            <w:r>
              <w:rPr>
                <w:rFonts w:ascii="Arial" w:cs="Arial" w:eastAsia="Arial" w:hAnsi="Arial"/>
                <w:sz w:val="17"/>
                <w:szCs w:val="17"/>
                <w:color w:val="auto"/>
              </w:rPr>
              <w:t>Plus:</w:t>
            </w:r>
          </w:p>
        </w:tc>
        <w:tc>
          <w:tcPr>
            <w:tcW w:w="1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420" w:type="dxa"/>
            <w:vAlign w:val="bottom"/>
            <w:shd w:val="clear" w:color="auto" w:fill="E5FFFF"/>
          </w:tcPr>
          <w:p>
            <w:pPr>
              <w:spacing w:after="0"/>
              <w:rPr>
                <w:sz w:val="20"/>
                <w:szCs w:val="20"/>
                <w:color w:val="auto"/>
              </w:rPr>
            </w:pPr>
            <w:r>
              <w:rPr>
                <w:rFonts w:ascii="Arial" w:cs="Arial" w:eastAsia="Arial" w:hAnsi="Arial"/>
                <w:sz w:val="17"/>
                <w:szCs w:val="17"/>
                <w:color w:val="auto"/>
              </w:rPr>
              <w:t>Non-cash (gain)/loss on derivatives</w:t>
            </w:r>
          </w:p>
        </w:tc>
        <w:tc>
          <w:tcPr>
            <w:tcW w:w="1700" w:type="dxa"/>
            <w:vAlign w:val="bottom"/>
            <w:gridSpan w:val="2"/>
            <w:shd w:val="clear" w:color="auto" w:fill="E5FFFF"/>
          </w:tcPr>
          <w:p>
            <w:pPr>
              <w:jc w:val="right"/>
              <w:ind w:right="200"/>
              <w:spacing w:after="0"/>
              <w:rPr>
                <w:sz w:val="20"/>
                <w:szCs w:val="20"/>
                <w:color w:val="auto"/>
              </w:rPr>
            </w:pPr>
            <w:r>
              <w:rPr>
                <w:rFonts w:ascii="Arial" w:cs="Arial" w:eastAsia="Arial" w:hAnsi="Arial"/>
                <w:sz w:val="17"/>
                <w:szCs w:val="17"/>
                <w:color w:val="auto"/>
              </w:rPr>
              <w:t>(8,471</w:t>
            </w:r>
            <w:r>
              <w:rPr>
                <w:rFonts w:ascii="Arial" w:cs="Arial" w:eastAsia="Arial" w:hAnsi="Arial"/>
                <w:sz w:val="17"/>
                <w:szCs w:val="17"/>
                <w:b w:val="1"/>
                <w:bCs w:val="1"/>
                <w:color w:val="auto"/>
              </w:rPr>
              <w:t>)</w:t>
            </w:r>
          </w:p>
        </w:tc>
        <w:tc>
          <w:tcPr>
            <w:tcW w:w="1660" w:type="dxa"/>
            <w:vAlign w:val="bottom"/>
            <w:gridSpan w:val="2"/>
            <w:shd w:val="clear" w:color="auto" w:fill="E5FFFF"/>
          </w:tcPr>
          <w:p>
            <w:pPr>
              <w:jc w:val="right"/>
              <w:ind w:right="220"/>
              <w:spacing w:after="0"/>
              <w:rPr>
                <w:sz w:val="20"/>
                <w:szCs w:val="20"/>
                <w:color w:val="auto"/>
              </w:rPr>
            </w:pPr>
            <w:r>
              <w:rPr>
                <w:rFonts w:ascii="Arial" w:cs="Arial" w:eastAsia="Arial" w:hAnsi="Arial"/>
                <w:sz w:val="17"/>
                <w:szCs w:val="17"/>
                <w:color w:val="auto"/>
              </w:rPr>
              <w:t>32,089</w:t>
            </w:r>
          </w:p>
        </w:tc>
        <w:tc>
          <w:tcPr>
            <w:tcW w:w="1660" w:type="dxa"/>
            <w:vAlign w:val="bottom"/>
            <w:gridSpan w:val="2"/>
            <w:shd w:val="clear" w:color="auto" w:fill="E5FFFF"/>
          </w:tcPr>
          <w:p>
            <w:pPr>
              <w:jc w:val="right"/>
              <w:ind w:right="160"/>
              <w:spacing w:after="0"/>
              <w:rPr>
                <w:sz w:val="20"/>
                <w:szCs w:val="20"/>
                <w:color w:val="auto"/>
              </w:rPr>
            </w:pPr>
            <w:r>
              <w:rPr>
                <w:rFonts w:ascii="Arial" w:cs="Arial" w:eastAsia="Arial" w:hAnsi="Arial"/>
                <w:sz w:val="17"/>
                <w:szCs w:val="17"/>
                <w:color w:val="auto"/>
              </w:rPr>
              <w:t>(6,137</w:t>
            </w:r>
            <w:r>
              <w:rPr>
                <w:rFonts w:ascii="Arial" w:cs="Arial" w:eastAsia="Arial" w:hAnsi="Arial"/>
                <w:sz w:val="17"/>
                <w:szCs w:val="17"/>
                <w:b w:val="1"/>
                <w:bCs w:val="1"/>
                <w:color w:val="auto"/>
              </w:rPr>
              <w:t>)</w:t>
            </w:r>
          </w:p>
        </w:tc>
        <w:tc>
          <w:tcPr>
            <w:tcW w:w="1560" w:type="dxa"/>
            <w:vAlign w:val="bottom"/>
            <w:shd w:val="clear" w:color="auto" w:fill="E5FFFF"/>
          </w:tcPr>
          <w:p>
            <w:pPr>
              <w:jc w:val="right"/>
              <w:ind w:right="34"/>
              <w:spacing w:after="0"/>
              <w:rPr>
                <w:sz w:val="20"/>
                <w:szCs w:val="20"/>
                <w:color w:val="auto"/>
              </w:rPr>
            </w:pPr>
            <w:r>
              <w:rPr>
                <w:rFonts w:ascii="Arial" w:cs="Arial" w:eastAsia="Arial" w:hAnsi="Arial"/>
                <w:sz w:val="17"/>
                <w:szCs w:val="17"/>
                <w:color w:val="auto"/>
              </w:rPr>
              <w:t>8,211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5420" w:type="dxa"/>
            <w:vAlign w:val="bottom"/>
          </w:tcPr>
          <w:p>
            <w:pPr>
              <w:spacing w:after="0"/>
              <w:rPr>
                <w:sz w:val="20"/>
                <w:szCs w:val="20"/>
                <w:color w:val="auto"/>
              </w:rPr>
            </w:pPr>
            <w:r>
              <w:rPr>
                <w:rFonts w:ascii="Arial" w:cs="Arial" w:eastAsia="Arial" w:hAnsi="Arial"/>
                <w:sz w:val="17"/>
                <w:szCs w:val="17"/>
                <w:color w:val="auto"/>
              </w:rPr>
              <w:t>Write-off of unamortized loan/bond fees and premium</w:t>
            </w:r>
          </w:p>
        </w:tc>
        <w:tc>
          <w:tcPr>
            <w:tcW w:w="1700" w:type="dxa"/>
            <w:vAlign w:val="bottom"/>
            <w:gridSpan w:val="2"/>
          </w:tcPr>
          <w:p>
            <w:pPr>
              <w:jc w:val="right"/>
              <w:ind w:right="260"/>
              <w:spacing w:after="0"/>
              <w:rPr>
                <w:sz w:val="20"/>
                <w:szCs w:val="20"/>
                <w:color w:val="auto"/>
              </w:rPr>
            </w:pPr>
            <w:r>
              <w:rPr>
                <w:rFonts w:ascii="Arial" w:cs="Arial" w:eastAsia="Arial" w:hAnsi="Arial"/>
                <w:sz w:val="17"/>
                <w:szCs w:val="17"/>
                <w:color w:val="auto"/>
              </w:rPr>
              <w:t>213</w:t>
            </w:r>
          </w:p>
        </w:tc>
        <w:tc>
          <w:tcPr>
            <w:tcW w:w="16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506</w:t>
            </w:r>
          </w:p>
        </w:tc>
        <w:tc>
          <w:tcPr>
            <w:tcW w:w="220" w:type="dxa"/>
            <w:vAlign w:val="bottom"/>
          </w:tcPr>
          <w:p>
            <w:pPr>
              <w:spacing w:after="0"/>
              <w:rPr>
                <w:sz w:val="22"/>
                <w:szCs w:val="22"/>
                <w:color w:val="auto"/>
              </w:rPr>
            </w:pPr>
          </w:p>
        </w:tc>
        <w:tc>
          <w:tcPr>
            <w:tcW w:w="156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420" w:type="dxa"/>
            <w:vAlign w:val="bottom"/>
            <w:shd w:val="clear" w:color="auto" w:fill="E5FFFF"/>
          </w:tcPr>
          <w:p>
            <w:pPr>
              <w:spacing w:after="0"/>
              <w:rPr>
                <w:sz w:val="20"/>
                <w:szCs w:val="20"/>
                <w:color w:val="auto"/>
              </w:rPr>
            </w:pPr>
            <w:r>
              <w:rPr>
                <w:rFonts w:ascii="Arial" w:cs="Arial" w:eastAsia="Arial" w:hAnsi="Arial"/>
                <w:sz w:val="17"/>
                <w:szCs w:val="17"/>
                <w:color w:val="auto"/>
              </w:rPr>
              <w:t>Foreign exchange losses, net</w:t>
            </w:r>
          </w:p>
        </w:tc>
        <w:tc>
          <w:tcPr>
            <w:tcW w:w="1700" w:type="dxa"/>
            <w:vAlign w:val="bottom"/>
            <w:gridSpan w:val="2"/>
            <w:shd w:val="clear" w:color="auto" w:fill="E5FFFF"/>
          </w:tcPr>
          <w:p>
            <w:pPr>
              <w:jc w:val="right"/>
              <w:ind w:right="260"/>
              <w:spacing w:after="0"/>
              <w:rPr>
                <w:sz w:val="20"/>
                <w:szCs w:val="20"/>
                <w:color w:val="auto"/>
              </w:rPr>
            </w:pPr>
            <w:r>
              <w:rPr>
                <w:rFonts w:ascii="Arial" w:cs="Arial" w:eastAsia="Arial" w:hAnsi="Arial"/>
                <w:sz w:val="17"/>
                <w:szCs w:val="17"/>
                <w:color w:val="auto"/>
              </w:rPr>
              <w:t>11</w:t>
            </w:r>
          </w:p>
        </w:tc>
        <w:tc>
          <w:tcPr>
            <w:tcW w:w="1660" w:type="dxa"/>
            <w:vAlign w:val="bottom"/>
            <w:gridSpan w:val="2"/>
            <w:shd w:val="clear" w:color="auto" w:fill="E5FFFF"/>
          </w:tcPr>
          <w:p>
            <w:pPr>
              <w:jc w:val="right"/>
              <w:ind w:right="220"/>
              <w:spacing w:after="0"/>
              <w:rPr>
                <w:sz w:val="20"/>
                <w:szCs w:val="20"/>
                <w:color w:val="auto"/>
              </w:rPr>
            </w:pPr>
            <w:r>
              <w:rPr>
                <w:rFonts w:ascii="Arial" w:cs="Arial" w:eastAsia="Arial" w:hAnsi="Arial"/>
                <w:sz w:val="17"/>
                <w:szCs w:val="17"/>
                <w:color w:val="auto"/>
              </w:rPr>
              <w:t>44</w:t>
            </w:r>
          </w:p>
        </w:tc>
        <w:tc>
          <w:tcPr>
            <w:tcW w:w="14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146</w:t>
            </w:r>
          </w:p>
        </w:tc>
        <w:tc>
          <w:tcPr>
            <w:tcW w:w="220" w:type="dxa"/>
            <w:vAlign w:val="bottom"/>
            <w:shd w:val="clear" w:color="auto" w:fill="E5FFFF"/>
          </w:tcPr>
          <w:p>
            <w:pPr>
              <w:spacing w:after="0"/>
              <w:rPr>
                <w:sz w:val="22"/>
                <w:szCs w:val="22"/>
                <w:color w:val="auto"/>
              </w:rPr>
            </w:pPr>
          </w:p>
        </w:tc>
        <w:tc>
          <w:tcPr>
            <w:tcW w:w="1560" w:type="dxa"/>
            <w:vAlign w:val="bottom"/>
            <w:shd w:val="clear" w:color="auto" w:fill="E5FFFF"/>
          </w:tcPr>
          <w:p>
            <w:pPr>
              <w:jc w:val="right"/>
              <w:ind w:right="34"/>
              <w:spacing w:after="0"/>
              <w:rPr>
                <w:sz w:val="20"/>
                <w:szCs w:val="20"/>
                <w:color w:val="auto"/>
              </w:rPr>
            </w:pPr>
            <w:r>
              <w:rPr>
                <w:rFonts w:ascii="Arial" w:cs="Arial" w:eastAsia="Arial" w:hAnsi="Arial"/>
                <w:sz w:val="17"/>
                <w:szCs w:val="17"/>
                <w:color w:val="auto"/>
              </w:rPr>
              <w:t>236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7"/>
                <w:szCs w:val="17"/>
                <w:color w:val="auto"/>
              </w:rPr>
              <w:t>Adjusted (loss)/profit attributable to owners of the Group</w:t>
            </w:r>
          </w:p>
        </w:tc>
        <w:tc>
          <w:tcPr>
            <w:tcW w:w="1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420" w:type="dxa"/>
            <w:vAlign w:val="bottom"/>
            <w:vMerge w:val="continue"/>
          </w:tcPr>
          <w:p>
            <w:pPr>
              <w:spacing w:after="0"/>
              <w:rPr>
                <w:sz w:val="21"/>
                <w:szCs w:val="21"/>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7"/>
                <w:szCs w:val="17"/>
                <w:color w:val="auto"/>
              </w:rPr>
              <w:t>(1,829)</w:t>
            </w:r>
          </w:p>
        </w:tc>
        <w:tc>
          <w:tcPr>
            <w:tcW w:w="1660" w:type="dxa"/>
            <w:vAlign w:val="bottom"/>
            <w:gridSpan w:val="2"/>
          </w:tcPr>
          <w:p>
            <w:pPr>
              <w:jc w:val="right"/>
              <w:ind w:right="220"/>
              <w:spacing w:after="0"/>
              <w:rPr>
                <w:sz w:val="20"/>
                <w:szCs w:val="20"/>
                <w:color w:val="auto"/>
              </w:rPr>
            </w:pPr>
            <w:r>
              <w:rPr>
                <w:rFonts w:ascii="Arial" w:cs="Arial" w:eastAsia="Arial" w:hAnsi="Arial"/>
                <w:sz w:val="17"/>
                <w:szCs w:val="17"/>
                <w:color w:val="auto"/>
              </w:rPr>
              <w:t>43,402</w:t>
            </w:r>
          </w:p>
        </w:tc>
        <w:tc>
          <w:tcPr>
            <w:tcW w:w="1660" w:type="dxa"/>
            <w:vAlign w:val="bottom"/>
            <w:gridSpan w:val="2"/>
          </w:tcPr>
          <w:p>
            <w:pPr>
              <w:jc w:val="right"/>
              <w:ind w:right="160"/>
              <w:spacing w:after="0"/>
              <w:rPr>
                <w:sz w:val="20"/>
                <w:szCs w:val="20"/>
                <w:color w:val="auto"/>
              </w:rPr>
            </w:pPr>
            <w:r>
              <w:rPr>
                <w:rFonts w:ascii="Arial" w:cs="Arial" w:eastAsia="Arial" w:hAnsi="Arial"/>
                <w:sz w:val="17"/>
                <w:szCs w:val="17"/>
                <w:color w:val="auto"/>
              </w:rPr>
              <w:t>(43)</w:t>
            </w:r>
          </w:p>
        </w:tc>
        <w:tc>
          <w:tcPr>
            <w:tcW w:w="1560" w:type="dxa"/>
            <w:vAlign w:val="bottom"/>
          </w:tcPr>
          <w:p>
            <w:pPr>
              <w:jc w:val="right"/>
              <w:ind w:right="34"/>
              <w:spacing w:after="0"/>
              <w:rPr>
                <w:sz w:val="20"/>
                <w:szCs w:val="20"/>
                <w:color w:val="auto"/>
              </w:rPr>
            </w:pPr>
            <w:r>
              <w:rPr>
                <w:rFonts w:ascii="Arial" w:cs="Arial" w:eastAsia="Arial" w:hAnsi="Arial"/>
                <w:sz w:val="17"/>
                <w:szCs w:val="17"/>
                <w:color w:val="auto"/>
              </w:rPr>
              <w:t>46,067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shd w:val="clear" w:color="auto" w:fill="E5FFFF"/>
          </w:tcPr>
          <w:p>
            <w:pPr>
              <w:spacing w:after="0"/>
              <w:rPr>
                <w:sz w:val="20"/>
                <w:szCs w:val="20"/>
                <w:color w:val="auto"/>
              </w:rPr>
            </w:pPr>
            <w:r>
              <w:rPr>
                <w:rFonts w:ascii="Arial" w:cs="Arial" w:eastAsia="Arial" w:hAnsi="Arial"/>
                <w:sz w:val="17"/>
                <w:szCs w:val="17"/>
                <w:color w:val="auto"/>
              </w:rPr>
              <w:t>Weighted average number of shares outstanding, basic</w:t>
            </w:r>
          </w:p>
        </w:tc>
        <w:tc>
          <w:tcPr>
            <w:tcW w:w="1440" w:type="dxa"/>
            <w:vAlign w:val="bottom"/>
            <w:shd w:val="clear" w:color="auto" w:fill="000000"/>
          </w:tcPr>
          <w:p>
            <w:pPr>
              <w:spacing w:after="0" w:line="20" w:lineRule="exact"/>
              <w:rPr>
                <w:sz w:val="1"/>
                <w:szCs w:val="1"/>
                <w:color w:val="auto"/>
              </w:rPr>
            </w:pPr>
          </w:p>
        </w:tc>
        <w:tc>
          <w:tcPr>
            <w:tcW w:w="260" w:type="dxa"/>
            <w:vAlign w:val="bottom"/>
            <w:shd w:val="clear" w:color="auto" w:fill="E5FF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420" w:type="dxa"/>
            <w:vAlign w:val="bottom"/>
            <w:vMerge w:val="continue"/>
            <w:shd w:val="clear" w:color="auto" w:fill="E5FFFF"/>
          </w:tcPr>
          <w:p>
            <w:pPr>
              <w:spacing w:after="0"/>
              <w:rPr>
                <w:sz w:val="21"/>
                <w:szCs w:val="21"/>
                <w:color w:val="auto"/>
              </w:rPr>
            </w:pPr>
          </w:p>
        </w:tc>
        <w:tc>
          <w:tcPr>
            <w:tcW w:w="1700" w:type="dxa"/>
            <w:vAlign w:val="bottom"/>
            <w:gridSpan w:val="2"/>
            <w:shd w:val="clear" w:color="auto" w:fill="E5FFFF"/>
          </w:tcPr>
          <w:p>
            <w:pPr>
              <w:jc w:val="right"/>
              <w:ind w:right="260"/>
              <w:spacing w:after="0"/>
              <w:rPr>
                <w:sz w:val="20"/>
                <w:szCs w:val="20"/>
                <w:color w:val="auto"/>
              </w:rPr>
            </w:pPr>
            <w:r>
              <w:rPr>
                <w:rFonts w:ascii="Arial" w:cs="Arial" w:eastAsia="Arial" w:hAnsi="Arial"/>
                <w:sz w:val="17"/>
                <w:szCs w:val="17"/>
                <w:color w:val="auto"/>
              </w:rPr>
              <w:t>80,673,054</w:t>
            </w:r>
          </w:p>
        </w:tc>
        <w:tc>
          <w:tcPr>
            <w:tcW w:w="1660" w:type="dxa"/>
            <w:vAlign w:val="bottom"/>
            <w:gridSpan w:val="2"/>
            <w:shd w:val="clear" w:color="auto" w:fill="E5FFFF"/>
          </w:tcPr>
          <w:p>
            <w:pPr>
              <w:jc w:val="right"/>
              <w:ind w:right="220"/>
              <w:spacing w:after="0"/>
              <w:rPr>
                <w:sz w:val="20"/>
                <w:szCs w:val="20"/>
                <w:color w:val="auto"/>
              </w:rPr>
            </w:pPr>
            <w:r>
              <w:rPr>
                <w:rFonts w:ascii="Arial" w:cs="Arial" w:eastAsia="Arial" w:hAnsi="Arial"/>
                <w:sz w:val="17"/>
                <w:szCs w:val="17"/>
                <w:color w:val="auto"/>
              </w:rPr>
              <w:t>80,838,686</w:t>
            </w:r>
          </w:p>
        </w:tc>
        <w:tc>
          <w:tcPr>
            <w:tcW w:w="14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80,622,788</w:t>
            </w:r>
          </w:p>
        </w:tc>
        <w:tc>
          <w:tcPr>
            <w:tcW w:w="220" w:type="dxa"/>
            <w:vAlign w:val="bottom"/>
            <w:shd w:val="clear" w:color="auto" w:fill="E5FFFF"/>
          </w:tcPr>
          <w:p>
            <w:pPr>
              <w:spacing w:after="0"/>
              <w:rPr>
                <w:sz w:val="21"/>
                <w:szCs w:val="21"/>
                <w:color w:val="auto"/>
              </w:rPr>
            </w:pPr>
          </w:p>
        </w:tc>
        <w:tc>
          <w:tcPr>
            <w:tcW w:w="1560" w:type="dxa"/>
            <w:vAlign w:val="bottom"/>
            <w:shd w:val="clear" w:color="auto" w:fill="E5FFFF"/>
          </w:tcPr>
          <w:p>
            <w:pPr>
              <w:jc w:val="right"/>
              <w:ind w:right="34"/>
              <w:spacing w:after="0"/>
              <w:rPr>
                <w:sz w:val="20"/>
                <w:szCs w:val="20"/>
                <w:color w:val="auto"/>
              </w:rPr>
            </w:pPr>
            <w:r>
              <w:rPr>
                <w:rFonts w:ascii="Arial" w:cs="Arial" w:eastAsia="Arial" w:hAnsi="Arial"/>
                <w:sz w:val="17"/>
                <w:szCs w:val="17"/>
                <w:color w:val="auto"/>
              </w:rPr>
              <w:t>80,792,837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5420" w:type="dxa"/>
            <w:vAlign w:val="bottom"/>
          </w:tcPr>
          <w:p>
            <w:pPr>
              <w:spacing w:after="0"/>
              <w:rPr>
                <w:sz w:val="20"/>
                <w:szCs w:val="20"/>
                <w:color w:val="auto"/>
              </w:rPr>
            </w:pPr>
            <w:r>
              <w:rPr>
                <w:rFonts w:ascii="Arial" w:cs="Arial" w:eastAsia="Arial" w:hAnsi="Arial"/>
                <w:sz w:val="17"/>
                <w:szCs w:val="17"/>
                <w:b w:val="1"/>
                <w:bCs w:val="1"/>
                <w:color w:val="auto"/>
              </w:rPr>
              <w:t>Adjusted (loss)/earnings per share</w:t>
            </w:r>
          </w:p>
        </w:tc>
        <w:tc>
          <w:tcPr>
            <w:tcW w:w="170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(0.02)</w:t>
            </w:r>
          </w:p>
        </w:tc>
        <w:tc>
          <w:tcPr>
            <w:tcW w:w="16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0.54</w:t>
            </w:r>
          </w:p>
        </w:tc>
        <w:tc>
          <w:tcPr>
            <w:tcW w:w="166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(0.00)</w:t>
            </w:r>
          </w:p>
        </w:tc>
        <w:tc>
          <w:tcPr>
            <w:tcW w:w="1560" w:type="dxa"/>
            <w:vAlign w:val="bottom"/>
          </w:tcPr>
          <w:p>
            <w:pPr>
              <w:jc w:val="right"/>
              <w:ind w:right="34"/>
              <w:spacing w:after="0"/>
              <w:rPr>
                <w:sz w:val="20"/>
                <w:szCs w:val="20"/>
                <w:color w:val="auto"/>
              </w:rPr>
            </w:pPr>
            <w:r>
              <w:rPr>
                <w:rFonts w:ascii="Arial" w:cs="Arial" w:eastAsia="Arial" w:hAnsi="Arial"/>
                <w:sz w:val="17"/>
                <w:szCs w:val="17"/>
                <w:b w:val="1"/>
                <w:bCs w:val="1"/>
                <w:color w:val="auto"/>
              </w:rPr>
              <w:t>0.57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542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7628255</wp:posOffset>
            </wp:positionH>
            <wp:positionV relativeFrom="paragraph">
              <wp:posOffset>-30480</wp:posOffset>
            </wp:positionV>
            <wp:extent cx="12700" cy="311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12700" cy="311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sectPr>
      <w:pgSz w:w="12240" w:h="15840" w:orient="portrait"/>
      <w:cols w:equalWidth="0" w:num="1">
        <w:col w:w="12040"/>
      </w:cols>
      <w:pgMar w:left="120" w:top="212" w:right="8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lvl>
    <w:lvl w:ilvl="1">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2019-11-26T07:00:48Z</dcterms:created>
  <dcterms:modified xsi:type="dcterms:W3CDTF">2019-11-26T07:00:48Z</dcterms:modified>
</cp:coreProperties>
</file>