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w:t>
      </w:r>
      <w:r>
        <w:rPr>
          <w:rFonts w:ascii="Arial" w:cs="Arial" w:eastAsia="Arial" w:hAnsi="Arial"/>
          <w:sz w:val="23"/>
          <w:szCs w:val="23"/>
          <w:b w:val="1"/>
          <w:bCs w:val="1"/>
          <w:color w:val="auto"/>
        </w:rPr>
        <w:t>ORM</w:t>
      </w:r>
      <w:r>
        <w:rPr>
          <w:rFonts w:ascii="Arial" w:cs="Arial" w:eastAsia="Arial" w:hAnsi="Arial"/>
          <w:sz w:val="34"/>
          <w:szCs w:val="34"/>
          <w:b w:val="1"/>
          <w:bCs w:val="1"/>
          <w:color w:val="auto"/>
        </w:rPr>
        <w:t xml:space="preserve"> 20-F</w:t>
      </w:r>
    </w:p>
    <w:p>
      <w:pPr>
        <w:spacing w:after="0" w:line="4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13"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PURSUANT TO SECTION 12(b) OR (g) OF THE SECURITIES EXCHANGE ACT OF 1934</w:t>
      </w:r>
    </w:p>
    <w:p>
      <w:pPr>
        <w:spacing w:after="0" w:line="41" w:lineRule="exact"/>
        <w:rPr>
          <w:sz w:val="24"/>
          <w:szCs w:val="24"/>
          <w:color w:val="auto"/>
        </w:rPr>
      </w:pPr>
    </w:p>
    <w:p>
      <w:pPr>
        <w:ind w:left="600" w:right="180" w:hanging="592"/>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w:t>
      </w:r>
      <w:r>
        <w:rPr>
          <w:rFonts w:ascii="Arial" w:cs="Arial" w:eastAsia="Arial" w:hAnsi="Arial"/>
          <w:sz w:val="16"/>
          <w:szCs w:val="16"/>
          <w:color w:val="auto"/>
        </w:rPr>
        <w:t xml:space="preserve"> </w:t>
      </w:r>
      <w:r>
        <w:rPr>
          <w:rFonts w:ascii="Arial" w:cs="Arial" w:eastAsia="Arial" w:hAnsi="Arial"/>
          <w:sz w:val="16"/>
          <w:szCs w:val="16"/>
          <w:b w:val="1"/>
          <w:bCs w:val="1"/>
          <w:color w:val="auto"/>
        </w:rPr>
        <w:t>31, 2016</w:t>
      </w:r>
    </w:p>
    <w:p>
      <w:pPr>
        <w:spacing w:after="0" w:line="1" w:lineRule="exact"/>
        <w:rPr>
          <w:sz w:val="24"/>
          <w:szCs w:val="24"/>
          <w:color w:val="auto"/>
        </w:rPr>
      </w:pPr>
    </w:p>
    <w:p>
      <w:pPr>
        <w:ind w:left="600" w:hanging="592"/>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45" w:lineRule="exact"/>
        <w:rPr>
          <w:rFonts w:ascii="Arial" w:cs="Arial" w:eastAsia="Arial" w:hAnsi="Arial"/>
          <w:sz w:val="16"/>
          <w:szCs w:val="16"/>
          <w:color w:val="auto"/>
        </w:rPr>
      </w:pPr>
    </w:p>
    <w:p>
      <w:pPr>
        <w:ind w:left="600" w:hanging="592"/>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144780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GasLog Ltd.</w:t>
      </w:r>
    </w:p>
    <w:p>
      <w:pPr>
        <w:spacing w:after="0" w:line="117" w:lineRule="exact"/>
        <w:rPr>
          <w:sz w:val="24"/>
          <w:szCs w:val="24"/>
          <w:color w:val="auto"/>
        </w:rPr>
      </w:pPr>
    </w:p>
    <w:p>
      <w:pPr>
        <w:ind w:left="3580"/>
        <w:spacing w:after="0"/>
        <w:rPr>
          <w:sz w:val="20"/>
          <w:szCs w:val="20"/>
          <w:color w:val="auto"/>
        </w:rPr>
      </w:pPr>
      <w:r>
        <w:rPr>
          <w:rFonts w:ascii="Arial" w:cs="Arial" w:eastAsia="Arial" w:hAnsi="Arial"/>
          <w:sz w:val="19"/>
          <w:szCs w:val="19"/>
          <w:b w:val="1"/>
          <w:bCs w:val="1"/>
          <w:color w:val="auto"/>
        </w:rPr>
        <w:t>(Exact name of Company as specified in its charter)</w:t>
      </w:r>
    </w:p>
    <w:p>
      <w:pPr>
        <w:spacing w:after="0" w:line="152" w:lineRule="exact"/>
        <w:rPr>
          <w:sz w:val="24"/>
          <w:szCs w:val="24"/>
          <w:color w:val="auto"/>
        </w:rPr>
      </w:pPr>
    </w:p>
    <w:p>
      <w:pPr>
        <w:ind w:left="5120"/>
        <w:spacing w:after="0"/>
        <w:rPr>
          <w:sz w:val="20"/>
          <w:szCs w:val="20"/>
          <w:color w:val="auto"/>
        </w:rPr>
      </w:pPr>
      <w:r>
        <w:rPr>
          <w:rFonts w:ascii="Arial" w:cs="Arial" w:eastAsia="Arial" w:hAnsi="Arial"/>
          <w:sz w:val="19"/>
          <w:szCs w:val="19"/>
          <w:color w:val="auto"/>
        </w:rPr>
        <w:t>Not Applicable</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9"/>
          <w:szCs w:val="19"/>
          <w:b w:val="1"/>
          <w:bCs w:val="1"/>
          <w:color w:val="auto"/>
        </w:rPr>
        <w:t>(Translation of Company’s name into English)</w:t>
      </w:r>
    </w:p>
    <w:p>
      <w:pPr>
        <w:spacing w:after="0" w:line="144" w:lineRule="exact"/>
        <w:rPr>
          <w:sz w:val="24"/>
          <w:szCs w:val="24"/>
          <w:color w:val="auto"/>
        </w:rPr>
      </w:pPr>
    </w:p>
    <w:p>
      <w:pPr>
        <w:ind w:left="5360"/>
        <w:spacing w:after="0"/>
        <w:rPr>
          <w:sz w:val="20"/>
          <w:szCs w:val="20"/>
          <w:color w:val="auto"/>
        </w:rPr>
      </w:pPr>
      <w:r>
        <w:rPr>
          <w:rFonts w:ascii="Arial" w:cs="Arial" w:eastAsia="Arial" w:hAnsi="Arial"/>
          <w:sz w:val="19"/>
          <w:szCs w:val="19"/>
          <w:color w:val="auto"/>
        </w:rPr>
        <w:t>Bermuda</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9"/>
          <w:szCs w:val="19"/>
          <w:b w:val="1"/>
          <w:bCs w:val="1"/>
          <w:color w:val="auto"/>
        </w:rPr>
        <w:t>(Jurisdiction of incorporation or organization)</w:t>
      </w:r>
    </w:p>
    <w:p>
      <w:pPr>
        <w:spacing w:after="0" w:line="130" w:lineRule="exact"/>
        <w:rPr>
          <w:sz w:val="24"/>
          <w:szCs w:val="24"/>
          <w:color w:val="auto"/>
        </w:rPr>
      </w:pPr>
    </w:p>
    <w:p>
      <w:pPr>
        <w:ind w:left="4620"/>
        <w:spacing w:after="0"/>
        <w:rPr>
          <w:sz w:val="20"/>
          <w:szCs w:val="20"/>
          <w:color w:val="auto"/>
        </w:rPr>
      </w:pPr>
      <w:r>
        <w:rPr>
          <w:rFonts w:ascii="Arial" w:cs="Arial" w:eastAsia="Arial" w:hAnsi="Arial"/>
          <w:sz w:val="19"/>
          <w:szCs w:val="19"/>
          <w:color w:val="auto"/>
        </w:rPr>
        <w:t>c/o GasLog Monaco S.A.M.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Gildo Pastor Center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7 Rue du Gabian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MC 98000, Monaco</w:t>
      </w:r>
    </w:p>
    <w:p>
      <w:pPr>
        <w:spacing w:after="0" w:line="97" w:lineRule="exact"/>
        <w:rPr>
          <w:sz w:val="24"/>
          <w:szCs w:val="24"/>
          <w:color w:val="auto"/>
        </w:rPr>
      </w:pPr>
    </w:p>
    <w:p>
      <w:pPr>
        <w:ind w:left="4120"/>
        <w:spacing w:after="0"/>
        <w:rPr>
          <w:sz w:val="20"/>
          <w:szCs w:val="20"/>
          <w:color w:val="auto"/>
        </w:rPr>
      </w:pPr>
      <w:r>
        <w:rPr>
          <w:rFonts w:ascii="Arial" w:cs="Arial" w:eastAsia="Arial" w:hAnsi="Arial"/>
          <w:sz w:val="19"/>
          <w:szCs w:val="19"/>
          <w:b w:val="1"/>
          <w:bCs w:val="1"/>
          <w:color w:val="auto"/>
        </w:rPr>
        <w:t>(Address of principal executive offices)</w:t>
      </w:r>
    </w:p>
    <w:p>
      <w:pPr>
        <w:spacing w:after="0" w:line="166" w:lineRule="exact"/>
        <w:rPr>
          <w:sz w:val="24"/>
          <w:szCs w:val="24"/>
          <w:color w:val="auto"/>
        </w:rPr>
      </w:pPr>
    </w:p>
    <w:p>
      <w:pPr>
        <w:ind w:left="4500"/>
        <w:spacing w:after="0"/>
        <w:rPr>
          <w:sz w:val="20"/>
          <w:szCs w:val="20"/>
          <w:color w:val="auto"/>
        </w:rPr>
      </w:pPr>
      <w:r>
        <w:rPr>
          <w:rFonts w:ascii="Arial" w:cs="Arial" w:eastAsia="Arial" w:hAnsi="Arial"/>
          <w:sz w:val="19"/>
          <w:szCs w:val="19"/>
          <w:color w:val="auto"/>
        </w:rPr>
        <w:t>Nicola Lloyd, General Counsel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 GasLog Monaco S.A.M.</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Gildo Pastor Center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7 Rue du Gabian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MC 98000, Monaco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Monaco Telephone: +377 97 97 51 15 Facsimile: +377 97 97 51 24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(Name, Address, Telephone Number and Facsimile Number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SECURITIES REGISTERED OR TO BE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Title of Each Class</w:t>
            </w:r>
          </w:p>
        </w:tc>
        <w:tc>
          <w:tcPr>
            <w:tcW w:w="300" w:type="dxa"/>
            <w:vAlign w:val="bottom"/>
          </w:tcPr>
          <w:p>
            <w:pPr>
              <w:spacing w:after="0"/>
              <w:rPr>
                <w:sz w:val="21"/>
                <w:szCs w:val="21"/>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Name of Each Exchange on Which Registered</w:t>
            </w:r>
          </w:p>
        </w:tc>
      </w:tr>
      <w:tr>
        <w:trPr>
          <w:trHeight w:val="221"/>
        </w:trPr>
        <w:tc>
          <w:tcPr>
            <w:tcW w:w="5580" w:type="dxa"/>
            <w:vAlign w:val="bottom"/>
          </w:tcPr>
          <w:p>
            <w:pPr>
              <w:jc w:val="center"/>
              <w:spacing w:after="0"/>
              <w:rPr>
                <w:sz w:val="20"/>
                <w:szCs w:val="20"/>
                <w:color w:val="auto"/>
              </w:rPr>
            </w:pPr>
            <w:r>
              <w:rPr>
                <w:rFonts w:ascii="Arial" w:cs="Arial" w:eastAsia="Arial" w:hAnsi="Arial"/>
                <w:sz w:val="18"/>
                <w:szCs w:val="18"/>
                <w:color w:val="auto"/>
                <w:w w:val="87"/>
              </w:rPr>
              <w:t>Common Shares, $0.01 par value per share</w:t>
            </w:r>
          </w:p>
        </w:tc>
        <w:tc>
          <w:tcPr>
            <w:tcW w:w="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87"/>
              </w:rPr>
              <w:t>Series A Preference Shares, $0.01 par value per share</w:t>
            </w:r>
          </w:p>
        </w:tc>
        <w:tc>
          <w:tcPr>
            <w:tcW w:w="3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 xml:space="preserve">SECURITIES REGISTERED PURSUANT TO SECTION 12(g) OF THE ACT: </w:t>
      </w:r>
      <w:r>
        <w:rPr>
          <w:rFonts w:ascii="Arial" w:cs="Arial" w:eastAsia="Arial" w:hAnsi="Arial"/>
          <w:sz w:val="19"/>
          <w:szCs w:val="19"/>
          <w:color w:val="auto"/>
        </w:rPr>
        <w:t>None</w:t>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 xml:space="preserve">SECURITIES FOR WHICH THERE IS A REPORTING OBLIGATION PURSUANT TO SECTION 15(d) OF THE ACT: </w:t>
      </w:r>
      <w:r>
        <w:rPr>
          <w:rFonts w:ascii="Arial" w:cs="Arial" w:eastAsia="Arial" w:hAnsi="Arial"/>
          <w:sz w:val="19"/>
          <w:szCs w:val="19"/>
          <w:color w:val="auto"/>
        </w:rPr>
        <w:t>None</w:t>
      </w:r>
    </w:p>
    <w:p>
      <w:pPr>
        <w:spacing w:after="0" w:line="125" w:lineRule="exact"/>
        <w:rPr>
          <w:sz w:val="24"/>
          <w:szCs w:val="24"/>
          <w:color w:val="auto"/>
        </w:rPr>
      </w:pPr>
    </w:p>
    <w:p>
      <w:pPr>
        <w:ind w:right="200" w:firstLine="357"/>
        <w:spacing w:after="0" w:line="283" w:lineRule="auto"/>
        <w:rPr>
          <w:sz w:val="20"/>
          <w:szCs w:val="20"/>
          <w:color w:val="auto"/>
        </w:rPr>
      </w:pPr>
      <w:r>
        <w:rPr>
          <w:rFonts w:ascii="Arial" w:cs="Arial" w:eastAsia="Arial" w:hAnsi="Arial"/>
          <w:sz w:val="19"/>
          <w:szCs w:val="19"/>
          <w:color w:val="auto"/>
        </w:rPr>
        <w:t>Indicate the number of outstanding shares of each of the issuer’s classes of capital or common stock as of the close of the period covered by the annual report.</w:t>
      </w:r>
    </w:p>
    <w:p>
      <w:pPr>
        <w:spacing w:after="0" w:line="52" w:lineRule="exact"/>
        <w:rPr>
          <w:sz w:val="24"/>
          <w:szCs w:val="24"/>
          <w:color w:val="auto"/>
        </w:rPr>
      </w:pPr>
    </w:p>
    <w:p>
      <w:pPr>
        <w:ind w:right="540" w:firstLine="357"/>
        <w:spacing w:after="0" w:line="283" w:lineRule="auto"/>
        <w:rPr>
          <w:sz w:val="20"/>
          <w:szCs w:val="20"/>
          <w:color w:val="auto"/>
        </w:rPr>
      </w:pPr>
      <w:r>
        <w:rPr>
          <w:rFonts w:ascii="Arial" w:cs="Arial" w:eastAsia="Arial" w:hAnsi="Arial"/>
          <w:sz w:val="19"/>
          <w:szCs w:val="19"/>
          <w:color w:val="auto"/>
        </w:rPr>
        <w:t>As of December 31, 2016, there were 80,561,353 common shares of the Company’s common stock outstanding and 4,600,000 Series A Preference shares.</w:t>
      </w:r>
    </w:p>
    <w:p>
      <w:pPr>
        <w:spacing w:after="0" w:line="52" w:lineRule="exact"/>
        <w:rPr>
          <w:sz w:val="24"/>
          <w:szCs w:val="24"/>
          <w:color w:val="auto"/>
        </w:rPr>
      </w:pPr>
    </w:p>
    <w:p>
      <w:pPr>
        <w:ind w:left="360"/>
        <w:spacing w:after="0"/>
        <w:tabs>
          <w:tab w:leader="none" w:pos="9760" w:val="left"/>
        </w:tabs>
        <w:rPr>
          <w:sz w:val="20"/>
          <w:szCs w:val="20"/>
          <w:color w:val="auto"/>
        </w:rPr>
      </w:pPr>
      <w:r>
        <w:rPr>
          <w:rFonts w:ascii="Arial" w:cs="Arial" w:eastAsia="Arial" w:hAnsi="Arial"/>
          <w:sz w:val="19"/>
          <w:szCs w:val="19"/>
          <w:color w:val="auto"/>
        </w:rPr>
        <w:t>Indicate by check mark if the Company is a well-known seasoned issuer, as defined in Rule 405 of the Securities Act.</w:t>
      </w:r>
      <w:r>
        <w:rPr>
          <w:sz w:val="20"/>
          <w:szCs w:val="20"/>
          <w:color w:val="auto"/>
        </w:rPr>
        <w:tab/>
      </w:r>
      <w:r>
        <w:rPr>
          <w:rFonts w:ascii="Arial" w:cs="Arial" w:eastAsia="Arial" w:hAnsi="Arial"/>
          <w:sz w:val="17"/>
          <w:szCs w:val="17"/>
          <w:color w:val="auto"/>
        </w:rPr>
        <w:t>Yes o No x</w:t>
      </w:r>
    </w:p>
    <w:p>
      <w:pPr>
        <w:spacing w:after="0" w:line="119" w:lineRule="exact"/>
        <w:rPr>
          <w:sz w:val="24"/>
          <w:szCs w:val="24"/>
          <w:color w:val="auto"/>
        </w:rPr>
      </w:pPr>
    </w:p>
    <w:p>
      <w:pPr>
        <w:ind w:right="200" w:firstLine="357"/>
        <w:spacing w:after="0" w:line="283" w:lineRule="auto"/>
        <w:rPr>
          <w:sz w:val="20"/>
          <w:szCs w:val="20"/>
          <w:color w:val="auto"/>
        </w:rPr>
      </w:pPr>
      <w:r>
        <w:rPr>
          <w:rFonts w:ascii="Arial" w:cs="Arial" w:eastAsia="Arial" w:hAnsi="Arial"/>
          <w:sz w:val="19"/>
          <w:szCs w:val="19"/>
          <w:color w:val="auto"/>
        </w:rPr>
        <w:t>If this report is an annual or transition report, indicate by check mark if the Company is not required to file reports pursuant to Section 13 or 15(d) of the Securities Exchange Act of 1934. Yes o No x</w:t>
      </w:r>
    </w:p>
    <w:p>
      <w:pPr>
        <w:spacing w:after="0" w:line="52" w:lineRule="exact"/>
        <w:rPr>
          <w:sz w:val="24"/>
          <w:szCs w:val="24"/>
          <w:color w:val="auto"/>
        </w:rPr>
      </w:pPr>
    </w:p>
    <w:p>
      <w:pPr>
        <w:ind w:right="220" w:firstLine="357"/>
        <w:spacing w:after="0" w:line="267" w:lineRule="auto"/>
        <w:rPr>
          <w:sz w:val="20"/>
          <w:szCs w:val="20"/>
          <w:color w:val="auto"/>
        </w:rPr>
      </w:pPr>
      <w:r>
        <w:rPr>
          <w:rFonts w:ascii="Arial" w:cs="Arial" w:eastAsia="Arial" w:hAnsi="Arial"/>
          <w:sz w:val="19"/>
          <w:szCs w:val="19"/>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Indicate by check mark whether the Company has submitted electronically and posted on its corporate Web site, if any, every Interactive Data File required to be submitted and posted pursuant to Rule 405 of Regulation S-T (§232.405 of this chapter) during the preceding 12 months (or for such shorter period that the Company was required to submit and post such files). Yes x No o</w:t>
      </w:r>
    </w:p>
    <w:p>
      <w:pPr>
        <w:spacing w:after="0" w:line="68" w:lineRule="exact"/>
        <w:rPr>
          <w:sz w:val="24"/>
          <w:szCs w:val="24"/>
          <w:color w:val="auto"/>
        </w:rPr>
      </w:pPr>
    </w:p>
    <w:p>
      <w:pPr>
        <w:ind w:right="460" w:firstLine="357"/>
        <w:spacing w:after="0" w:line="267" w:lineRule="auto"/>
        <w:rPr>
          <w:sz w:val="20"/>
          <w:szCs w:val="20"/>
          <w:color w:val="auto"/>
        </w:rPr>
      </w:pPr>
      <w:r>
        <w:rPr>
          <w:rFonts w:ascii="Arial" w:cs="Arial" w:eastAsia="Arial" w:hAnsi="Arial"/>
          <w:sz w:val="19"/>
          <w:szCs w:val="19"/>
          <w:color w:val="auto"/>
        </w:rPr>
        <w:t>Indicate by check mark whether the Company is a large accelerated filer, an accelerated filer, or a non-accelerated filer. See definition of “accelerated filer and large accelerated filer” in Rule 12b-2 of the Exchange Act. (Check one):</w:t>
      </w:r>
    </w:p>
    <w:p>
      <w:pPr>
        <w:spacing w:after="0"/>
        <w:tabs>
          <w:tab w:leader="none" w:pos="5020" w:val="left"/>
          <w:tab w:leader="none" w:pos="9620" w:val="left"/>
        </w:tabs>
        <w:rPr>
          <w:sz w:val="20"/>
          <w:szCs w:val="20"/>
          <w:color w:val="auto"/>
        </w:rPr>
      </w:pPr>
      <w:r>
        <w:rPr>
          <w:rFonts w:ascii="Arial" w:cs="Arial" w:eastAsia="Arial" w:hAnsi="Arial"/>
          <w:sz w:val="19"/>
          <w:szCs w:val="19"/>
          <w:color w:val="auto"/>
        </w:rPr>
        <w:t>Large accelerated filer o</w:t>
      </w:r>
      <w:r>
        <w:rPr>
          <w:sz w:val="20"/>
          <w:szCs w:val="20"/>
          <w:color w:val="auto"/>
        </w:rPr>
        <w:tab/>
      </w:r>
      <w:r>
        <w:rPr>
          <w:rFonts w:ascii="Arial" w:cs="Arial" w:eastAsia="Arial" w:hAnsi="Arial"/>
          <w:sz w:val="19"/>
          <w:szCs w:val="19"/>
          <w:color w:val="auto"/>
        </w:rPr>
        <w:t>Accelerated filer x</w:t>
      </w:r>
      <w:r>
        <w:rPr>
          <w:sz w:val="20"/>
          <w:szCs w:val="20"/>
          <w:color w:val="auto"/>
        </w:rPr>
        <w:tab/>
      </w:r>
      <w:r>
        <w:rPr>
          <w:rFonts w:ascii="Arial" w:cs="Arial" w:eastAsia="Arial" w:hAnsi="Arial"/>
          <w:sz w:val="17"/>
          <w:szCs w:val="17"/>
          <w:color w:val="auto"/>
        </w:rPr>
        <w:t>Non-accelerated filer o</w:t>
      </w:r>
    </w:p>
    <w:p>
      <w:pPr>
        <w:spacing w:after="0" w:line="200" w:lineRule="exact"/>
        <w:rPr>
          <w:sz w:val="24"/>
          <w:szCs w:val="24"/>
          <w:color w:val="auto"/>
        </w:rPr>
      </w:pPr>
    </w:p>
    <w:p>
      <w:pPr>
        <w:spacing w:after="0" w:line="378" w:lineRule="exact"/>
        <w:rPr>
          <w:sz w:val="24"/>
          <w:szCs w:val="24"/>
          <w:color w:val="auto"/>
        </w:rPr>
      </w:pPr>
    </w:p>
    <w:p>
      <w:pPr>
        <w:ind w:left="360"/>
        <w:spacing w:after="0"/>
        <w:rPr>
          <w:sz w:val="20"/>
          <w:szCs w:val="20"/>
          <w:color w:val="auto"/>
        </w:rPr>
      </w:pPr>
      <w:r>
        <w:rPr>
          <w:rFonts w:ascii="Arial" w:cs="Arial" w:eastAsia="Arial" w:hAnsi="Arial"/>
          <w:sz w:val="19"/>
          <w:szCs w:val="19"/>
          <w:color w:val="auto"/>
        </w:rPr>
        <w:t>Indicate by check mark which basis of accounting the Company has used to prepare the financial statements included in this filing.</w:t>
      </w:r>
    </w:p>
    <w:p>
      <w:pPr>
        <w:sectPr>
          <w:pgSz w:w="11900" w:h="16838" w:orient="portrait"/>
          <w:cols w:equalWidth="0" w:num="1">
            <w:col w:w="11420"/>
          </w:cols>
          <w:pgMar w:left="240" w:top="598"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GAAP o</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7"/>
          <w:szCs w:val="17"/>
          <w:color w:val="auto"/>
        </w:rPr>
        <w:t>International Financial Reporting Standards as issued</w:t>
      </w:r>
    </w:p>
    <w:p>
      <w:pPr>
        <w:spacing w:after="0" w:line="50"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by the International Accounting Standards Board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Other o</w:t>
      </w:r>
    </w:p>
    <w:p>
      <w:pPr>
        <w:spacing w:after="0" w:line="372" w:lineRule="exact"/>
        <w:rPr>
          <w:sz w:val="20"/>
          <w:szCs w:val="20"/>
          <w:color w:val="auto"/>
        </w:rPr>
      </w:pPr>
    </w:p>
    <w:p>
      <w:pPr>
        <w:sectPr>
          <w:pgSz w:w="11900" w:h="16838" w:orient="portrait"/>
          <w:cols w:equalWidth="0" w:num="3">
            <w:col w:w="3400" w:space="720"/>
            <w:col w:w="6000" w:space="720"/>
            <w:col w:w="580"/>
          </w:cols>
          <w:pgMar w:left="240" w:top="126" w:right="239" w:bottom="1440" w:gutter="0" w:footer="0" w:header="0"/>
        </w:sectPr>
      </w:pPr>
    </w:p>
    <w:p>
      <w:pPr>
        <w:ind w:right="300" w:firstLine="357"/>
        <w:spacing w:after="0" w:line="283" w:lineRule="auto"/>
        <w:rPr>
          <w:sz w:val="20"/>
          <w:szCs w:val="20"/>
          <w:color w:val="auto"/>
        </w:rPr>
      </w:pPr>
      <w:r>
        <w:rPr>
          <w:rFonts w:ascii="Arial" w:cs="Arial" w:eastAsia="Arial" w:hAnsi="Arial"/>
          <w:sz w:val="19"/>
          <w:szCs w:val="19"/>
          <w:color w:val="auto"/>
        </w:rPr>
        <w:t>If “Other” has been checked in response to the previous question, indicate by check mark which financial statement item the Company has elected to follow. Item 17 o Item 18 o</w:t>
      </w:r>
    </w:p>
    <w:p>
      <w:pPr>
        <w:sectPr>
          <w:pgSz w:w="11900" w:h="16838" w:orient="portrait"/>
          <w:cols w:equalWidth="0" w:num="1">
            <w:col w:w="11420"/>
          </w:cols>
          <w:pgMar w:left="240" w:top="126" w:right="239" w:bottom="1440" w:gutter="0" w:footer="0" w:header="0"/>
          <w:type w:val="continuous"/>
        </w:sectPr>
      </w:pPr>
    </w:p>
    <w:p>
      <w:pPr>
        <w:spacing w:after="0" w:line="52" w:lineRule="exact"/>
        <w:rPr>
          <w:sz w:val="20"/>
          <w:szCs w:val="20"/>
          <w:color w:val="auto"/>
        </w:rPr>
      </w:pPr>
    </w:p>
    <w:p>
      <w:pPr>
        <w:ind w:left="240" w:right="200" w:firstLine="122"/>
        <w:spacing w:after="0" w:line="283" w:lineRule="auto"/>
        <w:rPr>
          <w:sz w:val="20"/>
          <w:szCs w:val="20"/>
          <w:color w:val="auto"/>
        </w:rPr>
      </w:pPr>
      <w:r>
        <w:rPr>
          <w:rFonts w:ascii="Arial" w:cs="Arial" w:eastAsia="Arial" w:hAnsi="Arial"/>
          <w:sz w:val="19"/>
          <w:szCs w:val="19"/>
          <w:color w:val="auto"/>
        </w:rPr>
        <w:t>If this is an annual report, indicate by check mark whether the Company is a shell company (as defined in Rule 12b-2 of the Exchange Act). 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40" w:type="dxa"/>
            <w:vAlign w:val="bottom"/>
            <w:gridSpan w:val="10"/>
            <w:vMerge w:val="restart"/>
          </w:tcPr>
          <w:p>
            <w:pPr>
              <w:spacing w:after="0"/>
              <w:rPr>
                <w:rFonts w:ascii="Arial" w:cs="Arial" w:eastAsia="Arial" w:hAnsi="Arial"/>
                <w:sz w:val="19"/>
                <w:szCs w:val="19"/>
                <w:color w:val="0000EE"/>
                <w:w w:val="96"/>
              </w:rPr>
            </w:pPr>
            <w:hyperlink w:anchor="page4">
              <w:r>
                <w:rPr>
                  <w:rFonts w:ascii="Arial" w:cs="Arial" w:eastAsia="Arial" w:hAnsi="Arial"/>
                  <w:sz w:val="19"/>
                  <w:szCs w:val="19"/>
                  <w:color w:val="0000EE"/>
                  <w:w w:val="96"/>
                </w:rPr>
                <w:t>ABOUT THIS REPORT</w:t>
              </w:r>
            </w:hyperlink>
          </w:p>
        </w:tc>
        <w:tc>
          <w:tcPr>
            <w:tcW w:w="9040" w:type="dxa"/>
            <w:vAlign w:val="bottom"/>
            <w:gridSpan w:val="3"/>
            <w:vMerge w:val="restart"/>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88"/>
        </w:trPr>
        <w:tc>
          <w:tcPr>
            <w:tcW w:w="1940" w:type="dxa"/>
            <w:vAlign w:val="bottom"/>
            <w:tcBorders>
              <w:bottom w:val="single" w:sz="8" w:color="0000EE"/>
            </w:tcBorders>
            <w:gridSpan w:val="10"/>
            <w:vMerge w:val="continue"/>
          </w:tcPr>
          <w:p>
            <w:pPr>
              <w:spacing w:after="0"/>
              <w:rPr>
                <w:sz w:val="15"/>
                <w:szCs w:val="15"/>
                <w:color w:val="auto"/>
              </w:rPr>
            </w:pPr>
          </w:p>
        </w:tc>
        <w:tc>
          <w:tcPr>
            <w:tcW w:w="9040" w:type="dxa"/>
            <w:vAlign w:val="bottom"/>
            <w:gridSpan w:val="3"/>
            <w:vMerge w:val="continue"/>
          </w:tcPr>
          <w:p>
            <w:pPr>
              <w:spacing w:after="0"/>
              <w:rPr>
                <w:sz w:val="15"/>
                <w:szCs w:val="15"/>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9"/>
                <w:szCs w:val="19"/>
                <w:color w:val="auto"/>
              </w:rPr>
              <w:t>ii</w:t>
            </w:r>
          </w:p>
        </w:tc>
        <w:tc>
          <w:tcPr>
            <w:tcW w:w="0" w:type="dxa"/>
            <w:vAlign w:val="bottom"/>
          </w:tcPr>
          <w:p>
            <w:pPr>
              <w:spacing w:after="0"/>
              <w:rPr>
                <w:sz w:val="1"/>
                <w:szCs w:val="1"/>
                <w:color w:val="auto"/>
              </w:rPr>
            </w:pPr>
          </w:p>
        </w:tc>
      </w:tr>
      <w:tr>
        <w:trPr>
          <w:trHeight w:val="223"/>
        </w:trPr>
        <w:tc>
          <w:tcPr>
            <w:tcW w:w="10980" w:type="dxa"/>
            <w:vAlign w:val="bottom"/>
            <w:gridSpan w:val="13"/>
          </w:tcPr>
          <w:p>
            <w:pPr>
              <w:spacing w:after="0" w:line="210" w:lineRule="exact"/>
              <w:rPr>
                <w:rFonts w:ascii="Arial" w:cs="Arial" w:eastAsia="Arial" w:hAnsi="Arial"/>
                <w:sz w:val="19"/>
                <w:szCs w:val="19"/>
                <w:color w:val="0000EE"/>
              </w:rPr>
            </w:pPr>
            <w:hyperlink w:anchor="page4">
              <w:r>
                <w:rPr>
                  <w:rFonts w:ascii="Arial" w:cs="Arial" w:eastAsia="Arial" w:hAnsi="Arial"/>
                  <w:sz w:val="19"/>
                  <w:szCs w:val="19"/>
                  <w:color w:val="0000EE"/>
                </w:rPr>
                <w:t>FORWARD-LOOKING STATEMENTS</w:t>
              </w:r>
            </w:hyperlink>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ii</w:t>
            </w:r>
          </w:p>
        </w:tc>
        <w:tc>
          <w:tcPr>
            <w:tcW w:w="0" w:type="dxa"/>
            <w:vAlign w:val="bottom"/>
          </w:tcPr>
          <w:p>
            <w:pPr>
              <w:spacing w:after="0"/>
              <w:rPr>
                <w:sz w:val="1"/>
                <w:szCs w:val="1"/>
                <w:color w:val="auto"/>
              </w:rPr>
            </w:pPr>
          </w:p>
        </w:tc>
      </w:tr>
      <w:tr>
        <w:trPr>
          <w:trHeight w:val="223"/>
        </w:trPr>
        <w:tc>
          <w:tcPr>
            <w:tcW w:w="960" w:type="dxa"/>
            <w:vAlign w:val="bottom"/>
            <w:tcBorders>
              <w:top w:val="single" w:sz="8" w:color="0000EE"/>
            </w:tcBorders>
            <w:gridSpan w:val="9"/>
          </w:tcPr>
          <w:p>
            <w:pPr>
              <w:spacing w:after="0" w:line="210" w:lineRule="exact"/>
              <w:rPr>
                <w:rFonts w:ascii="Arial" w:cs="Arial" w:eastAsia="Arial" w:hAnsi="Arial"/>
                <w:sz w:val="19"/>
                <w:szCs w:val="19"/>
                <w:color w:val="0000EE"/>
              </w:rPr>
            </w:pPr>
            <w:hyperlink w:anchor="page7">
              <w:r>
                <w:rPr>
                  <w:rFonts w:ascii="Arial" w:cs="Arial" w:eastAsia="Arial" w:hAnsi="Arial"/>
                  <w:sz w:val="19"/>
                  <w:szCs w:val="19"/>
                  <w:color w:val="0000EE"/>
                </w:rPr>
                <w:t>PART I</w:t>
              </w:r>
            </w:hyperlink>
          </w:p>
        </w:tc>
        <w:tc>
          <w:tcPr>
            <w:tcW w:w="98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16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7">
              <w:r>
                <w:rPr>
                  <w:rFonts w:ascii="Arial" w:cs="Arial" w:eastAsia="Arial" w:hAnsi="Arial"/>
                  <w:sz w:val="19"/>
                  <w:szCs w:val="19"/>
                  <w:color w:val="0000EE"/>
                  <w:w w:val="99"/>
                </w:rPr>
                <w:t>ITEM 1.</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IDENTITY OF DIRECTORS, SENIOR MANAGEMENT AND ADVISERS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7">
              <w:r>
                <w:rPr>
                  <w:rFonts w:ascii="Arial" w:cs="Arial" w:eastAsia="Arial" w:hAnsi="Arial"/>
                  <w:sz w:val="19"/>
                  <w:szCs w:val="19"/>
                  <w:color w:val="0000EE"/>
                  <w:w w:val="99"/>
                </w:rPr>
                <w:t>ITEM 2.</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OFFER STATISTICS AND EXPECTED TIMETABLE</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7">
              <w:r>
                <w:rPr>
                  <w:rFonts w:ascii="Arial" w:cs="Arial" w:eastAsia="Arial" w:hAnsi="Arial"/>
                  <w:sz w:val="19"/>
                  <w:szCs w:val="19"/>
                  <w:color w:val="0000EE"/>
                  <w:w w:val="99"/>
                </w:rPr>
                <w:t>ITEM 3.</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KEY INFORMATION</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40">
              <w:r>
                <w:rPr>
                  <w:rFonts w:ascii="Arial" w:cs="Arial" w:eastAsia="Arial" w:hAnsi="Arial"/>
                  <w:sz w:val="19"/>
                  <w:szCs w:val="19"/>
                  <w:color w:val="0000EE"/>
                  <w:w w:val="99"/>
                </w:rPr>
                <w:t>ITEM 4.</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INFORMATION ON THE COMPANY</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23"/>
        </w:trPr>
        <w:tc>
          <w:tcPr>
            <w:tcW w:w="960" w:type="dxa"/>
            <w:vAlign w:val="bottom"/>
            <w:gridSpan w:val="9"/>
          </w:tcPr>
          <w:p>
            <w:pPr>
              <w:spacing w:after="0" w:line="210" w:lineRule="exact"/>
              <w:rPr>
                <w:rFonts w:ascii="Arial" w:cs="Arial" w:eastAsia="Arial" w:hAnsi="Arial"/>
                <w:sz w:val="19"/>
                <w:szCs w:val="19"/>
                <w:color w:val="0000EE"/>
              </w:rPr>
            </w:pPr>
            <w:hyperlink w:anchor="page61">
              <w:r>
                <w:rPr>
                  <w:rFonts w:ascii="Arial" w:cs="Arial" w:eastAsia="Arial" w:hAnsi="Arial"/>
                  <w:sz w:val="19"/>
                  <w:szCs w:val="19"/>
                  <w:color w:val="0000EE"/>
                </w:rPr>
                <w:t>ITEM 4.A.</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UNRESOLVED STAFF COMMENTS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3"/>
          </w:tcPr>
          <w:p>
            <w:pPr>
              <w:spacing w:after="0" w:line="210" w:lineRule="exact"/>
              <w:rPr>
                <w:rFonts w:ascii="Arial" w:cs="Arial" w:eastAsia="Arial" w:hAnsi="Arial"/>
                <w:sz w:val="19"/>
                <w:szCs w:val="19"/>
                <w:color w:val="0000EE"/>
                <w:w w:val="99"/>
              </w:rPr>
            </w:pPr>
            <w:hyperlink w:anchor="page62">
              <w:r>
                <w:rPr>
                  <w:rFonts w:ascii="Arial" w:cs="Arial" w:eastAsia="Arial" w:hAnsi="Arial"/>
                  <w:sz w:val="19"/>
                  <w:szCs w:val="19"/>
                  <w:color w:val="0000EE"/>
                  <w:w w:val="99"/>
                </w:rPr>
                <w:t>ITEM 5.</w:t>
              </w:r>
            </w:hyperlink>
          </w:p>
        </w:tc>
        <w:tc>
          <w:tcPr>
            <w:tcW w:w="180" w:type="dxa"/>
            <w:vAlign w:val="bottom"/>
            <w:tcBorders>
              <w:top w:val="single" w:sz="8" w:color="0000EE"/>
            </w:tcBorders>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OPERATING AND FINANCIAL REVIEW AND PROSPECTS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89">
              <w:r>
                <w:rPr>
                  <w:rFonts w:ascii="Arial" w:cs="Arial" w:eastAsia="Arial" w:hAnsi="Arial"/>
                  <w:sz w:val="19"/>
                  <w:szCs w:val="19"/>
                  <w:color w:val="0000EE"/>
                  <w:w w:val="99"/>
                </w:rPr>
                <w:t>ITEM 6.</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DIRECTORS, SENIOR MANAGEMENT AND EMPLOYEES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97">
              <w:r>
                <w:rPr>
                  <w:rFonts w:ascii="Arial" w:cs="Arial" w:eastAsia="Arial" w:hAnsi="Arial"/>
                  <w:sz w:val="19"/>
                  <w:szCs w:val="19"/>
                  <w:color w:val="0000EE"/>
                  <w:w w:val="99"/>
                </w:rPr>
                <w:t>ITEM 7.</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MAJOR SHAREHOLDERS AND RELATED PARTY TRANSACTIONS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106">
              <w:r>
                <w:rPr>
                  <w:rFonts w:ascii="Arial" w:cs="Arial" w:eastAsia="Arial" w:hAnsi="Arial"/>
                  <w:sz w:val="19"/>
                  <w:szCs w:val="19"/>
                  <w:color w:val="0000EE"/>
                  <w:w w:val="99"/>
                </w:rPr>
                <w:t>ITEM 8.</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FINANCIAL INFORMATION</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3"/>
          </w:tcPr>
          <w:p>
            <w:pPr>
              <w:spacing w:after="0" w:line="210" w:lineRule="exact"/>
              <w:rPr>
                <w:rFonts w:ascii="Arial" w:cs="Arial" w:eastAsia="Arial" w:hAnsi="Arial"/>
                <w:sz w:val="19"/>
                <w:szCs w:val="19"/>
                <w:color w:val="0000EE"/>
                <w:w w:val="99"/>
              </w:rPr>
            </w:pPr>
            <w:hyperlink w:anchor="page108">
              <w:r>
                <w:rPr>
                  <w:rFonts w:ascii="Arial" w:cs="Arial" w:eastAsia="Arial" w:hAnsi="Arial"/>
                  <w:sz w:val="19"/>
                  <w:szCs w:val="19"/>
                  <w:color w:val="0000EE"/>
                  <w:w w:val="99"/>
                </w:rPr>
                <w:t>ITEM 9.</w:t>
              </w:r>
            </w:hyperlink>
          </w:p>
        </w:tc>
        <w:tc>
          <w:tcPr>
            <w:tcW w:w="280" w:type="dxa"/>
            <w:vAlign w:val="bottom"/>
            <w:gridSpan w:val="6"/>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THE OFFER AND LISTING</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09">
              <w:r>
                <w:rPr>
                  <w:rFonts w:ascii="Arial" w:cs="Arial" w:eastAsia="Arial" w:hAnsi="Arial"/>
                  <w:sz w:val="19"/>
                  <w:szCs w:val="19"/>
                  <w:color w:val="0000EE"/>
                  <w:w w:val="98"/>
                </w:rPr>
                <w:t>ITEM 10.</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ADDITIONAL INFORMATION</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23"/>
        </w:trPr>
        <w:tc>
          <w:tcPr>
            <w:tcW w:w="960" w:type="dxa"/>
            <w:vAlign w:val="bottom"/>
            <w:gridSpan w:val="9"/>
          </w:tcPr>
          <w:p>
            <w:pPr>
              <w:spacing w:after="0" w:line="210" w:lineRule="exact"/>
              <w:rPr>
                <w:rFonts w:ascii="Arial" w:cs="Arial" w:eastAsia="Arial" w:hAnsi="Arial"/>
                <w:sz w:val="19"/>
                <w:szCs w:val="19"/>
                <w:color w:val="0000EE"/>
              </w:rPr>
            </w:pPr>
            <w:hyperlink w:anchor="page124">
              <w:r>
                <w:rPr>
                  <w:rFonts w:ascii="Arial" w:cs="Arial" w:eastAsia="Arial" w:hAnsi="Arial"/>
                  <w:sz w:val="19"/>
                  <w:szCs w:val="19"/>
                  <w:color w:val="0000EE"/>
                </w:rPr>
                <w:t>ITEM 11.</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QUANTITATIVE AND QUALITATIVE DISCLOSURES ABOUT MARKET RISK</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24">
              <w:r>
                <w:rPr>
                  <w:rFonts w:ascii="Arial" w:cs="Arial" w:eastAsia="Arial" w:hAnsi="Arial"/>
                  <w:sz w:val="19"/>
                  <w:szCs w:val="19"/>
                  <w:color w:val="0000EE"/>
                  <w:w w:val="98"/>
                </w:rPr>
                <w:t>ITEM 12.</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DESCRIPTION OF SECURITIES OTHER THAN EQUITY SECURITIES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2"/>
          </w:tcPr>
          <w:p>
            <w:pPr>
              <w:spacing w:after="0" w:line="210" w:lineRule="exact"/>
              <w:rPr>
                <w:rFonts w:ascii="Arial" w:cs="Arial" w:eastAsia="Arial" w:hAnsi="Arial"/>
                <w:sz w:val="19"/>
                <w:szCs w:val="19"/>
                <w:color w:val="0000EE"/>
                <w:w w:val="96"/>
              </w:rPr>
            </w:pPr>
            <w:hyperlink w:anchor="page125">
              <w:r>
                <w:rPr>
                  <w:rFonts w:ascii="Arial" w:cs="Arial" w:eastAsia="Arial" w:hAnsi="Arial"/>
                  <w:sz w:val="19"/>
                  <w:szCs w:val="19"/>
                  <w:color w:val="0000EE"/>
                  <w:w w:val="96"/>
                </w:rPr>
                <w:t>PART II</w:t>
              </w:r>
            </w:hyperlink>
          </w:p>
        </w:tc>
        <w:tc>
          <w:tcPr>
            <w:tcW w:w="300" w:type="dxa"/>
            <w:vAlign w:val="bottom"/>
            <w:gridSpan w:val="7"/>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25">
              <w:r>
                <w:rPr>
                  <w:rFonts w:ascii="Arial" w:cs="Arial" w:eastAsia="Arial" w:hAnsi="Arial"/>
                  <w:sz w:val="19"/>
                  <w:szCs w:val="19"/>
                  <w:color w:val="0000EE"/>
                  <w:w w:val="98"/>
                </w:rPr>
                <w:t>ITEM 13.</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DEFAULTS, DIVIDEND ARREARAGES AND DELINQUENCIES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25">
              <w:r>
                <w:rPr>
                  <w:rFonts w:ascii="Arial" w:cs="Arial" w:eastAsia="Arial" w:hAnsi="Arial"/>
                  <w:sz w:val="19"/>
                  <w:szCs w:val="19"/>
                  <w:color w:val="0000EE"/>
                  <w:w w:val="98"/>
                </w:rPr>
                <w:t>ITEM 14.</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MATERIAL MODIFICATIONS TO THE RIGHTS OF SECURITY HOLDERS AND USE OF PROCEEDS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25">
              <w:r>
                <w:rPr>
                  <w:rFonts w:ascii="Arial" w:cs="Arial" w:eastAsia="Arial" w:hAnsi="Arial"/>
                  <w:sz w:val="19"/>
                  <w:szCs w:val="19"/>
                  <w:color w:val="0000EE"/>
                  <w:w w:val="98"/>
                </w:rPr>
                <w:t>ITEM 15.</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CONTROLS AND PROCEDURES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27">
              <w:r>
                <w:rPr>
                  <w:rFonts w:ascii="Arial" w:cs="Arial" w:eastAsia="Arial" w:hAnsi="Arial"/>
                  <w:sz w:val="19"/>
                  <w:szCs w:val="19"/>
                  <w:color w:val="0000EE"/>
                  <w:w w:val="98"/>
                </w:rPr>
                <w:t>ITEM 16.</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[RESERVED]</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8"/>
              </w:rPr>
            </w:pPr>
            <w:hyperlink w:anchor="page127">
              <w:r>
                <w:rPr>
                  <w:rFonts w:ascii="Arial" w:cs="Arial" w:eastAsia="Arial" w:hAnsi="Arial"/>
                  <w:sz w:val="19"/>
                  <w:szCs w:val="19"/>
                  <w:color w:val="0000EE"/>
                  <w:w w:val="98"/>
                </w:rPr>
                <w:t>ITEM 16.A.</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AUDIT COMMITTEE FINANCIAL EXPERT</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8"/>
              </w:rPr>
            </w:pPr>
            <w:hyperlink w:anchor="page127">
              <w:r>
                <w:rPr>
                  <w:rFonts w:ascii="Arial" w:cs="Arial" w:eastAsia="Arial" w:hAnsi="Arial"/>
                  <w:sz w:val="19"/>
                  <w:szCs w:val="19"/>
                  <w:color w:val="0000EE"/>
                  <w:w w:val="98"/>
                </w:rPr>
                <w:t>ITEM 16.B.</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CODE OF ETHICS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7"/>
              </w:rPr>
            </w:pPr>
            <w:hyperlink w:anchor="page127">
              <w:r>
                <w:rPr>
                  <w:rFonts w:ascii="Arial" w:cs="Arial" w:eastAsia="Arial" w:hAnsi="Arial"/>
                  <w:sz w:val="19"/>
                  <w:szCs w:val="19"/>
                  <w:color w:val="0000EE"/>
                  <w:w w:val="97"/>
                </w:rPr>
                <w:t>ITEM 16.C.</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PRINCIPAL ACCOUNTANT FEES AND SERVICES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7"/>
              </w:rPr>
            </w:pPr>
            <w:hyperlink w:anchor="page128">
              <w:r>
                <w:rPr>
                  <w:rFonts w:ascii="Arial" w:cs="Arial" w:eastAsia="Arial" w:hAnsi="Arial"/>
                  <w:sz w:val="19"/>
                  <w:szCs w:val="19"/>
                  <w:color w:val="0000EE"/>
                  <w:w w:val="97"/>
                </w:rPr>
                <w:t>ITEM 16.D.</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EXEMPTIONS FROM THE LISTING STANDARDS FOR AUDIT COMMITTEES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122</w:t>
            </w:r>
          </w:p>
        </w:tc>
        <w:tc>
          <w:tcPr>
            <w:tcW w:w="0" w:type="dxa"/>
            <w:vAlign w:val="bottom"/>
          </w:tcPr>
          <w:p>
            <w:pPr>
              <w:spacing w:after="0"/>
              <w:rPr>
                <w:sz w:val="1"/>
                <w:szCs w:val="1"/>
                <w:color w:val="auto"/>
              </w:rPr>
            </w:pPr>
          </w:p>
        </w:tc>
      </w:tr>
      <w:tr>
        <w:trPr>
          <w:trHeight w:val="223"/>
        </w:trPr>
        <w:tc>
          <w:tcPr>
            <w:tcW w:w="940" w:type="dxa"/>
            <w:vAlign w:val="bottom"/>
            <w:tcBorders>
              <w:bottom w:val="single" w:sz="8" w:color="0000EE"/>
            </w:tcBorders>
            <w:gridSpan w:val="8"/>
          </w:tcPr>
          <w:p>
            <w:pPr>
              <w:spacing w:after="0" w:line="210" w:lineRule="exact"/>
              <w:rPr>
                <w:rFonts w:ascii="Arial" w:cs="Arial" w:eastAsia="Arial" w:hAnsi="Arial"/>
                <w:sz w:val="19"/>
                <w:szCs w:val="19"/>
                <w:color w:val="0000EE"/>
                <w:w w:val="96"/>
              </w:rPr>
            </w:pPr>
            <w:hyperlink w:anchor="page128">
              <w:r>
                <w:rPr>
                  <w:rFonts w:ascii="Arial" w:cs="Arial" w:eastAsia="Arial" w:hAnsi="Arial"/>
                  <w:sz w:val="19"/>
                  <w:szCs w:val="19"/>
                  <w:color w:val="0000EE"/>
                  <w:w w:val="96"/>
                </w:rPr>
                <w:t>ITEM 16.E.</w:t>
              </w:r>
            </w:hyperlink>
          </w:p>
        </w:tc>
        <w:tc>
          <w:tcPr>
            <w:tcW w:w="20" w:type="dxa"/>
            <w:vAlign w:val="bottom"/>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PURCHASES OF EQUITY SECURITIES BY THE ISSUER AND AFFILIATED PURCHASERS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122</w:t>
            </w:r>
          </w:p>
        </w:tc>
        <w:tc>
          <w:tcPr>
            <w:tcW w:w="0" w:type="dxa"/>
            <w:vAlign w:val="bottom"/>
          </w:tcPr>
          <w:p>
            <w:pPr>
              <w:spacing w:after="0"/>
              <w:rPr>
                <w:sz w:val="1"/>
                <w:szCs w:val="1"/>
                <w:color w:val="auto"/>
              </w:rPr>
            </w:pPr>
          </w:p>
        </w:tc>
      </w:tr>
      <w:tr>
        <w:trPr>
          <w:trHeight w:val="223"/>
        </w:trPr>
        <w:tc>
          <w:tcPr>
            <w:tcW w:w="920" w:type="dxa"/>
            <w:vAlign w:val="bottom"/>
            <w:tcBorders>
              <w:bottom w:val="single" w:sz="8" w:color="0000EE"/>
            </w:tcBorders>
            <w:gridSpan w:val="7"/>
          </w:tcPr>
          <w:p>
            <w:pPr>
              <w:spacing w:after="0" w:line="210" w:lineRule="exact"/>
              <w:rPr>
                <w:rFonts w:ascii="Arial" w:cs="Arial" w:eastAsia="Arial" w:hAnsi="Arial"/>
                <w:sz w:val="19"/>
                <w:szCs w:val="19"/>
                <w:color w:val="0000EE"/>
                <w:w w:val="95"/>
              </w:rPr>
            </w:pPr>
            <w:hyperlink w:anchor="page128">
              <w:r>
                <w:rPr>
                  <w:rFonts w:ascii="Arial" w:cs="Arial" w:eastAsia="Arial" w:hAnsi="Arial"/>
                  <w:sz w:val="19"/>
                  <w:szCs w:val="19"/>
                  <w:color w:val="0000EE"/>
                  <w:w w:val="95"/>
                </w:rPr>
                <w:t>ITEM 16.F.</w:t>
              </w:r>
            </w:hyperlink>
          </w:p>
        </w:tc>
        <w:tc>
          <w:tcPr>
            <w:tcW w:w="40" w:type="dxa"/>
            <w:vAlign w:val="bottom"/>
            <w:gridSpan w:val="2"/>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CHANGE IN COMPANY’S CERTIFYING ACCOUNTANT</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122</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6"/>
              </w:rPr>
            </w:pPr>
            <w:hyperlink w:anchor="page128">
              <w:r>
                <w:rPr>
                  <w:rFonts w:ascii="Arial" w:cs="Arial" w:eastAsia="Arial" w:hAnsi="Arial"/>
                  <w:sz w:val="19"/>
                  <w:szCs w:val="19"/>
                  <w:color w:val="0000EE"/>
                  <w:w w:val="96"/>
                </w:rPr>
                <w:t>ITEM 16.G.</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CORPORATE GOVERNANCE</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122</w:t>
            </w:r>
          </w:p>
        </w:tc>
        <w:tc>
          <w:tcPr>
            <w:tcW w:w="0" w:type="dxa"/>
            <w:vAlign w:val="bottom"/>
          </w:tcPr>
          <w:p>
            <w:pPr>
              <w:spacing w:after="0"/>
              <w:rPr>
                <w:sz w:val="1"/>
                <w:szCs w:val="1"/>
                <w:color w:val="auto"/>
              </w:rPr>
            </w:pPr>
          </w:p>
        </w:tc>
      </w:tr>
      <w:tr>
        <w:trPr>
          <w:trHeight w:val="223"/>
        </w:trPr>
        <w:tc>
          <w:tcPr>
            <w:tcW w:w="960" w:type="dxa"/>
            <w:vAlign w:val="bottom"/>
            <w:tcBorders>
              <w:bottom w:val="single" w:sz="8" w:color="0000EE"/>
            </w:tcBorders>
            <w:gridSpan w:val="9"/>
          </w:tcPr>
          <w:p>
            <w:pPr>
              <w:spacing w:after="0" w:line="210" w:lineRule="exact"/>
              <w:rPr>
                <w:rFonts w:ascii="Arial" w:cs="Arial" w:eastAsia="Arial" w:hAnsi="Arial"/>
                <w:sz w:val="19"/>
                <w:szCs w:val="19"/>
                <w:color w:val="0000EE"/>
                <w:w w:val="97"/>
              </w:rPr>
            </w:pPr>
            <w:hyperlink w:anchor="page129">
              <w:r>
                <w:rPr>
                  <w:rFonts w:ascii="Arial" w:cs="Arial" w:eastAsia="Arial" w:hAnsi="Arial"/>
                  <w:sz w:val="19"/>
                  <w:szCs w:val="19"/>
                  <w:color w:val="0000EE"/>
                  <w:w w:val="97"/>
                </w:rPr>
                <w:t>ITEM 16.H.</w:t>
              </w:r>
            </w:hyperlink>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MINE SAFETY DISCLOSURE</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00EE"/>
            </w:tcBorders>
            <w:gridSpan w:val="4"/>
          </w:tcPr>
          <w:p>
            <w:pPr>
              <w:spacing w:after="0" w:line="210" w:lineRule="exact"/>
              <w:rPr>
                <w:rFonts w:ascii="Arial" w:cs="Arial" w:eastAsia="Arial" w:hAnsi="Arial"/>
                <w:sz w:val="19"/>
                <w:szCs w:val="19"/>
                <w:color w:val="0000EE"/>
              </w:rPr>
            </w:pPr>
            <w:hyperlink w:anchor="page130">
              <w:r>
                <w:rPr>
                  <w:rFonts w:ascii="Arial" w:cs="Arial" w:eastAsia="Arial" w:hAnsi="Arial"/>
                  <w:sz w:val="19"/>
                  <w:szCs w:val="19"/>
                  <w:color w:val="0000EE"/>
                </w:rPr>
                <w:t>PART III</w:t>
              </w:r>
            </w:hyperlink>
          </w:p>
        </w:tc>
        <w:tc>
          <w:tcPr>
            <w:tcW w:w="200" w:type="dxa"/>
            <w:vAlign w:val="bottom"/>
            <w:gridSpan w:val="5"/>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30">
              <w:r>
                <w:rPr>
                  <w:rFonts w:ascii="Arial" w:cs="Arial" w:eastAsia="Arial" w:hAnsi="Arial"/>
                  <w:sz w:val="19"/>
                  <w:szCs w:val="19"/>
                  <w:color w:val="0000EE"/>
                  <w:w w:val="98"/>
                </w:rPr>
                <w:t>ITEM 17.</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FINANCIAL STATEMENTS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30">
              <w:r>
                <w:rPr>
                  <w:rFonts w:ascii="Arial" w:cs="Arial" w:eastAsia="Arial" w:hAnsi="Arial"/>
                  <w:sz w:val="19"/>
                  <w:szCs w:val="19"/>
                  <w:color w:val="0000EE"/>
                  <w:w w:val="98"/>
                </w:rPr>
                <w:t>ITEM 18.</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FINANCIAL STATEMENTS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23"/>
        </w:trPr>
        <w:tc>
          <w:tcPr>
            <w:tcW w:w="780" w:type="dxa"/>
            <w:vAlign w:val="bottom"/>
            <w:tcBorders>
              <w:bottom w:val="single" w:sz="8" w:color="0000EE"/>
            </w:tcBorders>
            <w:gridSpan w:val="5"/>
          </w:tcPr>
          <w:p>
            <w:pPr>
              <w:spacing w:after="0" w:line="210" w:lineRule="exact"/>
              <w:rPr>
                <w:rFonts w:ascii="Arial" w:cs="Arial" w:eastAsia="Arial" w:hAnsi="Arial"/>
                <w:sz w:val="19"/>
                <w:szCs w:val="19"/>
                <w:color w:val="0000EE"/>
                <w:w w:val="98"/>
              </w:rPr>
            </w:pPr>
            <w:hyperlink w:anchor="page130">
              <w:r>
                <w:rPr>
                  <w:rFonts w:ascii="Arial" w:cs="Arial" w:eastAsia="Arial" w:hAnsi="Arial"/>
                  <w:sz w:val="19"/>
                  <w:szCs w:val="19"/>
                  <w:color w:val="0000EE"/>
                  <w:w w:val="98"/>
                </w:rPr>
                <w:t>ITEM 19.</w:t>
              </w:r>
            </w:hyperlink>
          </w:p>
        </w:tc>
        <w:tc>
          <w:tcPr>
            <w:tcW w:w="180" w:type="dxa"/>
            <w:vAlign w:val="bottom"/>
            <w:gridSpan w:val="4"/>
          </w:tcPr>
          <w:p>
            <w:pPr>
              <w:spacing w:after="0"/>
              <w:rPr>
                <w:sz w:val="19"/>
                <w:szCs w:val="19"/>
                <w:color w:val="auto"/>
              </w:rPr>
            </w:pPr>
          </w:p>
        </w:tc>
        <w:tc>
          <w:tcPr>
            <w:tcW w:w="10020" w:type="dxa"/>
            <w:vAlign w:val="bottom"/>
            <w:gridSpan w:val="4"/>
          </w:tcPr>
          <w:p>
            <w:pPr>
              <w:ind w:left="880"/>
              <w:spacing w:after="0" w:line="210" w:lineRule="exact"/>
              <w:rPr>
                <w:sz w:val="20"/>
                <w:szCs w:val="20"/>
                <w:color w:val="auto"/>
              </w:rPr>
            </w:pPr>
            <w:r>
              <w:rPr>
                <w:rFonts w:ascii="Arial" w:cs="Arial" w:eastAsia="Arial" w:hAnsi="Arial"/>
                <w:sz w:val="19"/>
                <w:szCs w:val="19"/>
                <w:color w:val="auto"/>
              </w:rPr>
              <w:t>EXHIBITS</w:t>
            </w:r>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23"/>
        </w:trPr>
        <w:tc>
          <w:tcPr>
            <w:tcW w:w="10980" w:type="dxa"/>
            <w:vAlign w:val="bottom"/>
            <w:gridSpan w:val="13"/>
          </w:tcPr>
          <w:p>
            <w:pPr>
              <w:spacing w:after="0" w:line="210" w:lineRule="exact"/>
              <w:rPr>
                <w:rFonts w:ascii="Arial" w:cs="Arial" w:eastAsia="Arial" w:hAnsi="Arial"/>
                <w:sz w:val="19"/>
                <w:szCs w:val="19"/>
                <w:color w:val="0000EE"/>
              </w:rPr>
            </w:pPr>
            <w:hyperlink w:anchor="page134">
              <w:r>
                <w:rPr>
                  <w:rFonts w:ascii="Arial" w:cs="Arial" w:eastAsia="Arial" w:hAnsi="Arial"/>
                  <w:sz w:val="19"/>
                  <w:szCs w:val="19"/>
                  <w:color w:val="0000EE"/>
                </w:rPr>
                <w:t>INDEX TO CONSOLIDATED FINANCIAL STATEMENTS</w:t>
              </w:r>
            </w:hyperlink>
          </w:p>
        </w:tc>
        <w:tc>
          <w:tcPr>
            <w:tcW w:w="440" w:type="dxa"/>
            <w:vAlign w:val="bottom"/>
          </w:tcPr>
          <w:p>
            <w:pPr>
              <w:jc w:val="right"/>
              <w:spacing w:after="0" w:line="210" w:lineRule="exact"/>
              <w:rPr>
                <w:sz w:val="20"/>
                <w:szCs w:val="20"/>
                <w:color w:val="auto"/>
              </w:rPr>
            </w:pPr>
            <w:r>
              <w:rPr>
                <w:rFonts w:ascii="Arial" w:cs="Arial" w:eastAsia="Arial" w:hAnsi="Arial"/>
                <w:sz w:val="19"/>
                <w:szCs w:val="19"/>
                <w:color w:val="auto"/>
              </w:rPr>
              <w:t>F-1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9"/>
          <w:szCs w:val="19"/>
          <w:b w:val="1"/>
          <w:bCs w:val="1"/>
          <w:color w:val="auto"/>
        </w:rPr>
        <w:t>ABOUT THIS REPORT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this annual report, unless otherwise indicated:</w:t>
      </w:r>
    </w:p>
    <w:p>
      <w:pPr>
        <w:spacing w:after="0" w:line="106" w:lineRule="exact"/>
        <w:rPr>
          <w:sz w:val="20"/>
          <w:szCs w:val="20"/>
          <w:color w:val="auto"/>
        </w:rPr>
      </w:pPr>
    </w:p>
    <w:p>
      <w:pPr>
        <w:ind w:left="540" w:right="240" w:hanging="168"/>
        <w:spacing w:after="0" w:line="262"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45" w:lineRule="exact"/>
        <w:rPr>
          <w:rFonts w:ascii="Arial" w:cs="Arial" w:eastAsia="Arial" w:hAnsi="Arial"/>
          <w:sz w:val="19"/>
          <w:szCs w:val="19"/>
          <w:color w:val="auto"/>
        </w:rPr>
      </w:pPr>
    </w:p>
    <w:p>
      <w:pPr>
        <w:ind w:left="540" w:right="100" w:hanging="168"/>
        <w:spacing w:after="0" w:line="312"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or the “Partnership”, refers to GasLog Partners LP, a master limited partnership formed by GasLog to own, operate and acquire liquefied natural gas, or “LNG”, carriers under long-term charters, or any one or more of GasLog Partners’ subsidiaries;</w:t>
      </w:r>
    </w:p>
    <w:p>
      <w:pPr>
        <w:spacing w:after="0" w:line="15" w:lineRule="exact"/>
        <w:rPr>
          <w:rFonts w:ascii="Arial" w:cs="Arial" w:eastAsia="Arial" w:hAnsi="Arial"/>
          <w:sz w:val="18"/>
          <w:szCs w:val="18"/>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“general partner” refers to GasLog Partners GP LLC, the general partner of GasLog Partners;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“GasLog LNG Services” refers to GasLog LNG Services Ltd., our wholly owned subsidiary;</w:t>
      </w:r>
    </w:p>
    <w:p>
      <w:pPr>
        <w:spacing w:after="0" w:line="105" w:lineRule="exact"/>
        <w:rPr>
          <w:rFonts w:ascii="Arial" w:cs="Arial" w:eastAsia="Arial" w:hAnsi="Arial"/>
          <w:sz w:val="19"/>
          <w:szCs w:val="19"/>
          <w:color w:val="auto"/>
        </w:rPr>
      </w:pPr>
    </w:p>
    <w:p>
      <w:pPr>
        <w:ind w:left="540" w:hanging="168"/>
        <w:spacing w:after="0" w:line="281"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43" w:lineRule="exact"/>
        <w:rPr>
          <w:rFonts w:ascii="Arial" w:cs="Arial" w:eastAsia="Arial" w:hAnsi="Arial"/>
          <w:sz w:val="18"/>
          <w:szCs w:val="18"/>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“Shell” refers to Royal Dutch Shell plc or any one or more of its subsidiaries;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“BG Group” refers to BG Group plc. BG Group was acquired by Shell on February 15, 2016;</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“MSL” refers to Methane Services Limited, a subsidiary of BG Group and a subsidiary of Shell;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“Samsung” refers to Samsung Heavy Industries Co. Ltd. or any one or more of its subsidiaries;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“Hyundai” refers to Hyundai Heavy Industries Co., Ltd. or any one or more of its subsidiaries;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“Total” refers to Total Gas &amp; Power Chartering Limited, a wholly owned subsidiary of Total plc;</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“Centrica” refers to Pioneer Shipping Limited, a wholly owned subsidiary of Centrica plc;</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“Egypt LNG” refers to Egypt LNG Shipping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Cool Pool” refers to The Cool Pool Limited;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“Ceres Shipping” refers to Ceres Shipping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“NYSE” refers to the New York Stock Exchange; and “SEC” refers to the U.S. Securities and Exchange Commission;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“dollars” and “$” refers to, and amounts are presented in, U.S. dollars;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“cbm” refers to cubic meters;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“Dynagas” refers to Dynagas Ltd. and “Golar” refers to Golar LNG Ltd.;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“Mitsui” refers to Mitsui Co., Ltd. and “Lepta Shipping” refers to Lepta Shipping Co., Ltd., a subsidiary of Mitsui.</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7"/>
          <w:szCs w:val="17"/>
          <w:color w:val="auto"/>
        </w:rPr>
        <w:t>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60" w:hanging="168"/>
        <w:spacing w:after="0" w:line="312"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increased exposure to spot market and fluctuations in spot charter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38" w:lineRule="exact"/>
        <w:rPr>
          <w:rFonts w:ascii="Arial" w:cs="Arial" w:eastAsia="Arial" w:hAnsi="Arial"/>
          <w:sz w:val="19"/>
          <w:szCs w:val="19"/>
          <w:color w:val="auto"/>
        </w:rPr>
      </w:pPr>
    </w:p>
    <w:p>
      <w:pPr>
        <w:ind w:left="540" w:right="42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660" w:hanging="168"/>
        <w:spacing w:after="0" w:line="33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ability to retain key employees and the availability of skilled labor, ship crews and management;</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 w:name="page6"/>
    <w:bookmarkEnd w:id="5"/>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other factors discussed in “Item 3. Key Information—D. Risk Factors” of this annual report.</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64" w:right="359" w:bottom="1440" w:gutter="0" w:footer="0" w:header="0"/>
        </w:sectPr>
      </w:pPr>
    </w:p>
    <w:bookmarkStart w:id="6" w:name="page7"/>
    <w:bookmarkEnd w:id="6"/>
    <w:p>
      <w:pPr>
        <w:ind w:left="5400"/>
        <w:spacing w:after="0"/>
        <w:rPr>
          <w:sz w:val="20"/>
          <w:szCs w:val="20"/>
          <w:color w:val="auto"/>
        </w:rPr>
      </w:pPr>
      <w:r>
        <w:rPr>
          <w:rFonts w:ascii="Arial" w:cs="Arial" w:eastAsia="Arial" w:hAnsi="Arial"/>
          <w:sz w:val="19"/>
          <w:szCs w:val="19"/>
          <w:b w:val="1"/>
          <w:bCs w:val="1"/>
          <w:color w:val="auto"/>
        </w:rPr>
        <w:t>PART 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IDENTITY OF DIRECTORS, SENIOR MANAGEMENT AND ADVISERS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OFFER STATISTICS AND EXPECTED TIMETABLE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KEY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Selected Financial Data</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following table presents summary consolidated financial and other data of GasLog for each of the five years in the five-year period ended December 31, 2016. The summary consolidated financial data of GasLog as of December 31, 2015 and 2016, and for each of the years in the three-year period ended December 31, 2016, is derived from our audited consolidated financial statements included in “Item 18. Financial Statements”. The selected consolidated financial data as of December 31, 2012, 2013 and 2014, and for the years ended December 31, 2012 and 2013, is derived from our audited consolidated financial statements which are not included in this annual report. Our consolidated financial statements are prepared and presented in accordance with International Financial Reporting Standards, or “IFRS”, as issued by the International Accounting Standards Board, or the “IASB”.</w:t>
      </w:r>
    </w:p>
    <w:p>
      <w:pPr>
        <w:spacing w:after="0" w:line="77" w:lineRule="exact"/>
        <w:rPr>
          <w:sz w:val="20"/>
          <w:szCs w:val="20"/>
          <w:color w:val="auto"/>
        </w:rPr>
      </w:pPr>
    </w:p>
    <w:p>
      <w:pPr>
        <w:ind w:right="240" w:firstLine="357"/>
        <w:spacing w:after="0" w:line="312"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center"/>
              <w:ind w:left="785"/>
              <w:spacing w:after="0"/>
              <w:rPr>
                <w:sz w:val="20"/>
                <w:szCs w:val="20"/>
                <w:color w:val="auto"/>
              </w:rPr>
            </w:pPr>
            <w:r>
              <w:rPr>
                <w:rFonts w:ascii="Arial" w:cs="Arial" w:eastAsia="Arial" w:hAnsi="Arial"/>
                <w:sz w:val="16"/>
                <w:szCs w:val="16"/>
                <w:b w:val="1"/>
                <w:bCs w:val="1"/>
                <w:color w:val="auto"/>
                <w:w w:val="89"/>
              </w:rPr>
              <w:t>Year Ended December 31,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4"/>
              <w:spacing w:after="0" w:line="169" w:lineRule="exact"/>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5"/>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4"/>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4"/>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40" w:type="dxa"/>
            <w:vAlign w:val="bottom"/>
            <w:gridSpan w:val="9"/>
          </w:tcPr>
          <w:p>
            <w:pPr>
              <w:jc w:val="center"/>
              <w:ind w:left="125"/>
              <w:spacing w:after="0"/>
              <w:rPr>
                <w:sz w:val="20"/>
                <w:szCs w:val="20"/>
                <w:color w:val="auto"/>
              </w:rPr>
            </w:pPr>
            <w:r>
              <w:rPr>
                <w:rFonts w:ascii="Arial" w:cs="Arial" w:eastAsia="Arial" w:hAnsi="Arial"/>
                <w:sz w:val="16"/>
                <w:szCs w:val="16"/>
                <w:b w:val="1"/>
                <w:bCs w:val="1"/>
                <w:color w:val="auto"/>
                <w:w w:val="87"/>
              </w:rPr>
              <w:t>(in thousands of U.S. dollars, except share and per share data)</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5FFFF"/>
          </w:tcPr>
          <w:p>
            <w:pPr>
              <w:spacing w:after="0" w:line="211" w:lineRule="exact"/>
              <w:rPr>
                <w:sz w:val="20"/>
                <w:szCs w:val="20"/>
                <w:color w:val="auto"/>
              </w:rPr>
            </w:pPr>
            <w:r>
              <w:rPr>
                <w:rFonts w:ascii="Arial" w:cs="Arial" w:eastAsia="Arial" w:hAnsi="Arial"/>
                <w:sz w:val="19"/>
                <w:szCs w:val="19"/>
                <w:b w:val="1"/>
                <w:bCs w:val="1"/>
                <w:color w:val="auto"/>
              </w:rPr>
              <w:t>CONSOLIDATED STATEMENT OF PROFIT</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220" w:type="dxa"/>
            <w:vAlign w:val="bottom"/>
            <w:shd w:val="clear" w:color="auto" w:fill="E5FFFF"/>
          </w:tcPr>
          <w:p>
            <w:pPr>
              <w:ind w:left="160"/>
              <w:spacing w:after="0"/>
              <w:rPr>
                <w:sz w:val="20"/>
                <w:szCs w:val="20"/>
                <w:color w:val="auto"/>
              </w:rPr>
            </w:pPr>
            <w:r>
              <w:rPr>
                <w:rFonts w:ascii="Arial" w:cs="Arial" w:eastAsia="Arial" w:hAnsi="Arial"/>
                <w:sz w:val="19"/>
                <w:szCs w:val="19"/>
                <w:b w:val="1"/>
                <w:bCs w:val="1"/>
                <w:color w:val="auto"/>
              </w:rPr>
              <w:t>OR LOSS</w:t>
            </w:r>
          </w:p>
        </w:tc>
        <w:tc>
          <w:tcPr>
            <w:tcW w:w="20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9"/>
                <w:szCs w:val="19"/>
                <w:color w:val="auto"/>
              </w:rPr>
              <w:t>Revenues</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Pr>
          <w:p>
            <w:pPr>
              <w:jc w:val="right"/>
              <w:ind w:right="24"/>
              <w:spacing w:after="0"/>
              <w:rPr>
                <w:sz w:val="20"/>
                <w:szCs w:val="20"/>
                <w:color w:val="auto"/>
              </w:rPr>
            </w:pPr>
            <w:r>
              <w:rPr>
                <w:rFonts w:ascii="Arial" w:cs="Arial" w:eastAsia="Arial" w:hAnsi="Arial"/>
                <w:sz w:val="19"/>
                <w:szCs w:val="19"/>
                <w:color w:val="auto"/>
              </w:rPr>
              <w:t>68,542</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157,240</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328,679</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415,078</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466,059</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Vessel operating and supervision costs</w:t>
            </w:r>
          </w:p>
        </w:tc>
        <w:tc>
          <w:tcPr>
            <w:tcW w:w="20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(14,354)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(32,058)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(70,732)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(98,552)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(112,632)</w:t>
            </w: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9"/>
                <w:szCs w:val="19"/>
                <w:color w:val="auto"/>
              </w:rPr>
              <w:t>Voyage expenses and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9"/>
                <w:szCs w:val="19"/>
                <w:color w:val="auto"/>
              </w:rPr>
              <w:t>commissions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(292)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(2,861)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(7,738)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(14,290)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(15,184)</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Depreciation</w:t>
            </w:r>
          </w:p>
        </w:tc>
        <w:tc>
          <w:tcPr>
            <w:tcW w:w="20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(13,065)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(29,322)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(70,695)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(106,641)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(122,957)</w:t>
            </w:r>
          </w:p>
        </w:tc>
      </w:tr>
      <w:tr>
        <w:trPr>
          <w:trHeight w:val="250"/>
        </w:trPr>
        <w:tc>
          <w:tcPr>
            <w:tcW w:w="4240" w:type="dxa"/>
            <w:vAlign w:val="bottom"/>
            <w:gridSpan w:val="2"/>
          </w:tcPr>
          <w:p>
            <w:pPr>
              <w:spacing w:after="0"/>
              <w:rPr>
                <w:sz w:val="20"/>
                <w:szCs w:val="20"/>
                <w:color w:val="auto"/>
              </w:rPr>
            </w:pPr>
            <w:r>
              <w:rPr>
                <w:rFonts w:ascii="Arial" w:cs="Arial" w:eastAsia="Arial" w:hAnsi="Arial"/>
                <w:sz w:val="19"/>
                <w:szCs w:val="19"/>
                <w:color w:val="auto"/>
              </w:rPr>
              <w:t>General and administrative expenses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(20,380)</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(21,598)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(34,154)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(41,282)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(38,642)</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from operations</w:t>
            </w:r>
          </w:p>
        </w:tc>
        <w:tc>
          <w:tcPr>
            <w:tcW w:w="200" w:type="dxa"/>
            <w:vAlign w:val="bottom"/>
            <w:tcBorders>
              <w:bottom w:val="single" w:sz="8" w:color="auto"/>
            </w:tcBorders>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b w:val="1"/>
                <w:bCs w:val="1"/>
                <w:color w:val="auto"/>
              </w:rPr>
              <w:t>20,451</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71,401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145,360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154,313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176,644</w:t>
            </w:r>
          </w:p>
        </w:tc>
      </w:tr>
      <w:tr>
        <w:trPr>
          <w:trHeight w:val="250"/>
        </w:trPr>
        <w:tc>
          <w:tcPr>
            <w:tcW w:w="4240" w:type="dxa"/>
            <w:vAlign w:val="bottom"/>
            <w:gridSpan w:val="2"/>
          </w:tcPr>
          <w:p>
            <w:pPr>
              <w:spacing w:after="0"/>
              <w:rPr>
                <w:sz w:val="20"/>
                <w:szCs w:val="20"/>
                <w:color w:val="auto"/>
              </w:rPr>
            </w:pPr>
            <w:r>
              <w:rPr>
                <w:rFonts w:ascii="Arial" w:cs="Arial" w:eastAsia="Arial" w:hAnsi="Arial"/>
                <w:sz w:val="19"/>
                <w:szCs w:val="19"/>
                <w:color w:val="auto"/>
              </w:rPr>
              <w:t>Financial costs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(11,670)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(27,851)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(71,579)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(91,956)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(137,316)</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Financial income</w:t>
            </w:r>
          </w:p>
        </w:tc>
        <w:tc>
          <w:tcPr>
            <w:tcW w:w="2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1,174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720</w:t>
            </w:r>
          </w:p>
        </w:tc>
      </w:tr>
      <w:tr>
        <w:trPr>
          <w:trHeight w:val="243"/>
        </w:trPr>
        <w:tc>
          <w:tcPr>
            <w:tcW w:w="4240" w:type="dxa"/>
            <w:vAlign w:val="bottom"/>
            <w:gridSpan w:val="2"/>
          </w:tcPr>
          <w:p>
            <w:pPr>
              <w:spacing w:after="0"/>
              <w:rPr>
                <w:sz w:val="20"/>
                <w:szCs w:val="20"/>
                <w:color w:val="auto"/>
              </w:rPr>
            </w:pPr>
            <w:r>
              <w:rPr>
                <w:rFonts w:ascii="Arial" w:cs="Arial" w:eastAsia="Arial" w:hAnsi="Arial"/>
                <w:sz w:val="19"/>
                <w:szCs w:val="19"/>
                <w:color w:val="auto"/>
              </w:rPr>
              <w:t>(Loss)/gain on swaps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(6,783)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11,498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(24,787)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(10,332)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(13,419)</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Share of profit of associate</w:t>
            </w:r>
          </w:p>
        </w:tc>
        <w:tc>
          <w:tcPr>
            <w:tcW w:w="200" w:type="dxa"/>
            <w:vAlign w:val="bottom"/>
            <w:tcBorders>
              <w:bottom w:val="single" w:sz="8" w:color="auto"/>
            </w:tcBorders>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1,078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1,470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1,497</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1,216</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1,422</w:t>
            </w:r>
          </w:p>
        </w:tc>
      </w:tr>
      <w:tr>
        <w:trPr>
          <w:trHeight w:val="257"/>
        </w:trPr>
        <w:tc>
          <w:tcPr>
            <w:tcW w:w="4240" w:type="dxa"/>
            <w:vAlign w:val="bottom"/>
            <w:gridSpan w:val="2"/>
          </w:tcPr>
          <w:p>
            <w:pPr>
              <w:spacing w:after="0"/>
              <w:rPr>
                <w:sz w:val="20"/>
                <w:szCs w:val="20"/>
                <w:color w:val="auto"/>
              </w:rPr>
            </w:pPr>
            <w:r>
              <w:rPr>
                <w:rFonts w:ascii="Arial" w:cs="Arial" w:eastAsia="Arial" w:hAnsi="Arial"/>
                <w:sz w:val="19"/>
                <w:szCs w:val="19"/>
                <w:b w:val="1"/>
                <w:bCs w:val="1"/>
                <w:color w:val="auto"/>
              </w:rPr>
              <w:t>Total other expenses, net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(16,201)</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(14,472)</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(94,595)</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(100,645)</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(148,593)</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for the year</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10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b w:val="1"/>
                <w:bCs w:val="1"/>
                <w:color w:val="auto"/>
              </w:rPr>
              <w:t>4,250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56,929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50,765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75"/>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53,668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28,051</w:t>
            </w:r>
          </w:p>
        </w:tc>
      </w:tr>
      <w:tr>
        <w:trPr>
          <w:trHeight w:val="20"/>
        </w:trPr>
        <w:tc>
          <w:tcPr>
            <w:tcW w:w="4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9"/>
                <w:szCs w:val="19"/>
                <w:color w:val="auto"/>
              </w:rPr>
              <w:t>Profit/(loss) attributable to owners of the Group</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Pr>
          <w:p>
            <w:pPr>
              <w:jc w:val="right"/>
              <w:ind w:right="24"/>
              <w:spacing w:after="0"/>
              <w:rPr>
                <w:sz w:val="20"/>
                <w:szCs w:val="20"/>
                <w:color w:val="auto"/>
              </w:rPr>
            </w:pPr>
            <w:r>
              <w:rPr>
                <w:rFonts w:ascii="Arial" w:cs="Arial" w:eastAsia="Arial" w:hAnsi="Arial"/>
                <w:sz w:val="19"/>
                <w:szCs w:val="19"/>
                <w:color w:val="auto"/>
              </w:rPr>
              <w:t>4,250</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56,929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42,161</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10,829</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(21,486)</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Profit attributable to non-controlling interest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8,604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42,839</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49,537</w:t>
            </w:r>
          </w:p>
        </w:tc>
      </w:tr>
      <w:tr>
        <w:trPr>
          <w:trHeight w:val="243"/>
        </w:trPr>
        <w:tc>
          <w:tcPr>
            <w:tcW w:w="4240" w:type="dxa"/>
            <w:vAlign w:val="bottom"/>
            <w:gridSpan w:val="2"/>
          </w:tcPr>
          <w:p>
            <w:pPr>
              <w:spacing w:after="0"/>
              <w:rPr>
                <w:sz w:val="20"/>
                <w:szCs w:val="20"/>
                <w:color w:val="auto"/>
              </w:rPr>
            </w:pPr>
            <w:r>
              <w:rPr>
                <w:rFonts w:ascii="Arial" w:cs="Arial" w:eastAsia="Arial" w:hAnsi="Arial"/>
                <w:sz w:val="19"/>
                <w:szCs w:val="19"/>
                <w:color w:val="auto"/>
              </w:rPr>
              <w:t>Earnings/(loss) per share, basic and diluted</w:t>
            </w:r>
            <w:r>
              <w:rPr>
                <w:rFonts w:ascii="Arial" w:cs="Arial" w:eastAsia="Arial" w:hAnsi="Arial"/>
                <w:sz w:val="10"/>
                <w:szCs w:val="10"/>
                <w:color w:val="auto"/>
              </w:rPr>
              <w:t>(1)</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Pr>
          <w:p>
            <w:pPr>
              <w:jc w:val="right"/>
              <w:ind w:right="24"/>
              <w:spacing w:after="0"/>
              <w:rPr>
                <w:sz w:val="20"/>
                <w:szCs w:val="20"/>
                <w:color w:val="auto"/>
              </w:rPr>
            </w:pPr>
            <w:r>
              <w:rPr>
                <w:rFonts w:ascii="Arial" w:cs="Arial" w:eastAsia="Arial" w:hAnsi="Arial"/>
                <w:sz w:val="19"/>
                <w:szCs w:val="19"/>
                <w:color w:val="auto"/>
              </w:rPr>
              <w:t>0.07</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0.91</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0.54</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0.04</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(0.39)</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number of shares, basic</w:t>
            </w:r>
            <w:r>
              <w:rPr>
                <w:rFonts w:ascii="Arial" w:cs="Arial" w:eastAsia="Arial" w:hAnsi="Arial"/>
                <w:sz w:val="10"/>
                <w:szCs w:val="10"/>
                <w:color w:val="auto"/>
              </w:rPr>
              <w:t>(1)</w:t>
            </w:r>
          </w:p>
        </w:tc>
        <w:tc>
          <w:tcPr>
            <w:tcW w:w="2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w w:val="96"/>
              </w:rPr>
              <w:t>56,093,775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62,863,665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78,633,820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80,496,314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80,534,702</w:t>
            </w:r>
          </w:p>
        </w:tc>
      </w:tr>
      <w:tr>
        <w:trPr>
          <w:trHeight w:val="243"/>
        </w:trPr>
        <w:tc>
          <w:tcPr>
            <w:tcW w:w="4240" w:type="dxa"/>
            <w:vAlign w:val="bottom"/>
            <w:gridSpan w:val="2"/>
          </w:tcPr>
          <w:p>
            <w:pPr>
              <w:spacing w:after="0"/>
              <w:rPr>
                <w:sz w:val="20"/>
                <w:szCs w:val="20"/>
                <w:color w:val="auto"/>
              </w:rPr>
            </w:pPr>
            <w:r>
              <w:rPr>
                <w:rFonts w:ascii="Arial" w:cs="Arial" w:eastAsia="Arial" w:hAnsi="Arial"/>
                <w:sz w:val="19"/>
                <w:szCs w:val="19"/>
                <w:color w:val="auto"/>
              </w:rPr>
              <w:t>Weighted average number of shares, diluted</w:t>
            </w:r>
            <w:r>
              <w:rPr>
                <w:rFonts w:ascii="Arial" w:cs="Arial" w:eastAsia="Arial" w:hAnsi="Arial"/>
                <w:sz w:val="10"/>
                <w:szCs w:val="10"/>
                <w:color w:val="auto"/>
              </w:rPr>
              <w:t>(1)</w:t>
            </w:r>
          </w:p>
        </w:tc>
        <w:tc>
          <w:tcPr>
            <w:tcW w:w="2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9"/>
                <w:szCs w:val="19"/>
                <w:color w:val="auto"/>
                <w:w w:val="96"/>
              </w:rPr>
              <w:t>56,695,519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96"/>
              </w:rPr>
              <w:t>62,863,665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96"/>
              </w:rPr>
              <w:t>78,800,192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w w:val="94"/>
              </w:rPr>
              <w:t>80,610,420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w w:val="94"/>
              </w:rPr>
              <w:t>80,534,702</w:t>
            </w:r>
          </w:p>
        </w:tc>
      </w:tr>
      <w:tr>
        <w:trPr>
          <w:trHeight w:val="243"/>
        </w:trPr>
        <w:tc>
          <w:tcPr>
            <w:tcW w:w="20" w:type="dxa"/>
            <w:vAlign w:val="bottom"/>
          </w:tcPr>
          <w:p>
            <w:pPr>
              <w:spacing w:after="0"/>
              <w:rPr>
                <w:sz w:val="21"/>
                <w:szCs w:val="21"/>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19"/>
                <w:szCs w:val="19"/>
                <w:color w:val="auto"/>
              </w:rPr>
              <w:t>Dividends declared per common share</w:t>
            </w:r>
            <w:r>
              <w:rPr>
                <w:rFonts w:ascii="Arial" w:cs="Arial" w:eastAsia="Arial" w:hAnsi="Arial"/>
                <w:sz w:val="10"/>
                <w:szCs w:val="10"/>
                <w:color w:val="auto"/>
              </w:rPr>
              <w:t>(1)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0.11</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0.45</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0.50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0.56</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0.56</w:t>
            </w:r>
          </w:p>
        </w:tc>
      </w:tr>
      <w:tr>
        <w:trPr>
          <w:trHeight w:val="247"/>
        </w:trPr>
        <w:tc>
          <w:tcPr>
            <w:tcW w:w="4240" w:type="dxa"/>
            <w:vAlign w:val="bottom"/>
            <w:gridSpan w:val="2"/>
          </w:tcPr>
          <w:p>
            <w:pPr>
              <w:spacing w:after="0"/>
              <w:rPr>
                <w:sz w:val="20"/>
                <w:szCs w:val="20"/>
                <w:color w:val="auto"/>
              </w:rPr>
            </w:pPr>
            <w:r>
              <w:rPr>
                <w:rFonts w:ascii="Arial" w:cs="Arial" w:eastAsia="Arial" w:hAnsi="Arial"/>
                <w:sz w:val="19"/>
                <w:szCs w:val="19"/>
                <w:color w:val="auto"/>
              </w:rPr>
              <w:t>Dividends declared per preference share</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1.60</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2.19</w:t>
            </w:r>
          </w:p>
        </w:tc>
      </w:tr>
      <w:tr>
        <w:trPr>
          <w:trHeight w:val="33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2</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w w:val="88"/>
              </w:rPr>
              <w:t>As of December 31,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69"/>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5"/>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43"/>
              <w:spacing w:after="0" w:line="169" w:lineRule="exact"/>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23"/>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4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11"/>
          </w:tcPr>
          <w:p>
            <w:pPr>
              <w:jc w:val="center"/>
              <w:ind w:left="406"/>
              <w:spacing w:after="0"/>
              <w:rPr>
                <w:sz w:val="20"/>
                <w:szCs w:val="20"/>
                <w:color w:val="auto"/>
              </w:rPr>
            </w:pPr>
            <w:r>
              <w:rPr>
                <w:rFonts w:ascii="Arial" w:cs="Arial" w:eastAsia="Arial" w:hAnsi="Arial"/>
                <w:sz w:val="16"/>
                <w:szCs w:val="16"/>
                <w:b w:val="1"/>
                <w:bCs w:val="1"/>
                <w:color w:val="auto"/>
                <w:w w:val="88"/>
              </w:rPr>
              <w:t>(in thousands of U.S. dollars)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4640" w:type="dxa"/>
            <w:vAlign w:val="bottom"/>
            <w:shd w:val="clear" w:color="auto" w:fill="E5FFFF"/>
          </w:tcPr>
          <w:p>
            <w:pPr>
              <w:spacing w:after="0" w:line="211" w:lineRule="exact"/>
              <w:rPr>
                <w:sz w:val="20"/>
                <w:szCs w:val="20"/>
                <w:color w:val="auto"/>
              </w:rPr>
            </w:pPr>
            <w:r>
              <w:rPr>
                <w:rFonts w:ascii="Arial" w:cs="Arial" w:eastAsia="Arial" w:hAnsi="Arial"/>
                <w:sz w:val="19"/>
                <w:szCs w:val="19"/>
                <w:b w:val="1"/>
                <w:bCs w:val="1"/>
                <w:color w:val="auto"/>
              </w:rPr>
              <w:t>CONSOLIDATED STATEMENT OF FINANCIAL</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r>
      <w:tr>
        <w:trPr>
          <w:trHeight w:val="249"/>
        </w:trPr>
        <w:tc>
          <w:tcPr>
            <w:tcW w:w="464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POSITION DATA</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20" w:type="dxa"/>
            <w:vAlign w:val="bottom"/>
            <w:gridSpan w:val="2"/>
          </w:tcPr>
          <w:p>
            <w:pPr>
              <w:jc w:val="right"/>
              <w:ind w:right="100"/>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110,978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103,798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9"/>
                <w:szCs w:val="19"/>
                <w:color w:val="auto"/>
                <w:w w:val="75"/>
              </w:rPr>
              <w:t>$</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211,974</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9"/>
                <w:szCs w:val="19"/>
                <w:color w:val="auto"/>
                <w:w w:val="75"/>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302,988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9"/>
                <w:szCs w:val="19"/>
                <w:color w:val="auto"/>
                <w:w w:val="75"/>
              </w:rPr>
              <w:t>$</w:t>
            </w: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227,024</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Short-term investments</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104,674</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4,500</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28,103</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6,000</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18,000</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Restricted cash</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22,826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62,718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42</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Investment in associate and joint venture</w:t>
            </w:r>
            <w:r>
              <w:rPr>
                <w:rFonts w:ascii="Arial" w:cs="Arial" w:eastAsia="Arial" w:hAnsi="Arial"/>
                <w:sz w:val="10"/>
                <w:szCs w:val="10"/>
                <w:color w:val="auto"/>
              </w:rPr>
              <w:t>(2)</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6,856</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6,326</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6,603</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6,274</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6,265</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Tangible fixed assets</w:t>
            </w:r>
            <w:r>
              <w:rPr>
                <w:rFonts w:ascii="Arial" w:cs="Arial" w:eastAsia="Arial" w:hAnsi="Arial"/>
                <w:sz w:val="10"/>
                <w:szCs w:val="10"/>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426,880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6"/>
              </w:rPr>
              <w:t>1,529,720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2,809,517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w w:val="99"/>
              </w:rPr>
              <w:t>3,400,270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3,889,047</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Vessels under construction</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217,322</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120,295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142,776</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178,405</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96,356</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Vessel held under finance lease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222,004</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Total assets</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908,768</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1,816,679</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3,269,971</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9"/>
              </w:rPr>
              <w:t>4,039,621</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89"/>
              </w:rPr>
              <w:t>4,515,164</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Borrowings, current portion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25,753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100,320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116,431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636,987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147,448</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Borrowings, non-current portion</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228,515</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1,014,754</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1,778,845</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9"/>
              </w:rPr>
              <w:t>1,737,500</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89"/>
              </w:rPr>
              <w:t>2,504,578</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Finance lease liability, current portion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5,946</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non-current portion</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120" w:type="dxa"/>
            <w:vAlign w:val="bottom"/>
            <w:gridSpan w:val="3"/>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214,455</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Share capital</w:t>
            </w:r>
            <w:r>
              <w:rPr>
                <w:rFonts w:ascii="Arial" w:cs="Arial" w:eastAsia="Arial" w:hAnsi="Arial"/>
                <w:sz w:val="10"/>
                <w:szCs w:val="10"/>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629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629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810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810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810</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shares</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46</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Equity attributable to owners of the Group</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603,271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639,533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929,391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w w:val="99"/>
              </w:rPr>
              <w:t>1,001,674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945,643</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61"/>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323,646</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506,246</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564,039</w:t>
            </w:r>
          </w:p>
        </w:tc>
      </w:tr>
      <w:tr>
        <w:trPr>
          <w:trHeight w:val="246"/>
        </w:trPr>
        <w:tc>
          <w:tcPr>
            <w:tcW w:w="4640" w:type="dxa"/>
            <w:vAlign w:val="bottom"/>
          </w:tcPr>
          <w:p>
            <w:pPr>
              <w:spacing w:after="0"/>
              <w:rPr>
                <w:sz w:val="20"/>
                <w:szCs w:val="20"/>
                <w:color w:val="auto"/>
              </w:rPr>
            </w:pPr>
            <w:r>
              <w:rPr>
                <w:rFonts w:ascii="Arial" w:cs="Arial" w:eastAsia="Arial" w:hAnsi="Arial"/>
                <w:sz w:val="19"/>
                <w:szCs w:val="19"/>
                <w:color w:val="auto"/>
              </w:rPr>
              <w:t>Total equity</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603,271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639,533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1,253,037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w w:val="99"/>
              </w:rPr>
              <w:t>1,507,920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1,509,682</w:t>
            </w:r>
          </w:p>
        </w:tc>
      </w:tr>
      <w:tr>
        <w:trPr>
          <w:trHeight w:val="199"/>
        </w:trPr>
        <w:tc>
          <w:tcPr>
            <w:tcW w:w="46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9"/>
          </w:tcPr>
          <w:p>
            <w:pPr>
              <w:jc w:val="center"/>
              <w:ind w:left="626"/>
              <w:spacing w:after="0"/>
              <w:rPr>
                <w:sz w:val="20"/>
                <w:szCs w:val="20"/>
                <w:color w:val="auto"/>
              </w:rPr>
            </w:pPr>
            <w:r>
              <w:rPr>
                <w:rFonts w:ascii="Arial" w:cs="Arial" w:eastAsia="Arial" w:hAnsi="Arial"/>
                <w:sz w:val="16"/>
                <w:szCs w:val="16"/>
                <w:b w:val="1"/>
                <w:bCs w:val="1"/>
                <w:color w:val="auto"/>
                <w:w w:val="88"/>
              </w:rPr>
              <w:t>Year Ended December 31,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69"/>
        </w:trPr>
        <w:tc>
          <w:tcPr>
            <w:tcW w:w="4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5"/>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6"/>
              <w:spacing w:after="0" w:line="169" w:lineRule="exact"/>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3"/>
              <w:spacing w:after="0" w:line="169" w:lineRule="exact"/>
              <w:rPr>
                <w:sz w:val="20"/>
                <w:szCs w:val="20"/>
                <w:color w:val="auto"/>
              </w:rPr>
            </w:pPr>
            <w:r>
              <w:rPr>
                <w:rFonts w:ascii="Arial" w:cs="Arial" w:eastAsia="Arial" w:hAnsi="Arial"/>
                <w:sz w:val="16"/>
                <w:szCs w:val="16"/>
                <w:b w:val="1"/>
                <w:bCs w:val="1"/>
                <w:color w:val="auto"/>
              </w:rPr>
              <w:t>2014</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3"/>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4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11"/>
          </w:tcPr>
          <w:p>
            <w:pPr>
              <w:jc w:val="center"/>
              <w:ind w:left="386"/>
              <w:spacing w:after="0"/>
              <w:rPr>
                <w:sz w:val="20"/>
                <w:szCs w:val="20"/>
                <w:color w:val="auto"/>
              </w:rPr>
            </w:pPr>
            <w:r>
              <w:rPr>
                <w:rFonts w:ascii="Arial" w:cs="Arial" w:eastAsia="Arial" w:hAnsi="Arial"/>
                <w:sz w:val="16"/>
                <w:szCs w:val="16"/>
                <w:b w:val="1"/>
                <w:bCs w:val="1"/>
                <w:color w:val="auto"/>
                <w:w w:val="87"/>
              </w:rPr>
              <w:t>(in thousands of U.S. dollars)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0"/>
        </w:trPr>
        <w:tc>
          <w:tcPr>
            <w:tcW w:w="46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CONSOLIDATED CASH FLOW DATA</w:t>
            </w:r>
          </w:p>
        </w:tc>
        <w:tc>
          <w:tcPr>
            <w:tcW w:w="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40" w:type="dxa"/>
            <w:vAlign w:val="bottom"/>
            <w:shd w:val="clear" w:color="auto" w:fill="E5FFFF"/>
          </w:tcPr>
          <w:p>
            <w:pPr>
              <w:spacing w:after="0"/>
              <w:rPr>
                <w:sz w:val="19"/>
                <w:szCs w:val="19"/>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Net cash provided by operating activities</w:t>
            </w:r>
          </w:p>
        </w:tc>
        <w:tc>
          <w:tcPr>
            <w:tcW w:w="220" w:type="dxa"/>
            <w:vAlign w:val="bottom"/>
            <w:gridSpan w:val="2"/>
          </w:tcPr>
          <w:p>
            <w:pPr>
              <w:jc w:val="right"/>
              <w:ind w:right="100"/>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24,918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86,745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9"/>
                <w:szCs w:val="19"/>
                <w:color w:val="auto"/>
                <w:w w:val="94"/>
              </w:rPr>
              <w:t>$</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148,288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161,579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256,532</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Net cash used in investing activities</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(212,621)</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(935,516)</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w w:val="98"/>
              </w:rPr>
              <w:t>(1,386,656)</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8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(704,052)</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w w:val="98"/>
              </w:rPr>
              <w:t>(771,242)</w:t>
            </w:r>
          </w:p>
        </w:tc>
      </w:tr>
      <w:tr>
        <w:trPr>
          <w:trHeight w:val="246"/>
        </w:trPr>
        <w:tc>
          <w:tcPr>
            <w:tcW w:w="4640" w:type="dxa"/>
            <w:vAlign w:val="bottom"/>
          </w:tcPr>
          <w:p>
            <w:pPr>
              <w:spacing w:after="0"/>
              <w:rPr>
                <w:sz w:val="20"/>
                <w:szCs w:val="20"/>
                <w:color w:val="auto"/>
              </w:rPr>
            </w:pPr>
            <w:r>
              <w:rPr>
                <w:rFonts w:ascii="Arial" w:cs="Arial" w:eastAsia="Arial" w:hAnsi="Arial"/>
                <w:sz w:val="19"/>
                <w:szCs w:val="19"/>
                <w:color w:val="auto"/>
              </w:rPr>
              <w:t>Net cash provided by financing activities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278,811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840,481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1,346,762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634,317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439,766</w:t>
            </w:r>
          </w:p>
        </w:tc>
      </w:tr>
      <w:tr>
        <w:trPr>
          <w:trHeight w:val="199"/>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6"/>
                <w:szCs w:val="16"/>
                <w:b w:val="1"/>
                <w:bCs w:val="1"/>
                <w:color w:val="auto"/>
                <w:w w:val="89"/>
              </w:rPr>
              <w:t>Year Ended December 31,</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69"/>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85"/>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6"/>
              <w:spacing w:after="0" w:line="169" w:lineRule="exact"/>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3"/>
              <w:spacing w:after="0" w:line="169" w:lineRule="exact"/>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2016</w:t>
            </w:r>
          </w:p>
        </w:tc>
      </w:tr>
      <w:tr>
        <w:trPr>
          <w:trHeight w:val="223"/>
        </w:trPr>
        <w:tc>
          <w:tcPr>
            <w:tcW w:w="46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FLEET DATA</w:t>
            </w:r>
            <w:r>
              <w:rPr>
                <w:rFonts w:ascii="Arial" w:cs="Arial" w:eastAsia="Arial" w:hAnsi="Arial"/>
                <w:sz w:val="10"/>
                <w:szCs w:val="10"/>
                <w:color w:val="auto"/>
              </w:rPr>
              <w:t>(4)</w:t>
            </w:r>
          </w:p>
        </w:tc>
        <w:tc>
          <w:tcPr>
            <w:tcW w:w="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94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c>
          <w:tcPr>
            <w:tcW w:w="260" w:type="dxa"/>
            <w:vAlign w:val="bottom"/>
            <w:tcBorders>
              <w:top w:val="single" w:sz="8" w:color="auto"/>
            </w:tcBorders>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8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26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6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24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tcBorders>
              <w:top w:val="single" w:sz="8" w:color="auto"/>
            </w:tcBorders>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240" w:type="dxa"/>
            <w:vAlign w:val="bottom"/>
            <w:tcBorders>
              <w:top w:val="single" w:sz="8" w:color="auto"/>
            </w:tcBorders>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40" w:type="dxa"/>
            <w:vAlign w:val="bottom"/>
            <w:tcBorders>
              <w:top w:val="single" w:sz="8" w:color="auto"/>
            </w:tcBorders>
            <w:shd w:val="clear" w:color="auto" w:fill="E5FFFF"/>
          </w:tcPr>
          <w:p>
            <w:pPr>
              <w:spacing w:after="0"/>
              <w:rPr>
                <w:sz w:val="19"/>
                <w:szCs w:val="19"/>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Number of managed ships at end of period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14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1"/>
              <w:spacing w:after="0"/>
              <w:rPr>
                <w:sz w:val="20"/>
                <w:szCs w:val="20"/>
                <w:color w:val="auto"/>
              </w:rPr>
            </w:pPr>
            <w:r>
              <w:rPr>
                <w:rFonts w:ascii="Arial" w:cs="Arial" w:eastAsia="Arial" w:hAnsi="Arial"/>
                <w:sz w:val="19"/>
                <w:szCs w:val="19"/>
                <w:color w:val="auto"/>
              </w:rPr>
              <w:t>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21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9"/>
                <w:szCs w:val="19"/>
                <w:color w:val="auto"/>
              </w:rPr>
              <w:t>22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25</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Average number of managed ships during period</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14.0</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16.9</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80"/>
              <w:spacing w:after="0"/>
              <w:rPr>
                <w:sz w:val="20"/>
                <w:szCs w:val="20"/>
                <w:color w:val="auto"/>
              </w:rPr>
            </w:pPr>
            <w:r>
              <w:rPr>
                <w:rFonts w:ascii="Arial" w:cs="Arial" w:eastAsia="Arial" w:hAnsi="Arial"/>
                <w:sz w:val="19"/>
                <w:szCs w:val="19"/>
                <w:color w:val="auto"/>
              </w:rPr>
              <w:t>20.0</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21.7</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23.6</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Number of owned ships at end of period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1"/>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16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9"/>
                <w:szCs w:val="19"/>
                <w:color w:val="auto"/>
              </w:rPr>
              <w:t>19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22</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Average number of owned ships during period</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2.0</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5.0</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80"/>
              <w:spacing w:after="0"/>
              <w:rPr>
                <w:sz w:val="20"/>
                <w:szCs w:val="20"/>
                <w:color w:val="auto"/>
              </w:rPr>
            </w:pPr>
            <w:r>
              <w:rPr>
                <w:rFonts w:ascii="Arial" w:cs="Arial" w:eastAsia="Arial" w:hAnsi="Arial"/>
                <w:sz w:val="19"/>
                <w:szCs w:val="19"/>
                <w:color w:val="auto"/>
              </w:rPr>
              <w:t>12.4</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18.2</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19.8</w:t>
            </w:r>
          </w:p>
        </w:tc>
      </w:tr>
      <w:tr>
        <w:trPr>
          <w:trHeight w:val="243"/>
        </w:trPr>
        <w:tc>
          <w:tcPr>
            <w:tcW w:w="4640" w:type="dxa"/>
            <w:vAlign w:val="bottom"/>
          </w:tcPr>
          <w:p>
            <w:pPr>
              <w:spacing w:after="0"/>
              <w:rPr>
                <w:sz w:val="20"/>
                <w:szCs w:val="20"/>
                <w:color w:val="auto"/>
              </w:rPr>
            </w:pPr>
            <w:r>
              <w:rPr>
                <w:rFonts w:ascii="Arial" w:cs="Arial" w:eastAsia="Arial" w:hAnsi="Arial"/>
                <w:sz w:val="19"/>
                <w:szCs w:val="19"/>
                <w:color w:val="auto"/>
              </w:rPr>
              <w:t>Average age of owned ships (years)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1"/>
              <w:spacing w:after="0"/>
              <w:rPr>
                <w:sz w:val="20"/>
                <w:szCs w:val="20"/>
                <w:color w:val="auto"/>
              </w:rPr>
            </w:pPr>
            <w:r>
              <w:rPr>
                <w:rFonts w:ascii="Arial" w:cs="Arial" w:eastAsia="Arial" w:hAnsi="Arial"/>
                <w:sz w:val="19"/>
                <w:szCs w:val="19"/>
                <w:color w:val="auto"/>
              </w:rPr>
              <w:t>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4.4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9"/>
                <w:szCs w:val="19"/>
                <w:color w:val="auto"/>
              </w:rPr>
              <w:t>5.2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5.1</w:t>
            </w:r>
          </w:p>
        </w:tc>
      </w:tr>
      <w:tr>
        <w:trPr>
          <w:trHeight w:val="243"/>
        </w:trPr>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Total calendar days for owned and bareboat fleet</w:t>
            </w: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732</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1,832</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80"/>
              <w:spacing w:after="0"/>
              <w:rPr>
                <w:sz w:val="20"/>
                <w:szCs w:val="20"/>
                <w:color w:val="auto"/>
              </w:rPr>
            </w:pPr>
            <w:r>
              <w:rPr>
                <w:rFonts w:ascii="Arial" w:cs="Arial" w:eastAsia="Arial" w:hAnsi="Arial"/>
                <w:sz w:val="19"/>
                <w:szCs w:val="19"/>
                <w:color w:val="auto"/>
              </w:rPr>
              <w:t>4,520</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2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6,638</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7,568</w:t>
            </w:r>
          </w:p>
        </w:tc>
      </w:tr>
      <w:tr>
        <w:trPr>
          <w:trHeight w:val="247"/>
        </w:trPr>
        <w:tc>
          <w:tcPr>
            <w:tcW w:w="4640" w:type="dxa"/>
            <w:vAlign w:val="bottom"/>
          </w:tcPr>
          <w:p>
            <w:pPr>
              <w:spacing w:after="0"/>
              <w:rPr>
                <w:sz w:val="20"/>
                <w:szCs w:val="20"/>
                <w:color w:val="auto"/>
              </w:rPr>
            </w:pPr>
            <w:r>
              <w:rPr>
                <w:rFonts w:ascii="Arial" w:cs="Arial" w:eastAsia="Arial" w:hAnsi="Arial"/>
                <w:sz w:val="19"/>
                <w:szCs w:val="19"/>
                <w:color w:val="auto"/>
              </w:rPr>
              <w:t>Total operating days for owned and bareboat fleet</w:t>
            </w:r>
            <w:r>
              <w:rPr>
                <w:rFonts w:ascii="Arial" w:cs="Arial" w:eastAsia="Arial" w:hAnsi="Arial"/>
                <w:sz w:val="10"/>
                <w:szCs w:val="10"/>
                <w:color w:val="auto"/>
              </w:rPr>
              <w:t>(5)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732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1"/>
              <w:spacing w:after="0"/>
              <w:rPr>
                <w:sz w:val="20"/>
                <w:szCs w:val="20"/>
                <w:color w:val="auto"/>
              </w:rPr>
            </w:pPr>
            <w:r>
              <w:rPr>
                <w:rFonts w:ascii="Arial" w:cs="Arial" w:eastAsia="Arial" w:hAnsi="Arial"/>
                <w:sz w:val="19"/>
                <w:szCs w:val="19"/>
                <w:color w:val="auto"/>
              </w:rPr>
              <w:t>1,808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4,392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9"/>
                <w:szCs w:val="19"/>
                <w:color w:val="auto"/>
              </w:rPr>
              <w:t>6,097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9"/>
                <w:szCs w:val="19"/>
                <w:color w:val="auto"/>
              </w:rPr>
              <w:t>7,439</w:t>
            </w:r>
          </w:p>
        </w:tc>
      </w:tr>
      <w:tr>
        <w:trPr>
          <w:trHeight w:val="338"/>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9"/>
        </w:trPr>
        <w:tc>
          <w:tcPr>
            <w:tcW w:w="4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center"/>
              <w:ind w:left="550"/>
              <w:spacing w:after="0"/>
              <w:rPr>
                <w:sz w:val="20"/>
                <w:szCs w:val="20"/>
                <w:color w:val="auto"/>
              </w:rPr>
            </w:pPr>
            <w:r>
              <w:rPr>
                <w:rFonts w:ascii="Arial" w:cs="Arial" w:eastAsia="Arial" w:hAnsi="Arial"/>
                <w:sz w:val="16"/>
                <w:szCs w:val="16"/>
                <w:b w:val="1"/>
                <w:bCs w:val="1"/>
                <w:color w:val="auto"/>
                <w:w w:val="88"/>
              </w:rPr>
              <w:t>Year Ended December 31,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69"/>
        </w:trPr>
        <w:tc>
          <w:tcPr>
            <w:tcW w:w="4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jc w:val="center"/>
              <w:ind w:left="570"/>
              <w:spacing w:after="0"/>
              <w:rPr>
                <w:sz w:val="20"/>
                <w:szCs w:val="20"/>
                <w:color w:val="auto"/>
              </w:rPr>
            </w:pPr>
            <w:r>
              <w:rPr>
                <w:rFonts w:ascii="Arial" w:cs="Arial" w:eastAsia="Arial" w:hAnsi="Arial"/>
                <w:sz w:val="16"/>
                <w:szCs w:val="16"/>
                <w:b w:val="1"/>
                <w:bCs w:val="1"/>
                <w:color w:val="auto"/>
                <w:w w:val="88"/>
              </w:rPr>
              <w:t>(in thousands of U.S. dollars)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47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OTHER FINANCIAL DATA</w:t>
            </w:r>
          </w:p>
        </w:tc>
        <w:tc>
          <w:tcPr>
            <w:tcW w:w="26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EBITDA</w:t>
            </w:r>
            <w:r>
              <w:rPr>
                <w:rFonts w:ascii="Arial" w:cs="Arial" w:eastAsia="Arial" w:hAnsi="Arial"/>
                <w:sz w:val="10"/>
                <w:szCs w:val="10"/>
                <w:color w:val="auto"/>
              </w:rPr>
              <w:t>(6)</w:t>
            </w:r>
          </w:p>
        </w:tc>
        <w:tc>
          <w:tcPr>
            <w:tcW w:w="260" w:type="dxa"/>
            <w:vAlign w:val="bottom"/>
          </w:tcPr>
          <w:p>
            <w:pPr>
              <w:jc w:val="right"/>
              <w:ind w:right="43"/>
              <w:spacing w:after="0"/>
              <w:rPr>
                <w:sz w:val="20"/>
                <w:szCs w:val="20"/>
                <w:color w:val="auto"/>
              </w:rPr>
            </w:pPr>
            <w:r>
              <w:rPr>
                <w:rFonts w:ascii="Arial" w:cs="Arial" w:eastAsia="Arial" w:hAnsi="Arial"/>
                <w:sz w:val="19"/>
                <w:szCs w:val="19"/>
                <w:color w:val="auto"/>
                <w:w w:val="94"/>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34,594</w:t>
            </w:r>
          </w:p>
        </w:tc>
        <w:tc>
          <w:tcPr>
            <w:tcW w:w="5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102,193</w:t>
            </w:r>
          </w:p>
        </w:tc>
        <w:tc>
          <w:tcPr>
            <w:tcW w:w="5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217,552</w:t>
            </w:r>
          </w:p>
        </w:tc>
        <w:tc>
          <w:tcPr>
            <w:tcW w:w="30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262,170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$ 301,023</w:t>
            </w:r>
          </w:p>
        </w:tc>
      </w:tr>
      <w:tr>
        <w:trPr>
          <w:trHeight w:val="243"/>
        </w:trPr>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Adjusted EBITDA</w:t>
            </w:r>
            <w:r>
              <w:rPr>
                <w:rFonts w:ascii="Arial" w:cs="Arial" w:eastAsia="Arial" w:hAnsi="Arial"/>
                <w:sz w:val="10"/>
                <w:szCs w:val="10"/>
                <w:color w:val="auto"/>
              </w:rPr>
              <w:t>(6)</w:t>
            </w: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34,047</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101,617</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217,172</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262,969</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302,386</w:t>
            </w:r>
          </w:p>
        </w:tc>
      </w:tr>
      <w:tr>
        <w:trPr>
          <w:trHeight w:val="230"/>
        </w:trPr>
        <w:tc>
          <w:tcPr>
            <w:tcW w:w="4720" w:type="dxa"/>
            <w:vAlign w:val="bottom"/>
          </w:tcPr>
          <w:p>
            <w:pPr>
              <w:spacing w:after="0"/>
              <w:rPr>
                <w:sz w:val="20"/>
                <w:szCs w:val="20"/>
                <w:color w:val="auto"/>
              </w:rPr>
            </w:pPr>
            <w:r>
              <w:rPr>
                <w:rFonts w:ascii="Arial" w:cs="Arial" w:eastAsia="Arial" w:hAnsi="Arial"/>
                <w:sz w:val="19"/>
                <w:szCs w:val="19"/>
                <w:color w:val="auto"/>
              </w:rPr>
              <w:t>Capital expenditures: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Payments for fixed assets</w:t>
            </w: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110,765</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1,038,153</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1,364,283</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728,446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761,513</w:t>
            </w: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Common share dividend declared</w:t>
            </w:r>
            <w:r>
              <w:rPr>
                <w:rFonts w:ascii="Arial" w:cs="Arial" w:eastAsia="Arial" w:hAnsi="Arial"/>
                <w:sz w:val="10"/>
                <w:szCs w:val="10"/>
                <w:color w:val="auto"/>
              </w:rPr>
              <w:t>(2)</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6,915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28,288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39,840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45,078</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45,101</w:t>
            </w:r>
          </w:p>
        </w:tc>
      </w:tr>
      <w:tr>
        <w:trPr>
          <w:trHeight w:val="243"/>
        </w:trPr>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 dividend declared</w:t>
            </w: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7,379</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10,063</w:t>
            </w:r>
          </w:p>
        </w:tc>
      </w:tr>
    </w:tbl>
    <w:p>
      <w:pPr>
        <w:spacing w:after="0" w:line="304" w:lineRule="exact"/>
        <w:rPr>
          <w:sz w:val="20"/>
          <w:szCs w:val="20"/>
          <w:color w:val="auto"/>
        </w:rPr>
      </w:pPr>
    </w:p>
    <w:p>
      <w:pPr>
        <w:ind w:left="280" w:hanging="200"/>
        <w:spacing w:after="0"/>
        <w:tabs>
          <w:tab w:leader="none" w:pos="280" w:val="left"/>
        </w:tabs>
        <w:numPr>
          <w:ilvl w:val="0"/>
          <w:numId w:val="7"/>
        </w:numPr>
        <w:rPr>
          <w:rFonts w:ascii="Arial" w:cs="Arial" w:eastAsia="Arial" w:hAnsi="Arial"/>
          <w:sz w:val="9"/>
          <w:szCs w:val="9"/>
          <w:color w:val="auto"/>
        </w:rPr>
      </w:pPr>
      <w:r>
        <w:rPr>
          <w:rFonts w:ascii="Arial" w:cs="Arial" w:eastAsia="Arial" w:hAnsi="Arial"/>
          <w:sz w:val="16"/>
          <w:szCs w:val="16"/>
          <w:color w:val="auto"/>
        </w:rPr>
        <w:t>Gives effect to the 238-for-1 share split effected on March 13, 2012.</w:t>
      </w:r>
    </w:p>
    <w:p>
      <w:pPr>
        <w:spacing w:after="0" w:line="86" w:lineRule="exact"/>
        <w:rPr>
          <w:rFonts w:ascii="Arial" w:cs="Arial" w:eastAsia="Arial" w:hAnsi="Arial"/>
          <w:sz w:val="9"/>
          <w:szCs w:val="9"/>
          <w:color w:val="auto"/>
        </w:rPr>
      </w:pPr>
    </w:p>
    <w:p>
      <w:pPr>
        <w:ind w:left="280" w:right="20" w:hanging="200"/>
        <w:spacing w:after="0" w:line="254" w:lineRule="auto"/>
        <w:tabs>
          <w:tab w:leader="none" w:pos="280" w:val="left"/>
        </w:tabs>
        <w:numPr>
          <w:ilvl w:val="0"/>
          <w:numId w:val="7"/>
        </w:numPr>
        <w:rPr>
          <w:rFonts w:ascii="Arial" w:cs="Arial" w:eastAsia="Arial" w:hAnsi="Arial"/>
          <w:sz w:val="8"/>
          <w:szCs w:val="8"/>
          <w:color w:val="auto"/>
        </w:rPr>
      </w:pPr>
      <w:r>
        <w:rPr>
          <w:rFonts w:ascii="Arial" w:cs="Arial" w:eastAsia="Arial" w:hAnsi="Arial"/>
          <w:sz w:val="15"/>
          <w:szCs w:val="15"/>
          <w:color w:val="auto"/>
        </w:rPr>
        <w:t>Consists of our 25.0% ownership interest in Egypt LNG and our 33.33% ownership interest in the Cool Pool. On October 1, 2015, GasLog, Dynagas and Golar signed a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w:t>
      </w:r>
    </w:p>
    <w:p>
      <w:pPr>
        <w:spacing w:after="0" w:line="59" w:lineRule="exact"/>
        <w:rPr>
          <w:rFonts w:ascii="Arial" w:cs="Arial" w:eastAsia="Arial" w:hAnsi="Arial"/>
          <w:sz w:val="8"/>
          <w:szCs w:val="8"/>
          <w:color w:val="auto"/>
        </w:rPr>
      </w:pPr>
    </w:p>
    <w:p>
      <w:pPr>
        <w:ind w:left="280" w:right="40" w:hanging="200"/>
        <w:spacing w:after="0" w:line="251" w:lineRule="auto"/>
        <w:tabs>
          <w:tab w:leader="none" w:pos="280" w:val="left"/>
        </w:tabs>
        <w:numPr>
          <w:ilvl w:val="0"/>
          <w:numId w:val="7"/>
        </w:numPr>
        <w:rPr>
          <w:rFonts w:ascii="Arial" w:cs="Arial" w:eastAsia="Arial" w:hAnsi="Arial"/>
          <w:sz w:val="9"/>
          <w:szCs w:val="9"/>
          <w:color w:val="auto"/>
        </w:rPr>
      </w:pPr>
      <w:r>
        <w:rPr>
          <w:rFonts w:ascii="Arial" w:cs="Arial" w:eastAsia="Arial" w:hAnsi="Arial"/>
          <w:sz w:val="16"/>
          <w:szCs w:val="16"/>
          <w:color w:val="auto"/>
        </w:rPr>
        <w:t>Includes delivered ships (including dry-docking component of vessel cost) as well as office property and other tangible assets, less accumulated depreciation. See Note 6 to our consolidated financial statements included elsewhere in this annual report.</w:t>
      </w:r>
    </w:p>
    <w:p>
      <w:pPr>
        <w:spacing w:after="0" w:line="60" w:lineRule="exact"/>
        <w:rPr>
          <w:rFonts w:ascii="Arial" w:cs="Arial" w:eastAsia="Arial" w:hAnsi="Arial"/>
          <w:sz w:val="9"/>
          <w:szCs w:val="9"/>
          <w:color w:val="auto"/>
        </w:rPr>
      </w:pPr>
    </w:p>
    <w:p>
      <w:pPr>
        <w:ind w:left="280" w:right="260" w:hanging="200"/>
        <w:spacing w:after="0" w:line="264" w:lineRule="auto"/>
        <w:tabs>
          <w:tab w:leader="none" w:pos="280" w:val="left"/>
        </w:tabs>
        <w:numPr>
          <w:ilvl w:val="0"/>
          <w:numId w:val="7"/>
        </w:numPr>
        <w:rPr>
          <w:rFonts w:ascii="Arial" w:cs="Arial" w:eastAsia="Arial" w:hAnsi="Arial"/>
          <w:sz w:val="8"/>
          <w:szCs w:val="8"/>
          <w:color w:val="auto"/>
        </w:rPr>
      </w:pPr>
      <w:r>
        <w:rPr>
          <w:rFonts w:ascii="Arial" w:cs="Arial" w:eastAsia="Arial" w:hAnsi="Arial"/>
          <w:sz w:val="15"/>
          <w:szCs w:val="15"/>
          <w:color w:val="auto"/>
        </w:rPr>
        <w:t>Presentation of fleet data does not include newbuildings on order during the relevant periods. The data presented regarding our owned fleet includes only our owned ships delivered prior to December 31, 2016 including the ships owned by GasLog Partners. The data presented regarding our managed fleet includes our wholly owned vessels as well as ships owned by GasLog Partners, Shell, Egypt LNG and Lepta Shipping that are operating under our management.</w:t>
      </w:r>
    </w:p>
    <w:p>
      <w:pPr>
        <w:spacing w:after="0" w:line="52" w:lineRule="exact"/>
        <w:rPr>
          <w:rFonts w:ascii="Arial" w:cs="Arial" w:eastAsia="Arial" w:hAnsi="Arial"/>
          <w:sz w:val="8"/>
          <w:szCs w:val="8"/>
          <w:color w:val="auto"/>
        </w:rPr>
      </w:pPr>
    </w:p>
    <w:p>
      <w:pPr>
        <w:ind w:left="280" w:right="60" w:hanging="200"/>
        <w:spacing w:after="0" w:line="302" w:lineRule="auto"/>
        <w:tabs>
          <w:tab w:leader="none" w:pos="280" w:val="left"/>
        </w:tabs>
        <w:numPr>
          <w:ilvl w:val="0"/>
          <w:numId w:val="7"/>
        </w:numPr>
        <w:rPr>
          <w:rFonts w:ascii="Arial" w:cs="Arial" w:eastAsia="Arial" w:hAnsi="Arial"/>
          <w:sz w:val="8"/>
          <w:szCs w:val="8"/>
          <w:color w:val="auto"/>
        </w:rPr>
      </w:pPr>
      <w:r>
        <w:rPr>
          <w:rFonts w:ascii="Arial" w:cs="Arial" w:eastAsia="Arial" w:hAnsi="Arial"/>
          <w:sz w:val="13"/>
          <w:szCs w:val="13"/>
          <w:color w:val="auto"/>
        </w:rPr>
        <w:t xml:space="preserve">The operating days for our owned and bareboat fleet are the total number of days in a given period that the vessels (including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our vessel on a bareboat charter) were in our possession less the total number of days off-hire not recoverable from the insurers. In 2016, operating days include 1,185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27" w:lineRule="exact"/>
        <w:rPr>
          <w:rFonts w:ascii="Arial" w:cs="Arial" w:eastAsia="Arial" w:hAnsi="Arial"/>
          <w:sz w:val="8"/>
          <w:szCs w:val="8"/>
          <w:color w:val="auto"/>
        </w:rPr>
      </w:pPr>
    </w:p>
    <w:p>
      <w:pPr>
        <w:ind w:left="280" w:hanging="200"/>
        <w:spacing w:after="0"/>
        <w:tabs>
          <w:tab w:leader="none" w:pos="280" w:val="left"/>
        </w:tabs>
        <w:numPr>
          <w:ilvl w:val="0"/>
          <w:numId w:val="7"/>
        </w:numPr>
        <w:rPr>
          <w:rFonts w:ascii="Arial" w:cs="Arial" w:eastAsia="Arial" w:hAnsi="Arial"/>
          <w:sz w:val="9"/>
          <w:szCs w:val="9"/>
          <w:color w:val="auto"/>
        </w:rPr>
      </w:pPr>
      <w:r>
        <w:rPr>
          <w:rFonts w:ascii="Arial" w:cs="Arial" w:eastAsia="Arial" w:hAnsi="Arial"/>
          <w:sz w:val="16"/>
          <w:szCs w:val="16"/>
          <w:b w:val="1"/>
          <w:bCs w:val="1"/>
          <w:color w:val="auto"/>
        </w:rPr>
        <w:t>Non-GAAP Financial Measures:</w:t>
      </w:r>
    </w:p>
    <w:p>
      <w:pPr>
        <w:spacing w:after="0" w:line="90" w:lineRule="exact"/>
        <w:rPr>
          <w:rFonts w:ascii="Arial" w:cs="Arial" w:eastAsia="Arial" w:hAnsi="Arial"/>
          <w:sz w:val="9"/>
          <w:szCs w:val="9"/>
          <w:color w:val="auto"/>
        </w:rPr>
      </w:pPr>
    </w:p>
    <w:p>
      <w:pPr>
        <w:ind w:left="280" w:right="60"/>
        <w:spacing w:after="0" w:line="249" w:lineRule="auto"/>
        <w:rPr>
          <w:rFonts w:ascii="Arial" w:cs="Arial" w:eastAsia="Arial" w:hAnsi="Arial"/>
          <w:sz w:val="9"/>
          <w:szCs w:val="9"/>
          <w:color w:val="auto"/>
        </w:rPr>
      </w:pPr>
      <w:r>
        <w:rPr>
          <w:rFonts w:ascii="Arial" w:cs="Arial" w:eastAsia="Arial" w:hAnsi="Arial"/>
          <w:sz w:val="15"/>
          <w:szCs w:val="15"/>
          <w:color w:val="auto"/>
        </w:rPr>
        <w:t>EBITDA is defined as earnings before depreciation, amortization, interest income and expense, gain/loss on swaps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interest, gain/loss on swaps,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64" w:lineRule="exact"/>
        <w:rPr>
          <w:rFonts w:ascii="Arial" w:cs="Arial" w:eastAsia="Arial" w:hAnsi="Arial"/>
          <w:sz w:val="9"/>
          <w:szCs w:val="9"/>
          <w:color w:val="auto"/>
        </w:rPr>
      </w:pPr>
    </w:p>
    <w:p>
      <w:pPr>
        <w:ind w:left="280" w:right="20"/>
        <w:spacing w:after="0" w:line="250" w:lineRule="auto"/>
        <w:rPr>
          <w:rFonts w:ascii="Arial" w:cs="Arial" w:eastAsia="Arial" w:hAnsi="Arial"/>
          <w:sz w:val="9"/>
          <w:szCs w:val="9"/>
          <w:color w:val="auto"/>
        </w:rPr>
      </w:pPr>
      <w:r>
        <w:rPr>
          <w:rFonts w:ascii="Arial" w:cs="Arial" w:eastAsia="Arial" w:hAnsi="Arial"/>
          <w:sz w:val="15"/>
          <w:szCs w:val="15"/>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65" w:lineRule="exact"/>
        <w:rPr>
          <w:rFonts w:ascii="Arial" w:cs="Arial" w:eastAsia="Arial" w:hAnsi="Arial"/>
          <w:sz w:val="9"/>
          <w:szCs w:val="9"/>
          <w:color w:val="auto"/>
        </w:rPr>
      </w:pPr>
    </w:p>
    <w:p>
      <w:pPr>
        <w:ind w:left="280" w:right="160"/>
        <w:spacing w:after="0"/>
        <w:rPr>
          <w:rFonts w:ascii="Arial" w:cs="Arial" w:eastAsia="Arial" w:hAnsi="Arial"/>
          <w:sz w:val="9"/>
          <w:szCs w:val="9"/>
          <w:color w:val="auto"/>
        </w:rPr>
      </w:pPr>
      <w:r>
        <w:rPr>
          <w:rFonts w:ascii="Arial" w:cs="Arial" w:eastAsia="Arial" w:hAnsi="Arial"/>
          <w:sz w:val="16"/>
          <w:szCs w:val="16"/>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0" w:name="page11"/>
    <w:bookmarkEnd w:id="10"/>
    <w:p>
      <w:pPr>
        <w:ind w:left="280"/>
        <w:spacing w:after="0"/>
        <w:rPr>
          <w:sz w:val="20"/>
          <w:szCs w:val="20"/>
          <w:color w:val="auto"/>
        </w:rPr>
      </w:pPr>
      <w:r>
        <w:rPr>
          <w:rFonts w:ascii="Arial" w:cs="Arial" w:eastAsia="Arial" w:hAnsi="Arial"/>
          <w:sz w:val="16"/>
          <w:szCs w:val="16"/>
          <w:color w:val="auto"/>
        </w:rPr>
        <w:t>as presented below may not be comparable to similarly titled measures of other companies in the shipping or other industries.</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Arial" w:cs="Arial" w:eastAsia="Arial" w:hAnsi="Arial"/>
                <w:sz w:val="16"/>
                <w:szCs w:val="16"/>
                <w:b w:val="1"/>
                <w:bCs w:val="1"/>
                <w:color w:val="auto"/>
              </w:rPr>
              <w:t>Reconciliation of EBITDA and Adjusted EBITDA to Profit: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05"/>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401"/>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w w:val="95"/>
              </w:rPr>
              <w:t>2012</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7"/>
          </w:tcPr>
          <w:p>
            <w:pPr>
              <w:jc w:val="right"/>
              <w:ind w:right="30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year</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4,250</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56,929</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50,765</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53,668</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28,051</w:t>
            </w:r>
          </w:p>
        </w:tc>
      </w:tr>
      <w:tr>
        <w:trPr>
          <w:trHeight w:val="243"/>
        </w:trPr>
        <w:tc>
          <w:tcPr>
            <w:tcW w:w="62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13,065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29,322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70,695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106,641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w w:val="93"/>
              </w:rPr>
              <w:t>122,957</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11,670</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27,851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71,579</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91,956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93"/>
              </w:rPr>
              <w:t>137,316</w:t>
            </w:r>
          </w:p>
        </w:tc>
      </w:tr>
      <w:tr>
        <w:trPr>
          <w:trHeight w:val="243"/>
        </w:trPr>
        <w:tc>
          <w:tcPr>
            <w:tcW w:w="620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(1,174)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10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6,783</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7"/>
              </w:rPr>
              <w:t>(11,498)</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24,787</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10,332</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13,419</w:t>
            </w:r>
          </w:p>
        </w:tc>
      </w:tr>
      <w:tr>
        <w:trPr>
          <w:trHeight w:val="257"/>
        </w:trPr>
        <w:tc>
          <w:tcPr>
            <w:tcW w:w="6200" w:type="dxa"/>
            <w:vAlign w:val="bottom"/>
            <w:gridSpan w:val="2"/>
          </w:tcPr>
          <w:p>
            <w:pPr>
              <w:spacing w:after="0"/>
              <w:rPr>
                <w:sz w:val="20"/>
                <w:szCs w:val="20"/>
                <w:color w:val="auto"/>
              </w:rPr>
            </w:pPr>
            <w:r>
              <w:rPr>
                <w:rFonts w:ascii="Arial" w:cs="Arial" w:eastAsia="Arial" w:hAnsi="Arial"/>
                <w:sz w:val="16"/>
                <w:szCs w:val="16"/>
                <w:b w:val="1"/>
                <w:bCs w:val="1"/>
                <w:color w:val="auto"/>
              </w:rPr>
              <w:t>EBITDA</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34,594</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102,193</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217,552</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262,170</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301,023</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10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(547)</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(380)</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1,363</w:t>
            </w:r>
          </w:p>
        </w:tc>
      </w:tr>
      <w:tr>
        <w:trPr>
          <w:trHeight w:val="250"/>
        </w:trPr>
        <w:tc>
          <w:tcPr>
            <w:tcW w:w="6200" w:type="dxa"/>
            <w:vAlign w:val="bottom"/>
            <w:gridSpan w:val="2"/>
          </w:tcPr>
          <w:p>
            <w:pPr>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34,047</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101,617</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217,172</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262,969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b w:val="1"/>
                <w:bCs w:val="1"/>
                <w:color w:val="auto"/>
                <w:w w:val="93"/>
              </w:rPr>
              <w:t>302,386</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Capitalization and Indebtedness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our capitalization as of December 31, 2016:</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9"/>
          <w:szCs w:val="19"/>
          <w:color w:val="auto"/>
        </w:rPr>
        <w:t>This information should be read in conjunction with “Item 5. Operating and Financial Review and Prospects”, and our consolidated financial statements and the related notes thereto included elsewhere in this annual report.</w:t>
      </w:r>
    </w:p>
    <w:tbl>
      <w:tblPr>
        <w:tblLayout w:type="fixed"/>
        <w:tblInd w:w="100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right="47"/>
              <w:spacing w:after="0" w:line="176" w:lineRule="exact"/>
              <w:rPr>
                <w:sz w:val="20"/>
                <w:szCs w:val="20"/>
                <w:color w:val="auto"/>
              </w:rPr>
            </w:pPr>
            <w:r>
              <w:rPr>
                <w:rFonts w:ascii="Arial" w:cs="Arial" w:eastAsia="Arial" w:hAnsi="Arial"/>
                <w:sz w:val="16"/>
                <w:szCs w:val="16"/>
                <w:b w:val="1"/>
                <w:bCs w:val="1"/>
                <w:color w:val="auto"/>
                <w:w w:val="84"/>
              </w:rPr>
              <w:t>As of</w:t>
            </w:r>
          </w:p>
        </w:tc>
      </w:tr>
      <w:tr>
        <w:trPr>
          <w:trHeight w:val="199"/>
        </w:trPr>
        <w:tc>
          <w:tcPr>
            <w:tcW w:w="7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b w:val="1"/>
                <w:bCs w:val="1"/>
                <w:color w:val="auto"/>
                <w:w w:val="88"/>
              </w:rPr>
              <w:t>December 31, 2016</w:t>
            </w:r>
          </w:p>
        </w:tc>
      </w:tr>
      <w:tr>
        <w:trPr>
          <w:trHeight w:val="145"/>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67"/>
              <w:spacing w:after="0" w:line="145" w:lineRule="exact"/>
              <w:rPr>
                <w:sz w:val="20"/>
                <w:szCs w:val="20"/>
                <w:color w:val="auto"/>
              </w:rPr>
            </w:pPr>
            <w:r>
              <w:rPr>
                <w:rFonts w:ascii="Arial" w:cs="Arial" w:eastAsia="Arial" w:hAnsi="Arial"/>
                <w:sz w:val="16"/>
                <w:szCs w:val="16"/>
                <w:b w:val="1"/>
                <w:bCs w:val="1"/>
                <w:color w:val="auto"/>
                <w:w w:val="87"/>
              </w:rPr>
              <w:t>(in thousands</w:t>
            </w:r>
          </w:p>
        </w:tc>
      </w:tr>
      <w:tr>
        <w:trPr>
          <w:trHeight w:val="199"/>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67"/>
              <w:spacing w:after="0"/>
              <w:rPr>
                <w:sz w:val="20"/>
                <w:szCs w:val="20"/>
                <w:color w:val="auto"/>
              </w:rPr>
            </w:pPr>
            <w:r>
              <w:rPr>
                <w:rFonts w:ascii="Arial" w:cs="Arial" w:eastAsia="Arial" w:hAnsi="Arial"/>
                <w:sz w:val="16"/>
                <w:szCs w:val="16"/>
                <w:b w:val="1"/>
                <w:bCs w:val="1"/>
                <w:color w:val="auto"/>
                <w:w w:val="88"/>
              </w:rPr>
              <w:t>of U.S. dollars)</w:t>
            </w:r>
          </w:p>
        </w:tc>
      </w:tr>
      <w:tr>
        <w:trPr>
          <w:trHeight w:val="230"/>
        </w:trPr>
        <w:tc>
          <w:tcPr>
            <w:tcW w:w="77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Debt:</w:t>
            </w:r>
            <w:r>
              <w:rPr>
                <w:rFonts w:ascii="Arial" w:cs="Arial" w:eastAsia="Arial" w:hAnsi="Arial"/>
                <w:sz w:val="10"/>
                <w:szCs w:val="10"/>
                <w:b w:val="1"/>
                <w:bCs w:val="1"/>
                <w:color w:val="auto"/>
              </w:rPr>
              <w:t>(1)</w:t>
            </w:r>
          </w:p>
        </w:tc>
        <w:tc>
          <w:tcPr>
            <w:tcW w:w="16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Borrowings, current portion</w:t>
            </w:r>
            <w:r>
              <w:rPr>
                <w:rFonts w:ascii="Arial" w:cs="Arial" w:eastAsia="Arial" w:hAnsi="Arial"/>
                <w:sz w:val="10"/>
                <w:szCs w:val="10"/>
                <w:color w:val="auto"/>
              </w:rPr>
              <w:t>(2)</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520" w:type="dxa"/>
            <w:vAlign w:val="bottom"/>
          </w:tcPr>
          <w:p>
            <w:pPr>
              <w:jc w:val="right"/>
              <w:ind w:right="47"/>
              <w:spacing w:after="0"/>
              <w:rPr>
                <w:sz w:val="20"/>
                <w:szCs w:val="20"/>
                <w:color w:val="auto"/>
              </w:rPr>
            </w:pPr>
            <w:r>
              <w:rPr>
                <w:rFonts w:ascii="Arial" w:cs="Arial" w:eastAsia="Arial" w:hAnsi="Arial"/>
                <w:sz w:val="19"/>
                <w:szCs w:val="19"/>
                <w:color w:val="auto"/>
              </w:rPr>
              <w:t>147,448</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Borrowings, non-current portion</w:t>
            </w:r>
            <w:r>
              <w:rPr>
                <w:rFonts w:ascii="Arial" w:cs="Arial" w:eastAsia="Arial" w:hAnsi="Arial"/>
                <w:sz w:val="10"/>
                <w:szCs w:val="10"/>
                <w:color w:val="auto"/>
              </w:rPr>
              <w:t>(2)</w:t>
            </w:r>
          </w:p>
        </w:tc>
        <w:tc>
          <w:tcPr>
            <w:tcW w:w="160" w:type="dxa"/>
            <w:vAlign w:val="bottom"/>
            <w:shd w:val="clear" w:color="auto" w:fill="E5FFFF"/>
          </w:tcPr>
          <w:p>
            <w:pPr>
              <w:spacing w:after="0"/>
              <w:rPr>
                <w:sz w:val="21"/>
                <w:szCs w:val="21"/>
                <w:color w:val="auto"/>
              </w:rPr>
            </w:pPr>
          </w:p>
        </w:tc>
        <w:tc>
          <w:tcPr>
            <w:tcW w:w="15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2,504,578</w:t>
            </w: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Finance lease liability, current portion</w:t>
            </w:r>
            <w:r>
              <w:rPr>
                <w:rFonts w:ascii="Arial" w:cs="Arial" w:eastAsia="Arial" w:hAnsi="Arial"/>
                <w:sz w:val="10"/>
                <w:szCs w:val="10"/>
                <w:color w:val="auto"/>
              </w:rPr>
              <w:t>(2)</w:t>
            </w:r>
          </w:p>
        </w:tc>
        <w:tc>
          <w:tcPr>
            <w:tcW w:w="160" w:type="dxa"/>
            <w:vAlign w:val="bottom"/>
          </w:tcPr>
          <w:p>
            <w:pPr>
              <w:spacing w:after="0"/>
              <w:rPr>
                <w:sz w:val="21"/>
                <w:szCs w:val="21"/>
                <w:color w:val="auto"/>
              </w:rPr>
            </w:pPr>
          </w:p>
        </w:tc>
        <w:tc>
          <w:tcPr>
            <w:tcW w:w="1520" w:type="dxa"/>
            <w:vAlign w:val="bottom"/>
          </w:tcPr>
          <w:p>
            <w:pPr>
              <w:jc w:val="right"/>
              <w:ind w:right="47"/>
              <w:spacing w:after="0"/>
              <w:rPr>
                <w:sz w:val="20"/>
                <w:szCs w:val="20"/>
                <w:color w:val="auto"/>
              </w:rPr>
            </w:pPr>
            <w:r>
              <w:rPr>
                <w:rFonts w:ascii="Arial" w:cs="Arial" w:eastAsia="Arial" w:hAnsi="Arial"/>
                <w:sz w:val="19"/>
                <w:szCs w:val="19"/>
                <w:color w:val="auto"/>
              </w:rPr>
              <w:t>5,946</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non-current portion</w:t>
            </w:r>
            <w:r>
              <w:rPr>
                <w:rFonts w:ascii="Arial" w:cs="Arial" w:eastAsia="Arial" w:hAnsi="Arial"/>
                <w:sz w:val="10"/>
                <w:szCs w:val="10"/>
                <w:color w:val="auto"/>
              </w:rPr>
              <w:t>(2)</w:t>
            </w:r>
          </w:p>
        </w:tc>
        <w:tc>
          <w:tcPr>
            <w:tcW w:w="160" w:type="dxa"/>
            <w:vAlign w:val="bottom"/>
            <w:tcBorders>
              <w:bottom w:val="single" w:sz="8" w:color="auto"/>
            </w:tcBorders>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rPr>
              <w:t>214,455</w:t>
            </w:r>
          </w:p>
        </w:tc>
      </w:tr>
      <w:tr>
        <w:trPr>
          <w:trHeight w:val="257"/>
        </w:trPr>
        <w:tc>
          <w:tcPr>
            <w:tcW w:w="7720" w:type="dxa"/>
            <w:vAlign w:val="bottom"/>
          </w:tcPr>
          <w:p>
            <w:pPr>
              <w:spacing w:after="0"/>
              <w:rPr>
                <w:sz w:val="20"/>
                <w:szCs w:val="20"/>
                <w:color w:val="auto"/>
              </w:rPr>
            </w:pPr>
            <w:r>
              <w:rPr>
                <w:rFonts w:ascii="Arial" w:cs="Arial" w:eastAsia="Arial" w:hAnsi="Arial"/>
                <w:sz w:val="19"/>
                <w:szCs w:val="19"/>
                <w:b w:val="1"/>
                <w:bCs w:val="1"/>
                <w:color w:val="auto"/>
              </w:rPr>
              <w:t>Total debt</w:t>
            </w: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2,872,427</w:t>
            </w:r>
          </w:p>
        </w:tc>
      </w:tr>
      <w:tr>
        <w:trPr>
          <w:trHeight w:val="230"/>
        </w:trPr>
        <w:tc>
          <w:tcPr>
            <w:tcW w:w="77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Equity:</w:t>
            </w:r>
          </w:p>
        </w:tc>
        <w:tc>
          <w:tcPr>
            <w:tcW w:w="16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Preference shares</w:t>
            </w:r>
            <w:r>
              <w:rPr>
                <w:rFonts w:ascii="Arial" w:cs="Arial" w:eastAsia="Arial" w:hAnsi="Arial"/>
                <w:sz w:val="10"/>
                <w:szCs w:val="10"/>
                <w:color w:val="auto"/>
              </w:rPr>
              <w:t>(3)</w:t>
            </w:r>
          </w:p>
        </w:tc>
        <w:tc>
          <w:tcPr>
            <w:tcW w:w="160" w:type="dxa"/>
            <w:vAlign w:val="bottom"/>
          </w:tcPr>
          <w:p>
            <w:pPr>
              <w:spacing w:after="0"/>
              <w:rPr>
                <w:sz w:val="21"/>
                <w:szCs w:val="21"/>
                <w:color w:val="auto"/>
              </w:rPr>
            </w:pPr>
          </w:p>
        </w:tc>
        <w:tc>
          <w:tcPr>
            <w:tcW w:w="1520" w:type="dxa"/>
            <w:vAlign w:val="bottom"/>
          </w:tcPr>
          <w:p>
            <w:pPr>
              <w:jc w:val="right"/>
              <w:ind w:right="47"/>
              <w:spacing w:after="0"/>
              <w:rPr>
                <w:sz w:val="20"/>
                <w:szCs w:val="20"/>
                <w:color w:val="auto"/>
              </w:rPr>
            </w:pPr>
            <w:r>
              <w:rPr>
                <w:rFonts w:ascii="Arial" w:cs="Arial" w:eastAsia="Arial" w:hAnsi="Arial"/>
                <w:sz w:val="19"/>
                <w:szCs w:val="19"/>
                <w:color w:val="auto"/>
              </w:rPr>
              <w:t>46</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Share capital</w:t>
            </w:r>
            <w:r>
              <w:rPr>
                <w:rFonts w:ascii="Arial" w:cs="Arial" w:eastAsia="Arial" w:hAnsi="Arial"/>
                <w:sz w:val="10"/>
                <w:szCs w:val="10"/>
                <w:color w:val="auto"/>
              </w:rPr>
              <w:t>(3)</w:t>
            </w:r>
          </w:p>
        </w:tc>
        <w:tc>
          <w:tcPr>
            <w:tcW w:w="160" w:type="dxa"/>
            <w:vAlign w:val="bottom"/>
            <w:shd w:val="clear" w:color="auto" w:fill="E5FFFF"/>
          </w:tcPr>
          <w:p>
            <w:pPr>
              <w:spacing w:after="0"/>
              <w:rPr>
                <w:sz w:val="21"/>
                <w:szCs w:val="21"/>
                <w:color w:val="auto"/>
              </w:rPr>
            </w:pPr>
          </w:p>
        </w:tc>
        <w:tc>
          <w:tcPr>
            <w:tcW w:w="15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810</w:t>
            </w: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Contributed surplus</w:t>
            </w:r>
          </w:p>
        </w:tc>
        <w:tc>
          <w:tcPr>
            <w:tcW w:w="160" w:type="dxa"/>
            <w:vAlign w:val="bottom"/>
          </w:tcPr>
          <w:p>
            <w:pPr>
              <w:spacing w:after="0"/>
              <w:rPr>
                <w:sz w:val="21"/>
                <w:szCs w:val="21"/>
                <w:color w:val="auto"/>
              </w:rPr>
            </w:pPr>
          </w:p>
        </w:tc>
        <w:tc>
          <w:tcPr>
            <w:tcW w:w="1520" w:type="dxa"/>
            <w:vAlign w:val="bottom"/>
          </w:tcPr>
          <w:p>
            <w:pPr>
              <w:jc w:val="right"/>
              <w:ind w:right="47"/>
              <w:spacing w:after="0"/>
              <w:rPr>
                <w:sz w:val="20"/>
                <w:szCs w:val="20"/>
                <w:color w:val="auto"/>
              </w:rPr>
            </w:pPr>
            <w:r>
              <w:rPr>
                <w:rFonts w:ascii="Arial" w:cs="Arial" w:eastAsia="Arial" w:hAnsi="Arial"/>
                <w:sz w:val="19"/>
                <w:szCs w:val="19"/>
                <w:color w:val="auto"/>
              </w:rPr>
              <w:t>966,974</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Reserves</w:t>
            </w:r>
          </w:p>
        </w:tc>
        <w:tc>
          <w:tcPr>
            <w:tcW w:w="160" w:type="dxa"/>
            <w:vAlign w:val="bottom"/>
            <w:shd w:val="clear" w:color="auto" w:fill="E5FFFF"/>
          </w:tcPr>
          <w:p>
            <w:pPr>
              <w:spacing w:after="0"/>
              <w:rPr>
                <w:sz w:val="21"/>
                <w:szCs w:val="21"/>
                <w:color w:val="auto"/>
              </w:rPr>
            </w:pPr>
          </w:p>
        </w:tc>
        <w:tc>
          <w:tcPr>
            <w:tcW w:w="15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10,160</w:t>
            </w: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Treasury shares</w:t>
            </w:r>
            <w:r>
              <w:rPr>
                <w:rFonts w:ascii="Arial" w:cs="Arial" w:eastAsia="Arial" w:hAnsi="Arial"/>
                <w:sz w:val="10"/>
                <w:szCs w:val="10"/>
                <w:color w:val="auto"/>
              </w:rPr>
              <w:t>(3)</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(10,861)</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Accumulated deficit</w:t>
            </w:r>
          </w:p>
        </w:tc>
        <w:tc>
          <w:tcPr>
            <w:tcW w:w="160" w:type="dxa"/>
            <w:vAlign w:val="bottom"/>
            <w:shd w:val="clear" w:color="auto" w:fill="E5FFFF"/>
          </w:tcPr>
          <w:p>
            <w:pPr>
              <w:spacing w:after="0"/>
              <w:rPr>
                <w:sz w:val="21"/>
                <w:szCs w:val="21"/>
                <w:color w:val="auto"/>
              </w:rPr>
            </w:pPr>
          </w:p>
        </w:tc>
        <w:tc>
          <w:tcPr>
            <w:tcW w:w="1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(21,486)</w:t>
            </w:r>
          </w:p>
        </w:tc>
      </w:tr>
      <w:tr>
        <w:trPr>
          <w:trHeight w:val="250"/>
        </w:trPr>
        <w:tc>
          <w:tcPr>
            <w:tcW w:w="7720" w:type="dxa"/>
            <w:vAlign w:val="bottom"/>
          </w:tcPr>
          <w:p>
            <w:pPr>
              <w:spacing w:after="0"/>
              <w:rPr>
                <w:sz w:val="20"/>
                <w:szCs w:val="20"/>
                <w:color w:val="auto"/>
              </w:rPr>
            </w:pPr>
            <w:r>
              <w:rPr>
                <w:rFonts w:ascii="Arial" w:cs="Arial" w:eastAsia="Arial" w:hAnsi="Arial"/>
                <w:sz w:val="19"/>
                <w:szCs w:val="19"/>
                <w:color w:val="auto"/>
              </w:rPr>
              <w:t>Non-controlling interest</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564,039</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equity</w:t>
            </w:r>
          </w:p>
        </w:tc>
        <w:tc>
          <w:tcPr>
            <w:tcW w:w="160" w:type="dxa"/>
            <w:vAlign w:val="bottom"/>
            <w:tcBorders>
              <w:bottom w:val="single" w:sz="8" w:color="auto"/>
            </w:tcBorders>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b w:val="1"/>
                <w:bCs w:val="1"/>
                <w:color w:val="auto"/>
              </w:rPr>
              <w:t>1,509,682</w:t>
            </w:r>
          </w:p>
        </w:tc>
      </w:tr>
      <w:tr>
        <w:trPr>
          <w:trHeight w:val="250"/>
        </w:trPr>
        <w:tc>
          <w:tcPr>
            <w:tcW w:w="7720" w:type="dxa"/>
            <w:vAlign w:val="bottom"/>
          </w:tcPr>
          <w:p>
            <w:pPr>
              <w:spacing w:after="0"/>
              <w:rPr>
                <w:sz w:val="20"/>
                <w:szCs w:val="20"/>
                <w:color w:val="auto"/>
              </w:rPr>
            </w:pPr>
            <w:r>
              <w:rPr>
                <w:rFonts w:ascii="Arial" w:cs="Arial" w:eastAsia="Arial" w:hAnsi="Arial"/>
                <w:sz w:val="19"/>
                <w:szCs w:val="19"/>
                <w:b w:val="1"/>
                <w:bCs w:val="1"/>
                <w:color w:val="auto"/>
              </w:rPr>
              <w:t>Total capitalization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4"/>
              </w:rPr>
              <w:t>$</w:t>
            </w:r>
          </w:p>
        </w:tc>
        <w:tc>
          <w:tcPr>
            <w:tcW w:w="15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4,382,109</w:t>
            </w: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80" w:right="80" w:hanging="200"/>
        <w:spacing w:after="0" w:line="235" w:lineRule="auto"/>
        <w:tabs>
          <w:tab w:leader="none" w:pos="280" w:val="left"/>
        </w:tabs>
        <w:numPr>
          <w:ilvl w:val="0"/>
          <w:numId w:val="8"/>
        </w:numPr>
        <w:rPr>
          <w:rFonts w:ascii="Arial" w:cs="Arial" w:eastAsia="Arial" w:hAnsi="Arial"/>
          <w:sz w:val="9"/>
          <w:szCs w:val="9"/>
          <w:color w:val="auto"/>
        </w:rPr>
      </w:pPr>
      <w:r>
        <w:rPr>
          <w:rFonts w:ascii="Arial" w:cs="Arial" w:eastAsia="Arial" w:hAnsi="Arial"/>
          <w:sz w:val="16"/>
          <w:szCs w:val="16"/>
          <w:color w:val="auto"/>
        </w:rPr>
        <w:t>Our indebtedness, other than our NOK bonds, or the “Bonds”, is secured by mortgages on our owned ships and is guaranteed by the Company or a combination of the Company and GasLog Partners, in the case of the Partnership’s indebtedness. The Bonds (the carrying amount of which, net of unamortized financing costs and unamortized premium as of December 31, 2016, is $133.53 million) are unsecured. Borrowings presented do not include our scheduled debt payments since December 31, 2016 totaling $40.95 million. See “Item 5. Operating and Financial Review and Prospects— B. Liquidity and Capital Resources—Credit Facilities” for more information about our credit facilities.</w:t>
      </w:r>
    </w:p>
    <w:p>
      <w:pPr>
        <w:spacing w:after="0" w:line="71" w:lineRule="exact"/>
        <w:rPr>
          <w:rFonts w:ascii="Arial" w:cs="Arial" w:eastAsia="Arial" w:hAnsi="Arial"/>
          <w:sz w:val="9"/>
          <w:szCs w:val="9"/>
          <w:color w:val="auto"/>
        </w:rPr>
      </w:pPr>
    </w:p>
    <w:p>
      <w:pPr>
        <w:ind w:left="280" w:right="260" w:hanging="200"/>
        <w:spacing w:after="0" w:line="251" w:lineRule="auto"/>
        <w:tabs>
          <w:tab w:leader="none" w:pos="280" w:val="left"/>
        </w:tabs>
        <w:numPr>
          <w:ilvl w:val="0"/>
          <w:numId w:val="8"/>
        </w:numPr>
        <w:rPr>
          <w:rFonts w:ascii="Arial" w:cs="Arial" w:eastAsia="Arial" w:hAnsi="Arial"/>
          <w:sz w:val="9"/>
          <w:szCs w:val="9"/>
          <w:color w:val="auto"/>
        </w:rPr>
      </w:pPr>
      <w:r>
        <w:rPr>
          <w:rFonts w:ascii="Arial" w:cs="Arial" w:eastAsia="Arial" w:hAnsi="Arial"/>
          <w:sz w:val="16"/>
          <w:szCs w:val="16"/>
          <w:color w:val="auto"/>
        </w:rPr>
        <w:t>Borrowings presented at December 31, 2016, are shown net of $47.98 million of loan issuance costs and premium that are being amortized over the term of the respective borrowings.</w:t>
      </w:r>
    </w:p>
    <w:p>
      <w:pPr>
        <w:spacing w:after="0" w:line="60" w:lineRule="exact"/>
        <w:rPr>
          <w:rFonts w:ascii="Arial" w:cs="Arial" w:eastAsia="Arial" w:hAnsi="Arial"/>
          <w:sz w:val="9"/>
          <w:szCs w:val="9"/>
          <w:color w:val="auto"/>
        </w:rPr>
      </w:pPr>
    </w:p>
    <w:p>
      <w:pPr>
        <w:ind w:left="280" w:right="320" w:hanging="200"/>
        <w:spacing w:after="0" w:line="283" w:lineRule="auto"/>
        <w:tabs>
          <w:tab w:leader="none" w:pos="280" w:val="left"/>
        </w:tabs>
        <w:numPr>
          <w:ilvl w:val="0"/>
          <w:numId w:val="8"/>
        </w:numPr>
        <w:rPr>
          <w:rFonts w:ascii="Arial" w:cs="Arial" w:eastAsia="Arial" w:hAnsi="Arial"/>
          <w:sz w:val="8"/>
          <w:szCs w:val="8"/>
          <w:color w:val="auto"/>
        </w:rPr>
      </w:pPr>
      <w:r>
        <w:rPr>
          <w:rFonts w:ascii="Arial" w:cs="Arial" w:eastAsia="Arial" w:hAnsi="Arial"/>
          <w:sz w:val="15"/>
          <w:szCs w:val="15"/>
          <w:color w:val="auto"/>
        </w:rPr>
        <w:t>Does not include any shares that may be issued under the Company’s 2013 Omnibus Incentive Compensation Plan. At December 31, 2016, our share capital consisted of 80,561,353 issued and outstanding common shares, 431,773 treasury shares issued and 4,600,000 Preference Shares issued and outstanding.</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3" w:right="35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C. Reasons for the Offer and Use of Proceeds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to Our Business</w:t>
      </w:r>
    </w:p>
    <w:p>
      <w:pPr>
        <w:spacing w:after="0" w:line="193"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b w:val="1"/>
          <w:bCs w:val="1"/>
          <w:i w:val="1"/>
          <w:iCs w:val="1"/>
          <w:color w:val="auto"/>
        </w:rPr>
        <w:t>Our future performance and ability to secure future time charters depends on continued growth in LNG production and demand for LNG and LNG shipping.</w:t>
      </w:r>
    </w:p>
    <w:p>
      <w:pPr>
        <w:spacing w:after="0" w:line="52"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Our future performance, including our ability to profitably expand our fleet, will depend on continued growth in LNG production and the demand for LNG and LNG shipping. A complete LNG project includes production, liquefaction, storage, regasification and distribution facilities, in addition to the marine transportation of LNG.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global economic crisis and continued economic uncertainty, fluctuations in global commodity prices, including natural gas, oil and coal as well as other sources of energy. Continued growth in LNG production and demand for LNG and LNG shipping could be negatively affected by a number of factors, including:</w:t>
      </w:r>
    </w:p>
    <w:p>
      <w:pPr>
        <w:spacing w:after="0" w:line="54" w:lineRule="exact"/>
        <w:rPr>
          <w:sz w:val="20"/>
          <w:szCs w:val="20"/>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right="78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increases in interest rates or other events that may affect the availability of sufficient financing for LNG projects on commercially reasonable terms;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increases in the cost of natural gas derived from LNG relative to the cost of natural gas generally;</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increases in the production levels of low-cost natural gas in domestic natural gas consuming markets, which could further depress prices for natural gas in those markets and make LNG uneconomical;</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increases in the production of natural gas in areas linked by pipelines to consuming areas, the extension of existing, or the development of new pipeline systems in markets we may serve, or the conversion of existing non-natural gas pipelines to natural gas pipelines in those markets;</w:t>
      </w:r>
    </w:p>
    <w:p>
      <w:pPr>
        <w:spacing w:after="0" w:line="54"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decreases in the consumption of natural gas due to increases in its price, decreases in the price of alternative energy sources, including coal, or other factors making consumption of natural gas less attractive;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significant explosion, spill or other incident involving a LNG facility or carrier;</w:t>
      </w:r>
    </w:p>
    <w:p>
      <w:pPr>
        <w:spacing w:after="0" w:line="105"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infrastructure constraints such as delays in the construction of liquefaction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labor or political unrest or military conflicts affecting existing or proposed areas of LNG production or regasification;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decreases in the price of LNG, which might decrease the expected returns relating to investments in LNG projects;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new taxes or regulations affecting LNG production or liquefaction that make LNG production less attractive; or</w:t>
      </w:r>
    </w:p>
    <w:p>
      <w:pPr>
        <w:spacing w:after="0" w:line="105" w:lineRule="exact"/>
        <w:rPr>
          <w:rFonts w:ascii="Arial" w:cs="Arial" w:eastAsia="Arial" w:hAnsi="Arial"/>
          <w:sz w:val="19"/>
          <w:szCs w:val="19"/>
          <w:color w:val="auto"/>
        </w:rPr>
      </w:pPr>
    </w:p>
    <w:p>
      <w:pPr>
        <w:ind w:left="540" w:right="86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negative global or regional economic or political conditions, particularly in LNG consuming regions, which could reduce energy consumption or its growth.</w:t>
      </w:r>
    </w:p>
    <w:p>
      <w:pPr>
        <w:spacing w:after="0" w:line="5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In recent years, global crude oil prices were very volatile. Any decline in oil prices can depress natural gas prices and lead to a narrowing of the gap in pricing in different geographic regions,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2" w:name="page13"/>
    <w:bookmarkEnd w:id="12"/>
    <w:p>
      <w:pPr>
        <w:jc w:val="both"/>
        <w:ind w:right="180"/>
        <w:spacing w:after="0" w:line="289" w:lineRule="auto"/>
        <w:rPr>
          <w:sz w:val="20"/>
          <w:szCs w:val="20"/>
          <w:color w:val="auto"/>
        </w:rPr>
      </w:pPr>
      <w:r>
        <w:rPr>
          <w:rFonts w:ascii="Arial" w:cs="Arial" w:eastAsia="Arial" w:hAnsi="Arial"/>
          <w:sz w:val="18"/>
          <w:szCs w:val="18"/>
          <w:color w:val="auto"/>
        </w:rPr>
        <w:t>which can adversely affect the length of voyages in the spot LNG shipping market and the spot rates and medium term charter rates for charters which commence in the near future. Any continued period of low oil prices could adversely affect both the competitiveness of gas as a fuel for power generation and the market price of gas, to the extent that gas prices are benchmarked to the price of crude oil.</w:t>
      </w:r>
    </w:p>
    <w:p>
      <w:pPr>
        <w:spacing w:after="0" w:line="49"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Some production companies have announced delays or cancellations of certain previously announced LNG projects, which, unless offset by new projects coming on stream, could adversely affect demand for LNG charters over the next few years, while the amount of tonnage available for charter is expected to increase.</w:t>
      </w:r>
    </w:p>
    <w:p>
      <w:pPr>
        <w:spacing w:after="0" w:line="68"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If the anticipated improvement of charter market conditions does not materialise, we may have difficulty in securing charters at attractive rates and durations on our ships when we are seeking a new charter. Such a failure may adversely affect our business, financial condition, results of operations and cash flows, including cash available for dividends to our shareholders, as well as our ability to meet certain of our debt covenants. A sustained decline in charter rates could also adversely affect the market value of our ships, on which certain of the ratios and financial covenants we are required to comply with are based. See “—Risks Related to Our Business—Our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296" w:lineRule="exact"/>
        <w:rPr>
          <w:sz w:val="20"/>
          <w:szCs w:val="20"/>
          <w:color w:val="auto"/>
        </w:rPr>
      </w:pPr>
    </w:p>
    <w:p>
      <w:pPr>
        <w:ind w:right="160"/>
        <w:spacing w:after="0" w:line="283" w:lineRule="auto"/>
        <w:rPr>
          <w:sz w:val="20"/>
          <w:szCs w:val="20"/>
          <w:color w:val="auto"/>
        </w:rPr>
      </w:pPr>
      <w:r>
        <w:rPr>
          <w:rFonts w:ascii="Arial" w:cs="Arial" w:eastAsia="Arial" w:hAnsi="Arial"/>
          <w:sz w:val="19"/>
          <w:szCs w:val="19"/>
          <w:b w:val="1"/>
          <w:bCs w:val="1"/>
          <w:i w:val="1"/>
          <w:iCs w:val="1"/>
          <w:color w:val="auto"/>
        </w:rPr>
        <w:t>A continuation of the recent volatility in natural gas and oil prices may adversely affect our growth prospects, results of operations and cash flows.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Natural gas prices are volatile and are affected by numerous factors beyond our control, including but not limited to the following:</w:t>
      </w:r>
    </w:p>
    <w:p>
      <w:pPr>
        <w:spacing w:after="0" w:line="106" w:lineRule="exact"/>
        <w:rPr>
          <w:sz w:val="20"/>
          <w:szCs w:val="20"/>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price and availability of crude oil and petroleum products;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worldwide demand for natural gas and oil;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cost of exploration, development, production, transportation and distribution of natural gas;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expectations regarding future energy prices for both natural gas and other sources of energy;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level of worldwide LNG production and exports;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government laws and regulations, including but not limited to environmental protection laws and regulations;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local and international political, economic and weather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political and military conflicts;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availability and cost of alternative energy sources, including alternate sources of natural gas in gas importing and consuming countries.</w:t>
      </w:r>
    </w:p>
    <w:p>
      <w:pPr>
        <w:spacing w:after="0" w:line="14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Natural gas prices have historically varied substantially between regions. This price disparity between producing and consuming regions supports demand for LNG shipping and any convergence of natural gas prices could adversely affect demand or price for LNG shipping. In recent years, global crude oil prices were very volatile. Any decline in oil prices can depress natural gas prices and lead to a narrowing of the gap in pricing in different geographic regions.</w:t>
      </w:r>
    </w:p>
    <w:p>
      <w:pPr>
        <w:spacing w:after="0" w:line="72"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Given the significant global natural gas and crude oil price volatility as referenced above, a continuation of volatility in natural gas or oil prices may adversely affect our business, financial condition, results of operations and cash flows, including cash available for dividends to our shareholders, as a result of, among other things:</w:t>
      </w:r>
    </w:p>
    <w:p>
      <w:pPr>
        <w:spacing w:after="0" w:line="54" w:lineRule="exact"/>
        <w:rPr>
          <w:sz w:val="20"/>
          <w:szCs w:val="20"/>
          <w:color w:val="auto"/>
        </w:rPr>
      </w:pPr>
    </w:p>
    <w:p>
      <w:pPr>
        <w:ind w:left="540" w:right="34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reduction in exploration for or development of new natural gas reserves or projects, or the delay or cancelation of existing projects as energy companies lower their capital expenditures budgets, which may reduce our growth opportunities;</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13" w:name="page14"/>
    <w:bookmarkEnd w:id="13"/>
    <w:p>
      <w:pPr>
        <w:ind w:left="54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low oil prices negatively affecting both the competitiveness of natural gas as a fuel for power generation and the market price of natural gas, to the extent that natural gas prices are benchmarked to the price of crude oil;</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customers potentially seeking to renegotiate or terminate existing vessel contracts, or failing to extend or renew contracts upon expiration;</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inability or refusal of customers to make charter payments to us due to financial constraints or otherwise;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declines in vessel values, which may result in losses to us upon vessel sales or impairment charges against our earnings.</w:t>
      </w:r>
    </w:p>
    <w:p>
      <w:pPr>
        <w:spacing w:after="0" w:line="335"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b w:val="1"/>
          <w:bCs w:val="1"/>
          <w:i w:val="1"/>
          <w:iCs w:val="1"/>
          <w:color w:val="auto"/>
        </w:rPr>
        <w:t>Our future growth depends on our ability to expand relationships with existing customers, establish relationships with new customers and obtain new time charter contracts, for which we will face substantial competition from established companies with significant resources and potential new entrants.</w:t>
      </w:r>
    </w:p>
    <w:p>
      <w:pPr>
        <w:spacing w:after="0" w:line="68"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 xml:space="preserve">We are seeking to enter into time charter contracts for, (i)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Saratoga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which operate in the Cool Pool, and (ii) the</w:t>
      </w:r>
      <w:r>
        <w:rPr>
          <w:rFonts w:ascii="Arial" w:cs="Arial" w:eastAsia="Arial" w:hAnsi="Arial"/>
          <w:sz w:val="18"/>
          <w:szCs w:val="18"/>
          <w:i w:val="1"/>
          <w:iCs w:val="1"/>
          <w:color w:val="auto"/>
        </w:rPr>
        <w:t xml:space="preserve"> GasLog Skagen, </w:t>
      </w:r>
      <w:r>
        <w:rPr>
          <w:rFonts w:ascii="Arial" w:cs="Arial" w:eastAsia="Arial" w:hAnsi="Arial"/>
          <w:sz w:val="18"/>
          <w:szCs w:val="18"/>
          <w:color w:val="auto"/>
        </w:rPr>
        <w:t>which operates on a seasonal contract (i.e.,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for seven months and available to accept other charters for five months per year). We will also seek to enter into new time charter contracts upon the expiration or early termination of our existing charter arrangements, and upon any expansion of our fleet of owned ships beyond our contracted newbuildings. One of our principal objectives is to enter into additional long-term, fixed-rate charters. In addition, we may seek to expand the customer base for our ship management services. The process of obtaining charters for LNG carriers is highly competitive and generally involves an intensive screening procedure and competitive bids, which often extends for several months. We believe LNG carrier time charters are awarded based upon a variety of factors relating to the ship and the ship operator, including:</w:t>
      </w:r>
    </w:p>
    <w:p>
      <w:pPr>
        <w:spacing w:after="0" w:line="55" w:lineRule="exact"/>
        <w:rPr>
          <w:sz w:val="20"/>
          <w:szCs w:val="20"/>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size, age, technical specifications and condition of the ship;</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efficiency of ship operation;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LNG shipping experience and quality of ship operations;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shipping industry relationships and reputation for customer service;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technical ability and reputation for operation of highly specialized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quality and experience of officers and crew;</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safety record;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ability to finance ships at competitive rates and financial stability generally;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relationships with shipyards and the ability to get suitable berths;</w:t>
      </w:r>
    </w:p>
    <w:p>
      <w:pPr>
        <w:spacing w:after="0" w:line="105"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construction management experience, including the ability to obtain on-time delivery of new ships according to customer specifications;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competitiveness of the bid in terms of overall price.</w:t>
      </w:r>
    </w:p>
    <w:p>
      <w:pPr>
        <w:spacing w:after="0" w:line="119"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We expect substantial competition for providing marine transportation services for potential LNG projects from a number of experienced companies, including other independent ship owners as well as state-sponsored entities and major energy companies that own and operate LNG carriers and may compete with independent owners by using their fleets to carry LNG for third parties. Some of these competitors have significantly greater financial resources and larger fleets than we have. A number of marine transportation companies—including companies with strong reputations and extensive resources and experience—have entered the LNG transportation market in recent years, and there are other ship owners and managers who may also attempt to participate in the LNG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14" w:name="page15"/>
    <w:bookmarkEnd w:id="14"/>
    <w:p>
      <w:pPr>
        <w:ind w:right="20"/>
        <w:spacing w:after="0" w:line="313" w:lineRule="auto"/>
        <w:rPr>
          <w:sz w:val="20"/>
          <w:szCs w:val="20"/>
          <w:color w:val="auto"/>
        </w:rPr>
      </w:pPr>
      <w:r>
        <w:rPr>
          <w:rFonts w:ascii="Arial" w:cs="Arial" w:eastAsia="Arial" w:hAnsi="Arial"/>
          <w:sz w:val="17"/>
          <w:szCs w:val="17"/>
          <w:color w:val="auto"/>
        </w:rPr>
        <w:t>market in the future. This increased competition may cause greater price competition for time charters. As a result of these factors, we may be unable to expand our relationships with existing customers or to obtain new customers on a profitable basis, if at all, which could have a material adverse effect on our business, financial condition, results of operations and cash flows, including cash available for dividends to our shareholders.</w:t>
      </w:r>
    </w:p>
    <w:p>
      <w:pPr>
        <w:spacing w:after="0" w:line="248" w:lineRule="exact"/>
        <w:rPr>
          <w:sz w:val="20"/>
          <w:szCs w:val="20"/>
          <w:color w:val="auto"/>
        </w:rPr>
      </w:pPr>
    </w:p>
    <w:p>
      <w:pPr>
        <w:ind w:right="620"/>
        <w:spacing w:after="0" w:line="283" w:lineRule="auto"/>
        <w:rPr>
          <w:sz w:val="20"/>
          <w:szCs w:val="20"/>
          <w:color w:val="auto"/>
        </w:rPr>
      </w:pPr>
      <w:r>
        <w:rPr>
          <w:rFonts w:ascii="Arial" w:cs="Arial" w:eastAsia="Arial" w:hAnsi="Arial"/>
          <w:sz w:val="19"/>
          <w:szCs w:val="19"/>
          <w:b w:val="1"/>
          <w:bCs w:val="1"/>
          <w:i w:val="1"/>
          <w:iCs w:val="1"/>
          <w:color w:val="auto"/>
        </w:rPr>
        <w:t>Hire rates for LNG carriers may fluctuate substantially and are currently below historical average rates. If rates are lower when we are seeking a new charter, our revenues and cash flows may decline.</w:t>
      </w:r>
    </w:p>
    <w:p>
      <w:pPr>
        <w:spacing w:after="0" w:line="52"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Our ability from time to time to charter or re-charter any ship at attractive rates will depend on, among other things, the prevailing economic conditions in the LNG industry. Hire rates for LNG carriers may fluctuate over time as a result of changes in the supply-demand balance relating to current and future ship capacity. This supply-demand relationship largely depends on a number of factors outside our control. The LNG charter market is connected to world natural gas prices and energy markets, which we cannot predict. A substantial or extended decline in demand for natural gas or LNG could adversely affect our ability to charter or re-charter our ships at acceptable rates or to acquire and profitably operate new ships. Hire rates for newbuildings are correlated with the price of newbuildings. Hire rates at a time when we may be seeking new charters may be lower than the hire rates at which our ships are currently chartered. If hire rates are lower when we are seeking a new charter, or at the time option extensions are due to be declared, our revenues and cash flows, including cash available for dividends to our shareholders, may decline, as we may only be able to enter into new charters at reduced or unprofitable rates or may not be able to re-charter our ship, or we may have to secure a charter in the spot market, where hire rates are more volatile. Prolonged periods of low charter hire rates or low ship utilization could also have a material adverse effect on the value of our assets.</w:t>
      </w:r>
    </w:p>
    <w:p>
      <w:pPr>
        <w:spacing w:after="0" w:line="72" w:lineRule="exact"/>
        <w:rPr>
          <w:sz w:val="20"/>
          <w:szCs w:val="20"/>
          <w:color w:val="auto"/>
        </w:rPr>
      </w:pPr>
    </w:p>
    <w:p>
      <w:pPr>
        <w:ind w:right="120" w:firstLine="357"/>
        <w:spacing w:after="0" w:line="302" w:lineRule="auto"/>
        <w:rPr>
          <w:sz w:val="20"/>
          <w:szCs w:val="20"/>
          <w:color w:val="auto"/>
        </w:rPr>
      </w:pPr>
      <w:r>
        <w:rPr>
          <w:rFonts w:ascii="Arial" w:cs="Arial" w:eastAsia="Arial" w:hAnsi="Arial"/>
          <w:sz w:val="17"/>
          <w:szCs w:val="17"/>
          <w:color w:val="auto"/>
        </w:rPr>
        <w:t>These factors, among others, have in turn led to a significant shortening of the average duration of spot charters fixed during 2016, as well as a significant decline in average rates for new spot and shorter-term LNG charters commencing promptly. Unless LNG charter market conditions improve, we may have difficulty in securing new charters at attractive rates and durations for those vessels in the Cool Pool. As of December 31, 2016, we had a total of 1,978 open vessel days during 2017, including 1,825 days for the five vessels operating in the Cool Pool.</w:t>
      </w:r>
    </w:p>
    <w:p>
      <w:pPr>
        <w:spacing w:after="0" w:line="245" w:lineRule="exact"/>
        <w:rPr>
          <w:sz w:val="20"/>
          <w:szCs w:val="20"/>
          <w:color w:val="auto"/>
        </w:rPr>
      </w:pPr>
    </w:p>
    <w:p>
      <w:pPr>
        <w:ind w:right="480"/>
        <w:spacing w:after="0" w:line="283" w:lineRule="auto"/>
        <w:rPr>
          <w:sz w:val="20"/>
          <w:szCs w:val="20"/>
          <w:color w:val="auto"/>
        </w:rPr>
      </w:pPr>
      <w:r>
        <w:rPr>
          <w:rFonts w:ascii="Arial" w:cs="Arial" w:eastAsia="Arial" w:hAnsi="Arial"/>
          <w:sz w:val="19"/>
          <w:szCs w:val="19"/>
          <w:b w:val="1"/>
          <w:bCs w:val="1"/>
          <w:i w:val="1"/>
          <w:iCs w:val="1"/>
          <w:color w:val="auto"/>
        </w:rPr>
        <w:t>An oversupply of LNG carriers may lead to a reduction in the charter hire rates we are able to obtain when seeking charters in the future which could adversely affect our results of operations and cash flows.</w:t>
      </w:r>
    </w:p>
    <w:p>
      <w:pPr>
        <w:spacing w:after="0" w:line="52"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Driven in part by an increase in LNG production capacity, the market supply of LNG carriers has been increasing as a result of the construction of new ships. The development of liquefaction projects in the United States and the anticipated exports beginning in early 2016 have driven significant ordering activity. As of December 31, 2016, the LNG carrier order book totalled 115 vessels, and the delivered fleet stood at 417 vessels. This and any future expansion of the global LNG carrier fleet may have a negative impact on charter hire rates, ship utilization and ship values, which impact could be amplified if the expansion of LNG production capacity does not keep pace with fleet growth.</w:t>
      </w:r>
    </w:p>
    <w:p>
      <w:pPr>
        <w:spacing w:after="0" w:line="6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If charter hire rates are lower when we are seeking new time charters, our revenues and cash flows, including cash available for dividends to our shareholders, may decline.</w:t>
      </w:r>
    </w:p>
    <w:p>
      <w:pPr>
        <w:spacing w:after="0" w:line="268" w:lineRule="exact"/>
        <w:rPr>
          <w:sz w:val="20"/>
          <w:szCs w:val="20"/>
          <w:color w:val="auto"/>
        </w:rPr>
      </w:pPr>
    </w:p>
    <w:p>
      <w:pPr>
        <w:ind w:right="220"/>
        <w:spacing w:after="0" w:line="283" w:lineRule="auto"/>
        <w:rPr>
          <w:sz w:val="20"/>
          <w:szCs w:val="20"/>
          <w:color w:val="auto"/>
        </w:rPr>
      </w:pPr>
      <w:r>
        <w:rPr>
          <w:rFonts w:ascii="Arial" w:cs="Arial" w:eastAsia="Arial" w:hAnsi="Arial"/>
          <w:sz w:val="19"/>
          <w:szCs w:val="19"/>
          <w:b w:val="1"/>
          <w:bCs w:val="1"/>
          <w:i w:val="1"/>
          <w:iCs w:val="1"/>
          <w:color w:val="auto"/>
        </w:rPr>
        <w:t>If an active short-term or spot LNG carrier charter market continues to develop, our revenues and cash flows may become more volatile and may decline following expiration or early termination of our current charter arrangements.</w:t>
      </w:r>
    </w:p>
    <w:p>
      <w:pPr>
        <w:spacing w:after="0" w:line="52"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Most shipping requirements for new LNG projects continue to be provided on a multi-year basis, though the level of spot voyages and short-term time charters of less than 12 months in duration has grown in the past few years. If an active short-term or spot charter market continues to</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5" w:name="page16"/>
    <w:bookmarkEnd w:id="15"/>
    <w:p>
      <w:pPr>
        <w:ind w:right="140"/>
        <w:spacing w:after="0" w:line="277" w:lineRule="auto"/>
        <w:rPr>
          <w:sz w:val="20"/>
          <w:szCs w:val="20"/>
          <w:color w:val="auto"/>
        </w:rPr>
      </w:pPr>
      <w:r>
        <w:rPr>
          <w:rFonts w:ascii="Arial" w:cs="Arial" w:eastAsia="Arial" w:hAnsi="Arial"/>
          <w:sz w:val="18"/>
          <w:szCs w:val="18"/>
          <w:color w:val="auto"/>
        </w:rPr>
        <w:t>develop, we may enter into short-term time charters upon expiration or early termination of our current charters, for any ships for which we have not secured charters, or for any new ships we acquire beyond our contracted newbuildings.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dividends to our shareholders, if we enter into charters during periods when the market price for shipping LNG is depressed.</w:t>
      </w:r>
    </w:p>
    <w:p>
      <w:pPr>
        <w:spacing w:after="0" w:line="278" w:lineRule="exact"/>
        <w:rPr>
          <w:sz w:val="20"/>
          <w:szCs w:val="20"/>
          <w:color w:val="auto"/>
        </w:rPr>
      </w:pPr>
    </w:p>
    <w:p>
      <w:pPr>
        <w:ind w:right="240"/>
        <w:spacing w:after="0" w:line="369" w:lineRule="auto"/>
        <w:rPr>
          <w:sz w:val="20"/>
          <w:szCs w:val="20"/>
          <w:color w:val="auto"/>
        </w:rPr>
      </w:pPr>
      <w:r>
        <w:rPr>
          <w:rFonts w:ascii="Arial" w:cs="Arial" w:eastAsia="Arial" w:hAnsi="Arial"/>
          <w:sz w:val="16"/>
          <w:szCs w:val="16"/>
          <w:b w:val="1"/>
          <w:bCs w:val="1"/>
          <w:i w:val="1"/>
          <w:iCs w:val="1"/>
          <w:color w:val="auto"/>
        </w:rPr>
        <w:t>Further technological advancements and other innovations affecting LNG carriers could reduce the charter hire rates we are able to obtain when seeking new employment, and this could adversely impact the value of our assets and our results of operations and cash flows.</w:t>
      </w:r>
    </w:p>
    <w:p>
      <w:pPr>
        <w:spacing w:after="0" w:line="1"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The charter rates, asset value and operational life of a LNG carrier are determined by a number of factors, including the ship’s efficiency, operational flexibility and physical life. Efficiency includes speed and fuel economy. Flexibility includes the ability to enter harbors, utilize related docking facilities and pass through canals and straits. Physical life is related to the original design and construction, the ongoing maintenance and the impact of operational stresses on the asset. Ship and engine designs are continually evolving. At such time as newer designs are developed and accepted in the market, these newer vessels may be found to be more efficient or more flexible or have longer physical lives than our ships. Competition from these more technologically advanced LNG carriers and the older technology of our steam-powered (“Steam”) vessels, as well as any vessels with older technology which we acquire,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operating and managing ocean-going ships could affect our business and reputation.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operation and management of ocean-going ships carries inherent risks. These risks include the possibility of:</w:t>
      </w:r>
    </w:p>
    <w:p>
      <w:pPr>
        <w:spacing w:after="0" w:line="106" w:lineRule="exact"/>
        <w:rPr>
          <w:sz w:val="20"/>
          <w:szCs w:val="20"/>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marine disaster;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piracy;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environmental accidents;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adverse weather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grounding, fire, explosions and collisions;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cargo and property loss or damage;</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business interruptions caused by mechanical failure, human error, war, terrorism, disease and quarantine, or political action in various countries;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work stoppages or other labor problems with crew members serving on our ships.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accident involving any of our owned or managed ships could result in any of the following:</w:t>
      </w:r>
    </w:p>
    <w:p>
      <w:pPr>
        <w:spacing w:after="0" w:line="106"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death or injury to persons, loss of property or environmental damage;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delays in the delivery of cargo;</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loss of revenues from termination of charter contracts or ship management agreements;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governmental fines, penalties or restrictions on conducting business;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litigation with our employees, customers or third parties;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higher insurance rates;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damage to our reputation and customer relationships generally.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6" w:name="page17"/>
    <w:bookmarkEnd w:id="16"/>
    <w:p>
      <w:pPr>
        <w:ind w:right="160" w:firstLine="357"/>
        <w:spacing w:after="0" w:line="283" w:lineRule="auto"/>
        <w:rPr>
          <w:sz w:val="20"/>
          <w:szCs w:val="20"/>
          <w:color w:val="auto"/>
        </w:rPr>
      </w:pPr>
      <w:r>
        <w:rPr>
          <w:rFonts w:ascii="Arial" w:cs="Arial" w:eastAsia="Arial" w:hAnsi="Arial"/>
          <w:sz w:val="19"/>
          <w:szCs w:val="19"/>
          <w:color w:val="auto"/>
        </w:rPr>
        <w:t>Any of these results could have a material adverse effect on our business, financial condition, results of operations and cash flows, including cash available for dividends to our shareholders.</w:t>
      </w:r>
    </w:p>
    <w:p>
      <w:pPr>
        <w:spacing w:after="0" w:line="268" w:lineRule="exact"/>
        <w:rPr>
          <w:sz w:val="20"/>
          <w:szCs w:val="20"/>
          <w:color w:val="auto"/>
        </w:rPr>
      </w:pPr>
    </w:p>
    <w:p>
      <w:pPr>
        <w:ind w:right="300"/>
        <w:spacing w:after="0" w:line="283" w:lineRule="auto"/>
        <w:rPr>
          <w:sz w:val="20"/>
          <w:szCs w:val="20"/>
          <w:color w:val="auto"/>
        </w:rPr>
      </w:pPr>
      <w:r>
        <w:rPr>
          <w:rFonts w:ascii="Arial" w:cs="Arial" w:eastAsia="Arial" w:hAnsi="Arial"/>
          <w:sz w:val="19"/>
          <w:szCs w:val="19"/>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5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explosion, spills and other environmental mishaps, and other liabilities arising from owning, operating or managing ships in international trade.</w:t>
      </w:r>
    </w:p>
    <w:p>
      <w:pPr>
        <w:spacing w:after="0" w:line="57"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Although we carry protection and indemnity, hull and machinery and loss of hire and delay insurance covering our owned ships consistent with industry standards, we can give no assurance that we are adequately insured against all risks or that our insurers will pay a particular claim.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 Similarly, although we carry ship manager insurance in connection with our management of third-party ships, we can give no assurance that such insurance will adequately insure us against all risks associated with our ship management services, that our insurers will pay a particular claim or that we will be able to procure adequate insurance coverage at commercially reasonable rates in the future.</w:t>
      </w:r>
    </w:p>
    <w:p>
      <w:pPr>
        <w:spacing w:after="0" w:line="42" w:lineRule="exact"/>
        <w:rPr>
          <w:sz w:val="20"/>
          <w:szCs w:val="20"/>
          <w:color w:val="auto"/>
        </w:rPr>
      </w:pPr>
    </w:p>
    <w:p>
      <w:pPr>
        <w:ind w:right="160" w:firstLine="357"/>
        <w:spacing w:after="0" w:line="344" w:lineRule="auto"/>
        <w:rPr>
          <w:sz w:val="20"/>
          <w:szCs w:val="20"/>
          <w:color w:val="auto"/>
        </w:rPr>
      </w:pPr>
      <w:r>
        <w:rPr>
          <w:rFonts w:ascii="Arial" w:cs="Arial" w:eastAsia="Arial" w:hAnsi="Arial"/>
          <w:sz w:val="17"/>
          <w:szCs w:val="17"/>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223" w:lineRule="exact"/>
        <w:rPr>
          <w:sz w:val="20"/>
          <w:szCs w:val="20"/>
          <w:color w:val="auto"/>
        </w:rPr>
      </w:pPr>
    </w:p>
    <w:p>
      <w:pPr>
        <w:ind w:right="480"/>
        <w:spacing w:after="0" w:line="283" w:lineRule="auto"/>
        <w:rPr>
          <w:sz w:val="20"/>
          <w:szCs w:val="20"/>
          <w:color w:val="auto"/>
        </w:rPr>
      </w:pPr>
      <w:r>
        <w:rPr>
          <w:rFonts w:ascii="Arial" w:cs="Arial" w:eastAsia="Arial" w:hAnsi="Arial"/>
          <w:sz w:val="19"/>
          <w:szCs w:val="19"/>
          <w:b w:val="1"/>
          <w:bCs w:val="1"/>
          <w:i w:val="1"/>
          <w:iCs w:val="1"/>
          <w:color w:val="auto"/>
        </w:rPr>
        <w:t>The required dry-docking of our ships could be more expensive and time consuming than we anticipate, which could adversely affect our results of operations and cash flows.</w:t>
      </w:r>
    </w:p>
    <w:p>
      <w:pPr>
        <w:spacing w:after="0" w:line="52"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 xml:space="preserve">Dry-dockings of our owned ships require significant capital expenditures and result in loss of revenue while our ships are off-hire. Any significant increase in either the number of off-hire days due to such dry-dockings or in the costs of any repairs carried out during the dry-dockings could have a material adverse effect on our profitability and our cash flows. We may not be able to accurately predict the time required to dry-dock any of our ships or any unanticipated problems that may arise. If more than one of our ships is required to be out of service at the same time, or if a ship is dry-docked longer than expected or if the cost of repairs during the dry-docking is greater than budgeted, our results of operations and our cash flows, including cash available for dividends to our shareholders, could be adversely affected. During the year ended December 31, 2016, the dry-dockings of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(ships owned by GasLog Partners) were completed. The dry-dockings of the remainder of our vessels are expected to be carried out between 2018 and 2021.</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experience operational problems with vessels that reduce revenue and increase costs.</w:t>
      </w:r>
    </w:p>
    <w:p>
      <w:pPr>
        <w:spacing w:after="0" w:line="11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LNG carriers are complex and their operations are technically challenging. Marine transportation operations are subject to mechanical risks and problems. Operational problems may lead to loss of revenue or higher than anticipated operating expenses or require additional capital expenditures. Any of these results could harm our business, financial condition, results of operations and ability to make cash distributions to our shareholders.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7" w:name="page18"/>
    <w:bookmarkEnd w:id="17"/>
    <w:p>
      <w:pPr>
        <w:ind w:right="140"/>
        <w:spacing w:after="0" w:line="283" w:lineRule="auto"/>
        <w:rPr>
          <w:sz w:val="20"/>
          <w:szCs w:val="20"/>
          <w:color w:val="auto"/>
        </w:rPr>
      </w:pPr>
      <w:r>
        <w:rPr>
          <w:rFonts w:ascii="Arial" w:cs="Arial" w:eastAsia="Arial" w:hAnsi="Arial"/>
          <w:sz w:val="19"/>
          <w:szCs w:val="19"/>
          <w:b w:val="1"/>
          <w:bCs w:val="1"/>
          <w:i w:val="1"/>
          <w:iCs w:val="1"/>
          <w:color w:val="auto"/>
        </w:rPr>
        <w:t>Changes in global and regional economic conditions could adversely impact our business, financial condition, results of operations and cash flows.</w:t>
      </w:r>
    </w:p>
    <w:p>
      <w:pPr>
        <w:spacing w:after="0" w:line="52"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or termination of our ship management contracts. Global financial markets and economic conditions have been volatile in recent years and remain subject to significant vulnerabilities. In particular, despite recent measures taken by the European Union, concerns persist regarding the debt burden of certain Eurozone countries, including Greece, and their ability to meet future financial obligations, and the overall stability of the euro. Furthermore, a tightening of the credit markets may further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74" w:lineRule="exact"/>
        <w:rPr>
          <w:sz w:val="20"/>
          <w:szCs w:val="20"/>
          <w:color w:val="auto"/>
        </w:rPr>
      </w:pPr>
    </w:p>
    <w:p>
      <w:pPr>
        <w:ind w:right="120" w:firstLine="357"/>
        <w:spacing w:after="0" w:line="297" w:lineRule="auto"/>
        <w:rPr>
          <w:sz w:val="20"/>
          <w:szCs w:val="20"/>
          <w:color w:val="auto"/>
        </w:rPr>
      </w:pPr>
      <w:r>
        <w:rPr>
          <w:rFonts w:ascii="Arial" w:cs="Arial" w:eastAsia="Arial" w:hAnsi="Arial"/>
          <w:sz w:val="17"/>
          <w:szCs w:val="17"/>
          <w:color w:val="auto"/>
        </w:rPr>
        <w:t>GasLog LNG Services, our vessels’ management company, and a substantial number of its staff are located in Greece. The current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 to shore communications plan and funding mechanisms. While we believe these plans, combined with the international nature of our operations, will mitigate the impact of any disruption of operations in Greece, there can be no assurance that these plans will be effective in all circumstances.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Disruptions in world financial markets could limit our ability to obtain future debt financing or refinance existing debt.</w:t>
      </w:r>
    </w:p>
    <w:p>
      <w:pPr>
        <w:spacing w:after="0" w:line="106"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Global financial markets and economic conditions have been disrupted and volatile in recent years. Credit markets as well as the debt and equity capital markets were exceedingly distressed and at certain times in recent years it was difficult to obtain financing and the cost of any available financing increased significantly. If global financial markets and economic conditions significantly deteriorate in the future, we may experience difficulties obtaining financing commitments, including commitments to refinance our existing debt as substantial balloon payments come due under our credit facilities, in the future if lenders are unwilling to extend financing to us or unable to meet their funding obligations due to their own liquidity, capital or solvency issues. As a result, financing may not be available on acceptable terms or at all. If financing is not available when needed, or is available only on unfavorable terms, we may be unable to meet our future obligations as they come due. Our failure to obtain the funds for these capital expenditures could have a material adverse effect on our business, financial condition, results of operations and cash flows, including cash available for dividends to our shareholders. In the absence of available financing, we also may be unable to take advantage of further business opportunities or respond to competitive pressures.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154"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hull and machinery of every commercial LNG carrier must be classed by a classification society. The classification society certifies that the ship has been built and subsequently maintained</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 w:name="page19"/>
    <w:bookmarkEnd w:id="18"/>
    <w:p>
      <w:pPr>
        <w:ind w:right="400"/>
        <w:spacing w:after="0" w:line="313" w:lineRule="auto"/>
        <w:rPr>
          <w:sz w:val="20"/>
          <w:szCs w:val="20"/>
          <w:color w:val="auto"/>
        </w:rPr>
      </w:pPr>
      <w:r>
        <w:rPr>
          <w:rFonts w:ascii="Arial" w:cs="Arial" w:eastAsia="Arial" w:hAnsi="Arial"/>
          <w:sz w:val="17"/>
          <w:szCs w:val="17"/>
          <w:color w:val="auto"/>
        </w:rPr>
        <w:t>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32"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dividends to our shareholders.</w:t>
      </w:r>
    </w:p>
    <w:p>
      <w:pPr>
        <w:spacing w:after="0" w:line="265"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b w:val="1"/>
          <w:bCs w:val="1"/>
          <w:i w:val="1"/>
          <w:iCs w:val="1"/>
          <w:color w:val="auto"/>
        </w:rPr>
        <w:t>If we cannot meet our charterers’ quality and compliance requirements we may not be able to operate our vessels profitably which could have an adverse effect on our future performance, results of operations, cash flows and financial position.</w:t>
      </w:r>
    </w:p>
    <w:p>
      <w:pPr>
        <w:spacing w:after="0" w:line="52"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Customers, and in particular those in the LNG industry, have a high and increasing focus on quality and compliance standards with their suppliers across the entire value chain, including the shipping and transportation segment. Our continuous compliance with these standards and quality requirements is vital for our operations. Related risks could materialize in multiple ways, including a sudden and unexpected breach in quality and/or compliance concerning one or more vessels, or a continuous decrease in the quality concerning one or more LNG carriers occurring over time. Moreover, continuous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and financial position.</w:t>
      </w:r>
    </w:p>
    <w:p>
      <w:pPr>
        <w:spacing w:after="0" w:line="283" w:lineRule="exact"/>
        <w:rPr>
          <w:sz w:val="20"/>
          <w:szCs w:val="20"/>
          <w:color w:val="auto"/>
        </w:rPr>
      </w:pPr>
    </w:p>
    <w:p>
      <w:pPr>
        <w:ind w:right="460"/>
        <w:spacing w:after="0" w:line="283" w:lineRule="auto"/>
        <w:rPr>
          <w:sz w:val="20"/>
          <w:szCs w:val="20"/>
          <w:color w:val="auto"/>
        </w:rPr>
      </w:pPr>
      <w:r>
        <w:rPr>
          <w:rFonts w:ascii="Arial" w:cs="Arial" w:eastAsia="Arial" w:hAnsi="Arial"/>
          <w:sz w:val="19"/>
          <w:szCs w:val="19"/>
          <w:b w:val="1"/>
          <w:bCs w:val="1"/>
          <w:i w:val="1"/>
          <w:iCs w:val="1"/>
          <w:color w:val="auto"/>
        </w:rPr>
        <w:t>The LNG shipping industry is subject to substantial environmental and other regulations, which may significantly limit our operations or increase our expenses.</w:t>
      </w:r>
    </w:p>
    <w:p>
      <w:pPr>
        <w:spacing w:after="0" w:line="5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third-party claims as a result of violations of, or liabilities under, such laws and regulations.</w:t>
      </w:r>
    </w:p>
    <w:p>
      <w:pPr>
        <w:spacing w:after="0" w:line="77"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6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Additional laws and regulations may be adopted that could limit our ability to do business or increase our operating costs, which could materially and adversely affect our business. For example, new or amended legislation relating to ship recycling, sewage systems, emission control (including emissions of greenhouse gases) as well as ballast water treatment and ballast water handling may be adopted. The United States has recently enacted ballast water management system legislation and regulations that require more stringent controls of air and water emissions from ocean-going ships. Such legislation or regulations may require additional capital expenditures or operating expenses (such as increased costs for low-sulfur fuel) in order for us to maintain our ships’ compliance with</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international and/or national regulations. We also may become subject to additional laws and regulations if we enter new markets or trades.</w:t>
      </w:r>
    </w:p>
    <w:p>
      <w:pPr>
        <w:spacing w:after="0" w:line="131"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also believe that the heightened environmental, quality and security concerns of insurance underwriters, regulators and charterers will generally lead to additional regulatory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or to obtain the required certificates for entry into the different ports where we operate.</w:t>
      </w:r>
    </w:p>
    <w:p>
      <w:pPr>
        <w:spacing w:after="0" w:line="77"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77"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68"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Climate change and greenhouse gas restrictions may adversely impact our operations and markets.</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Due to concern over the risks of climate change, a number of countries and the International Maritime Organization, or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67"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20" w:name="page21"/>
    <w:bookmarkEnd w:id="20"/>
    <w:p>
      <w:pPr>
        <w:jc w:val="center"/>
        <w:ind w:right="460"/>
        <w:spacing w:after="0" w:line="358" w:lineRule="auto"/>
        <w:rPr>
          <w:sz w:val="20"/>
          <w:szCs w:val="20"/>
          <w:color w:val="auto"/>
        </w:rPr>
      </w:pPr>
      <w:r>
        <w:rPr>
          <w:rFonts w:ascii="Arial" w:cs="Arial" w:eastAsia="Arial" w:hAnsi="Arial"/>
          <w:sz w:val="17"/>
          <w:szCs w:val="17"/>
          <w:b w:val="1"/>
          <w:bCs w:val="1"/>
          <w:i w:val="1"/>
          <w:iCs w:val="1"/>
          <w:color w:val="auto"/>
        </w:rPr>
        <w:t xml:space="preserve">We operate our ships worldwide, which could expose us to political, governmental and economic instability that could harm our business. </w:t>
      </w:r>
      <w:r>
        <w:rPr>
          <w:rFonts w:ascii="Arial" w:cs="Arial" w:eastAsia="Arial" w:hAnsi="Arial"/>
          <w:sz w:val="17"/>
          <w:szCs w:val="17"/>
          <w:color w:val="auto"/>
        </w:rPr>
        <w:t>Because we operate our ships in the geographic areas where our customers do business, our operations may be affected by political,</w:t>
      </w:r>
    </w:p>
    <w:p>
      <w:pPr>
        <w:ind w:right="20"/>
        <w:spacing w:after="0" w:line="253" w:lineRule="auto"/>
        <w:rPr>
          <w:sz w:val="20"/>
          <w:szCs w:val="20"/>
          <w:color w:val="auto"/>
        </w:rPr>
      </w:pPr>
      <w:r>
        <w:rPr>
          <w:rFonts w:ascii="Arial" w:cs="Arial" w:eastAsia="Arial" w:hAnsi="Arial"/>
          <w:sz w:val="19"/>
          <w:szCs w:val="19"/>
          <w:color w:val="auto"/>
        </w:rPr>
        <w:t>governmental and economic conditions in the countries where our ships operate or where they are registered. Any disruption caused by these factors could harm our business, financial condition, results of operations and cash flows, including cash available for dividends to our shareholders. In particular, our ships frequent LNG terminals in countries including Egypt, Equatorial Guinea and Trinidad as well as transit through the Gulf of Aden and the Strait of Malacca. Economic, political and governmental conditions in these and other regions have from time to time resulted in military conflicts, terrorism, attacks on ships, mining of waterways, piracy and other efforts to disrupt shipping. Future hostilities or other political instability in the geographic regions where we operate or may operate could have a material adverse effect on our business, financial condition, results of operations and cash flows, including cash available for dividends to our shareholders. In addition, our business could also be harmed by tariffs, trade embargoes and other economic sanctions by the United States or other countries against countries in the Middle East, Southeast Asia or elsewhere as a result of terrorist attacks, hostilities or diplomatic or political pressures that limit trading activities with those countries.</w:t>
      </w:r>
    </w:p>
    <w:p>
      <w:pPr>
        <w:spacing w:after="0" w:line="301" w:lineRule="exact"/>
        <w:rPr>
          <w:sz w:val="20"/>
          <w:szCs w:val="20"/>
          <w:color w:val="auto"/>
        </w:rPr>
      </w:pPr>
    </w:p>
    <w:p>
      <w:pPr>
        <w:ind w:right="600"/>
        <w:spacing w:after="0" w:line="283" w:lineRule="auto"/>
        <w:rPr>
          <w:sz w:val="20"/>
          <w:szCs w:val="20"/>
          <w:color w:val="auto"/>
        </w:rPr>
      </w:pPr>
      <w:r>
        <w:rPr>
          <w:rFonts w:ascii="Arial" w:cs="Arial" w:eastAsia="Arial" w:hAnsi="Arial"/>
          <w:sz w:val="19"/>
          <w:szCs w:val="19"/>
          <w:b w:val="1"/>
          <w:bCs w:val="1"/>
          <w:i w:val="1"/>
          <w:iCs w:val="1"/>
          <w:color w:val="auto"/>
        </w:rPr>
        <w:t>Terrorist attacks, international hostilities, political change and piracy could adversely affect our business, financial condition, results of operations and cash flows.</w:t>
      </w:r>
    </w:p>
    <w:p>
      <w:pPr>
        <w:spacing w:after="0" w:line="52" w:lineRule="exact"/>
        <w:rPr>
          <w:sz w:val="20"/>
          <w:szCs w:val="20"/>
          <w:color w:val="auto"/>
        </w:rPr>
      </w:pPr>
    </w:p>
    <w:p>
      <w:pPr>
        <w:ind w:right="120" w:firstLine="357"/>
        <w:spacing w:after="0" w:line="297" w:lineRule="auto"/>
        <w:rPr>
          <w:sz w:val="20"/>
          <w:szCs w:val="20"/>
          <w:color w:val="auto"/>
        </w:rPr>
      </w:pPr>
      <w:r>
        <w:rPr>
          <w:rFonts w:ascii="Arial" w:cs="Arial" w:eastAsia="Arial" w:hAnsi="Arial"/>
          <w:sz w:val="17"/>
          <w:szCs w:val="17"/>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dividends to our shareholders.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33" w:lineRule="exact"/>
        <w:rPr>
          <w:sz w:val="20"/>
          <w:szCs w:val="20"/>
          <w:color w:val="auto"/>
        </w:rPr>
      </w:pPr>
    </w:p>
    <w:p>
      <w:pPr>
        <w:jc w:val="both"/>
        <w:ind w:right="160" w:firstLine="357"/>
        <w:spacing w:after="0" w:line="302" w:lineRule="auto"/>
        <w:rPr>
          <w:sz w:val="20"/>
          <w:szCs w:val="20"/>
          <w:color w:val="auto"/>
        </w:rPr>
      </w:pPr>
      <w:r>
        <w:rPr>
          <w:rFonts w:ascii="Arial" w:cs="Arial" w:eastAsia="Arial" w:hAnsi="Arial"/>
          <w:sz w:val="17"/>
          <w:szCs w:val="17"/>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negatively materially affect our business, financial condition, results of operations and cash flows, including cash available for dividends to our shareholders and could directly impact our ships or our customers.</w:t>
      </w:r>
    </w:p>
    <w:p>
      <w:pPr>
        <w:spacing w:after="0" w:line="43"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68"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We may not be adequately insured to cover losses from acts of terrorism, piracy, regional conflicts and other armed actions, including losses relating to the employment of armed guards.</w:t>
      </w:r>
    </w:p>
    <w:p>
      <w:pPr>
        <w:spacing w:after="0" w:line="52"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62" w:lineRule="exact"/>
        <w:rPr>
          <w:sz w:val="20"/>
          <w:szCs w:val="20"/>
          <w:color w:val="auto"/>
        </w:rPr>
      </w:pPr>
    </w:p>
    <w:p>
      <w:pPr>
        <w:ind w:right="280" w:firstLine="357"/>
        <w:spacing w:after="0" w:line="289" w:lineRule="auto"/>
        <w:rPr>
          <w:sz w:val="20"/>
          <w:szCs w:val="20"/>
          <w:color w:val="auto"/>
        </w:rPr>
      </w:pPr>
      <w:r>
        <w:rPr>
          <w:rFonts w:ascii="Arial" w:cs="Arial" w:eastAsia="Arial" w:hAnsi="Arial"/>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 w:name="page22"/>
    <w:bookmarkEnd w:id="21"/>
    <w:p>
      <w:pPr>
        <w:ind w:right="100"/>
        <w:spacing w:after="0" w:line="267" w:lineRule="auto"/>
        <w:rPr>
          <w:sz w:val="20"/>
          <w:szCs w:val="20"/>
          <w:color w:val="auto"/>
        </w:rPr>
      </w:pPr>
      <w:r>
        <w:rPr>
          <w:rFonts w:ascii="Arial" w:cs="Arial" w:eastAsia="Arial" w:hAnsi="Arial"/>
          <w:sz w:val="19"/>
          <w:szCs w:val="19"/>
          <w:color w:val="auto"/>
        </w:rPr>
        <w:t>of LNG facilities, primarily in North America. If a terrorist incident involving a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cyber-attack could materially disrupt GasLog’s business.</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GasLog’s business operations could be targeted by individuals or groups seeking to sabotage or disrupt GasLog’s information technology systems and networks, or to steal data. A successful cyber-attack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 financial condition, results of operations and cash flows, including cash available for dividends to our shareholders.</w:t>
      </w:r>
    </w:p>
    <w:p>
      <w:pPr>
        <w:spacing w:after="0" w:line="280"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b w:val="1"/>
          <w:bCs w:val="1"/>
          <w:i w:val="1"/>
          <w:iCs w:val="1"/>
          <w:color w:val="auto"/>
        </w:rPr>
        <w:t>In the future, the ships we own or manage could be required to call on ports located in countries that are subject to restrictions imposed by the United States and other governments.</w:t>
      </w:r>
    </w:p>
    <w:p>
      <w:pPr>
        <w:spacing w:after="0" w:line="52" w:lineRule="exact"/>
        <w:rPr>
          <w:sz w:val="20"/>
          <w:szCs w:val="20"/>
          <w:color w:val="auto"/>
        </w:rPr>
      </w:pPr>
    </w:p>
    <w:p>
      <w:pPr>
        <w:ind w:right="300" w:firstLine="357"/>
        <w:spacing w:after="0" w:line="258" w:lineRule="auto"/>
        <w:rPr>
          <w:sz w:val="20"/>
          <w:szCs w:val="20"/>
          <w:color w:val="auto"/>
        </w:rPr>
      </w:pPr>
      <w:r>
        <w:rPr>
          <w:rFonts w:ascii="Arial" w:cs="Arial" w:eastAsia="Arial" w:hAnsi="Arial"/>
          <w:sz w:val="19"/>
          <w:szCs w:val="19"/>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76" w:lineRule="exact"/>
        <w:rPr>
          <w:sz w:val="20"/>
          <w:szCs w:val="20"/>
          <w:color w:val="auto"/>
        </w:rPr>
      </w:pPr>
    </w:p>
    <w:p>
      <w:pPr>
        <w:ind w:firstLine="357"/>
        <w:spacing w:after="0" w:line="285" w:lineRule="auto"/>
        <w:rPr>
          <w:sz w:val="20"/>
          <w:szCs w:val="20"/>
          <w:color w:val="auto"/>
        </w:rPr>
      </w:pPr>
      <w:r>
        <w:rPr>
          <w:rFonts w:ascii="Arial" w:cs="Arial" w:eastAsia="Arial" w:hAnsi="Arial"/>
          <w:sz w:val="17"/>
          <w:szCs w:val="17"/>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65" w:lineRule="exact"/>
        <w:rPr>
          <w:sz w:val="20"/>
          <w:szCs w:val="20"/>
          <w:color w:val="auto"/>
        </w:rPr>
      </w:pPr>
    </w:p>
    <w:p>
      <w:pPr>
        <w:ind w:right="60" w:firstLine="357"/>
        <w:spacing w:after="0" w:line="344" w:lineRule="auto"/>
        <w:rPr>
          <w:sz w:val="20"/>
          <w:szCs w:val="20"/>
          <w:color w:val="auto"/>
        </w:rPr>
      </w:pPr>
      <w:r>
        <w:rPr>
          <w:rFonts w:ascii="Arial" w:cs="Arial" w:eastAsia="Arial" w:hAnsi="Arial"/>
          <w:sz w:val="17"/>
          <w:szCs w:val="17"/>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2" w:name="page23"/>
    <w:bookmarkEnd w:id="22"/>
    <w:p>
      <w:pPr>
        <w:ind w:right="300"/>
        <w:spacing w:after="0" w:line="262" w:lineRule="auto"/>
        <w:rPr>
          <w:sz w:val="20"/>
          <w:szCs w:val="20"/>
          <w:color w:val="auto"/>
        </w:rPr>
      </w:pPr>
      <w:r>
        <w:rPr>
          <w:rFonts w:ascii="Arial" w:cs="Arial" w:eastAsia="Arial" w:hAnsi="Arial"/>
          <w:sz w:val="19"/>
          <w:szCs w:val="19"/>
          <w:color w:val="auto"/>
        </w:rPr>
        <w:t>implement these changes, beginning on January 16, 2016, the United States waived enforcement of many of the sanctions against Iran’s energy and petrochemical sectors described above, including, among other things, certain provisions of CISADA, ITRA, and IFCA. While non-U.S. companies may now engage in certain business or trade with Iran that was previously prohibited, the U.S. has the ability to reimpose sanctions against Iran if, in the future, Iran does not comply with its obligations under the nuclear agreement.</w:t>
      </w:r>
    </w:p>
    <w:p>
      <w:pPr>
        <w:spacing w:after="0" w:line="72"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Although the ships we own and those we manage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296" w:lineRule="exact"/>
        <w:rPr>
          <w:sz w:val="20"/>
          <w:szCs w:val="20"/>
          <w:color w:val="auto"/>
        </w:rPr>
      </w:pPr>
    </w:p>
    <w:p>
      <w:pPr>
        <w:ind w:right="380"/>
        <w:spacing w:after="0" w:line="283" w:lineRule="auto"/>
        <w:rPr>
          <w:sz w:val="20"/>
          <w:szCs w:val="20"/>
          <w:color w:val="auto"/>
        </w:rPr>
      </w:pPr>
      <w:r>
        <w:rPr>
          <w:rFonts w:ascii="Arial" w:cs="Arial" w:eastAsia="Arial" w:hAnsi="Arial"/>
          <w:sz w:val="19"/>
          <w:szCs w:val="19"/>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52" w:lineRule="exact"/>
        <w:rPr>
          <w:sz w:val="20"/>
          <w:szCs w:val="20"/>
          <w:color w:val="auto"/>
        </w:rPr>
      </w:pPr>
    </w:p>
    <w:p>
      <w:pPr>
        <w:ind w:right="80" w:firstLine="357"/>
        <w:spacing w:after="0" w:line="289" w:lineRule="auto"/>
        <w:rPr>
          <w:sz w:val="20"/>
          <w:szCs w:val="20"/>
          <w:color w:val="auto"/>
        </w:rPr>
      </w:pPr>
      <w:r>
        <w:rPr>
          <w:rFonts w:ascii="Arial" w:cs="Arial" w:eastAsia="Arial" w:hAnsi="Arial"/>
          <w:sz w:val="17"/>
          <w:szCs w:val="17"/>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Changing laws and evolving reporting requirements could have an adverse effect on our business.</w:t>
      </w:r>
    </w:p>
    <w:p>
      <w:pPr>
        <w:spacing w:after="0" w:line="119"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Changing laws, regulations and standards relating to reporting requirements, including the UK Modern Slavery Act 2015,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68"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The Modern Slavery Act 2015 requires any commercial organization that carries on a business or part of a business in the UK which both (i) supplies goods or services, and (ii) has an annual worldwide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state that it has taken no such steps. The UK Secretary of State may enforce the duty to prepare a slavery and human trafficking statement by means of civil proceedings against the organization concerned. To the extent that we are found to be non-compliant, whether with or without our knowledge, we may face governmental or other regulatory claims that could have an adverse effect on our business, financial conditions, results of operations, cash flows and ability to pay distributions.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Reliability of suppliers may limit our ability to obtain supplies and services when needed.</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Governments could requisition our ships during a period of war or emergency, resulting in loss of earnings.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Maritime claimants could arrest our ships, which could interrupt our cash flows.</w:t>
      </w:r>
    </w:p>
    <w:p>
      <w:pPr>
        <w:spacing w:after="0" w:line="119" w:lineRule="exact"/>
        <w:rPr>
          <w:sz w:val="20"/>
          <w:szCs w:val="20"/>
          <w:color w:val="auto"/>
        </w:rPr>
      </w:pPr>
    </w:p>
    <w:p>
      <w:pPr>
        <w:ind w:right="160" w:firstLine="357"/>
        <w:spacing w:after="0" w:line="294" w:lineRule="auto"/>
        <w:rPr>
          <w:sz w:val="20"/>
          <w:szCs w:val="20"/>
          <w:color w:val="auto"/>
        </w:rPr>
      </w:pPr>
      <w:r>
        <w:rPr>
          <w:rFonts w:ascii="Arial" w:cs="Arial" w:eastAsia="Arial" w:hAnsi="Arial"/>
          <w:sz w:val="17"/>
          <w:szCs w:val="17"/>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49"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subject to litigation that could have an adverse effect on us.</w:t>
      </w:r>
    </w:p>
    <w:p>
      <w:pPr>
        <w:spacing w:after="0" w:line="119" w:lineRule="exact"/>
        <w:rPr>
          <w:sz w:val="20"/>
          <w:szCs w:val="20"/>
          <w:color w:val="auto"/>
        </w:rPr>
      </w:pPr>
    </w:p>
    <w:p>
      <w:pPr>
        <w:ind w:right="160" w:firstLine="357"/>
        <w:spacing w:after="0" w:line="294" w:lineRule="auto"/>
        <w:rPr>
          <w:sz w:val="20"/>
          <w:szCs w:val="20"/>
          <w:color w:val="auto"/>
        </w:rPr>
      </w:pPr>
      <w:r>
        <w:rPr>
          <w:rFonts w:ascii="Arial" w:cs="Arial" w:eastAsia="Arial" w:hAnsi="Arial"/>
          <w:sz w:val="17"/>
          <w:szCs w:val="17"/>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193"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b w:val="1"/>
          <w:bCs w:val="1"/>
          <w:i w:val="1"/>
          <w:iCs w:val="1"/>
          <w:color w:val="auto"/>
        </w:rPr>
        <w:t>Any limitation in the availability or operation of our ships could have a material adverse effect on our business, financial condition, results of operations and cash flows.</w:t>
      </w:r>
    </w:p>
    <w:p>
      <w:pPr>
        <w:spacing w:after="0" w:line="52" w:lineRule="exact"/>
        <w:rPr>
          <w:sz w:val="20"/>
          <w:szCs w:val="20"/>
          <w:color w:val="auto"/>
        </w:rPr>
      </w:pPr>
    </w:p>
    <w:p>
      <w:pPr>
        <w:ind w:right="40" w:firstLine="357"/>
        <w:spacing w:after="0" w:line="289" w:lineRule="auto"/>
        <w:rPr>
          <w:sz w:val="20"/>
          <w:szCs w:val="20"/>
          <w:color w:val="auto"/>
        </w:rPr>
      </w:pPr>
      <w:r>
        <w:rPr>
          <w:rFonts w:ascii="Arial" w:cs="Arial" w:eastAsia="Arial" w:hAnsi="Arial"/>
          <w:sz w:val="17"/>
          <w:szCs w:val="17"/>
          <w:color w:val="auto"/>
        </w:rPr>
        <w:t>Our owned fleet consists of 22 LNG carriers that are in operation (including the nine LNG carriers owned by GasLog Partners) and five newbuildings on order. 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 charter termination would be amplified during the period prior to delivery of our newbuildings, as a substantial portion of our cash flows and income are dependent on the revenues earned by the chartering of our 22 LNG carriers in operation. In addition, the costs of vessel repairs are unpredictable and can be substantial. In the event of repair costs that are not covered by our insurance policies, we may have to pay for such repair costs, which would decrease our earnings and cash flows, including cash available for dividends to our shareholders.</w:t>
      </w:r>
    </w:p>
    <w:p>
      <w:pPr>
        <w:spacing w:after="0" w:line="272"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i w:val="1"/>
          <w:iCs w:val="1"/>
          <w:color w:val="auto"/>
        </w:rPr>
        <w:t>We depend upon one customer for nearly all of our revenues. This customer was recently acquired by another energy company which could impact our ability to maintain our relationship with this customer. The loss of this customer would result in a significant loss of revenues and could have a material adverse effect on our business, financial condition, results of operations and cash flows.</w:t>
      </w:r>
    </w:p>
    <w:p>
      <w:pPr>
        <w:spacing w:after="0" w:line="32"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have historically derived nearly all of our revenues from one customer, MSL, a subsidiary of BG Group and a subsidiary of Shell. For the year ended December 31, 2016, MSL and other subsidiaries of Shell accounted for 84.30% and 10.66% of our revenues, respectively. Following the delivery of our five new LNG carriers on order, MSL will continue to be a key customer, as three of our newbuildings will be chartered to MSL upon delivery for a total of 19 owned vessels chartered to MSL. Although MSL’s contractual obligations under the charter agreements are not impacted by the acquisition, we cannot provide assurance that we will be able to maintain the same business relationship with MSL following its integration into Shell. In addition, the combination of BG Group and Shell has increased our customer concentration because all of our on the water vessels that are on multi-year contracts are now chartered to subsidiaries of Shell. Furthermore, we could lose a customer or the benefits of our time charter or ship management arrangements for many different reasons, including if the customer is unable or unwilling to make charter hire or other payments to us because of a deterioration in its financial condition, disagreements with us or otherwise. If our customer terminates its charters, chooses not to re-charter our ships after the initial charter terms or is unable to perform under its charters and we are not able to find replacement charters on similar terms, we will suffer a loss of revenues that could have a material adverse effect on our business, financial condition, results of operations and cash flows, including cash available for dividends to our shareholders. Our revenues would also be impacted if MSL terminates or is unable to perform under our ship management contracts.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charter termination could have a material adverse effect on our business, financial condition, results of operations and cash flows.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charterers have the right to terminate a ship’s time charter in certain circumstances, such as:</w:t>
      </w:r>
    </w:p>
    <w:p>
      <w:pPr>
        <w:spacing w:after="0" w:line="106" w:lineRule="exact"/>
        <w:rPr>
          <w:sz w:val="20"/>
          <w:szCs w:val="20"/>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loss of the ship or damage to it beyond repair;</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the ship is off-hire for any reason other than scheduled dry-docking for a period exceeding 90 consecutive days, or for more than 90 days or 110 days, depending on the charter, in any one-year period;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defaults by us in our obligations under the charter;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25" w:name="page26"/>
    <w:bookmarkEnd w:id="25"/>
    <w:p>
      <w:pPr>
        <w:ind w:left="540" w:right="340" w:hanging="168"/>
        <w:spacing w:after="0" w:line="28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5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 Accordingly, the existence of any right of termination could have a material adverse effect on our business, financial condition, results of operations and cash flows, including cash available for dividends to our shareholders.</w:t>
      </w:r>
    </w:p>
    <w:p>
      <w:pPr>
        <w:spacing w:after="0" w:line="77"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If we lose a charter, we may be unable to obtain a new time charter on terms as favorable to us or with a charterer of comparable standing, particularly if we are seeking new time charters at a time when charter rates in the LNG industry are depressed. Consequently, we may have an increased exposure to the volatile spot market, which is highly competitive and subject to significant price fluctuations. In the event that we are unable to re-deploy a ship for which a charter has been terminated, we will not receive any revenues from that ship, and we may be required to pay expenses necessary to maintain the ship in proper operating condition. In addition, in the event of a charter termination we could be required under certain of our credit facilities to deposit cash in an account held with the applicable lender until we have obtained a new time charter on terms acceptable to such lender, or under some other of our credit facilities repay the outstanding loan amount, which could restrict our cash available for dividends to our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ship management agreements may be terminated with limited advance notice.</w:t>
      </w:r>
    </w:p>
    <w:p>
      <w:pPr>
        <w:spacing w:after="0" w:line="119"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Unlike our time charters, our ship management agreements with MSL and Egypt LNG may be terminated at any time by either party with a short period of advance notice. In the event that a ship management agreement is terminated by MSL other than in connection with the sale of a ship, MSL would generally be entitled to immediately terminate the ship management agreements for the other ships we manage on its behalf. If a customer were to terminate our ship management agreements, we may be unable to find new customers for our ship management services or we may choose not to continue providing ship management services to third-party customers, which could adversely impact our revenues and cash flows, including cash available for dividends to our shareholders.</w:t>
      </w:r>
    </w:p>
    <w:p>
      <w:pPr>
        <w:spacing w:after="0" w:line="279"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b w:val="1"/>
          <w:bCs w:val="1"/>
          <w:i w:val="1"/>
          <w:iCs w:val="1"/>
          <w:color w:val="auto"/>
        </w:rPr>
        <w:t>Due to our lack of diversification, adverse developments in the LNG transportation industry could adversely affect our business, particularly if such developments occur at a time when we are seeking a new charter.</w:t>
      </w:r>
    </w:p>
    <w:p>
      <w:pPr>
        <w:spacing w:after="0" w:line="52"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We rely exclusively on cash flow generated from charters for our LNG vessels and management of third party LNG vessels. Due to our lack of diversification, an adverse development in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288" w:lineRule="exact"/>
        <w:rPr>
          <w:sz w:val="20"/>
          <w:szCs w:val="20"/>
          <w:color w:val="auto"/>
        </w:rPr>
      </w:pPr>
    </w:p>
    <w:p>
      <w:pPr>
        <w:ind w:right="180"/>
        <w:spacing w:after="0" w:line="283" w:lineRule="auto"/>
        <w:rPr>
          <w:sz w:val="20"/>
          <w:szCs w:val="20"/>
          <w:color w:val="auto"/>
        </w:rPr>
      </w:pPr>
      <w:r>
        <w:rPr>
          <w:rFonts w:ascii="Arial" w:cs="Arial" w:eastAsia="Arial" w:hAnsi="Arial"/>
          <w:sz w:val="19"/>
          <w:szCs w:val="19"/>
          <w:b w:val="1"/>
          <w:bCs w:val="1"/>
          <w:i w:val="1"/>
          <w:iCs w:val="1"/>
          <w:color w:val="auto"/>
        </w:rPr>
        <w:t>Our contracts for the five newbuildings we have on order are subject to risks that could cause delays in the delivery of the ships, which could adversely affect our results of operations and cash flows.</w:t>
      </w:r>
    </w:p>
    <w:p>
      <w:pPr>
        <w:spacing w:after="0" w:line="52"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Our five contracted newbuildings are scheduled to be delivered to us on various dates between 2018 and 2019. Significant delays in the delivery of one or more of these ships, which are expected to generate a substantial portion of our contracted revenue in future years,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the delivery of any of these ships with substantial defects or unexpected operational problems could have similar consequences.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completion of newbuildings could be delayed because of:</w:t>
      </w:r>
    </w:p>
    <w:p>
      <w:pPr>
        <w:spacing w:after="0" w:line="106" w:lineRule="exact"/>
        <w:rPr>
          <w:sz w:val="20"/>
          <w:szCs w:val="20"/>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shortages of equipment, materials or skilled labor;</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delays in the receipt of necessary construction materials, such as steel, or equipment, such as engines or generators;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failure of equipment to meet quality and/or performance standards;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shipyards over-committing to new ships to be constructed;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changes in governmental regulations or maritime self-regulatory organization standards;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political or economic disturbances;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financial or operating difficulties experienced by equipment vendors or the shipyards;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requests for changes to the original vessel specifications;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inability to obtain required permits or approvals;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disputes with the shipyards;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inability to finance the construction or conversion of the vessels;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work stoppages and other labor disputes; and</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adverse weather conditions or any other events of force majeure, including war or hostilities between South Korea, where we have ships on order at Samsung and Hyundai, and North Korea.</w:t>
      </w:r>
    </w:p>
    <w:p>
      <w:pPr>
        <w:spacing w:after="0" w:line="65"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delivery of a vessel is materially delayed, it could adversely affect our business, financial condition, results of operations and cash flows, including cash available for dividends to our shareholders.</w:t>
      </w:r>
    </w:p>
    <w:p>
      <w:pPr>
        <w:spacing w:after="0" w:line="255" w:lineRule="exact"/>
        <w:rPr>
          <w:sz w:val="20"/>
          <w:szCs w:val="20"/>
          <w:color w:val="auto"/>
        </w:rPr>
      </w:pPr>
    </w:p>
    <w:p>
      <w:pPr>
        <w:jc w:val="both"/>
        <w:ind w:right="320"/>
        <w:spacing w:after="0" w:line="267" w:lineRule="auto"/>
        <w:rPr>
          <w:sz w:val="20"/>
          <w:szCs w:val="20"/>
          <w:color w:val="auto"/>
        </w:rPr>
      </w:pPr>
      <w:r>
        <w:rPr>
          <w:rFonts w:ascii="Arial" w:cs="Arial" w:eastAsia="Arial" w:hAnsi="Arial"/>
          <w:sz w:val="19"/>
          <w:szCs w:val="19"/>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68"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ability to acquire and retain customers depends on a number of factors, including our ability to man our vessels with masters, officers and crews of suitable experience in operating LNG carriers. As we take delivery of our newbuildings or any secondhand ships we acquire in the future, we expect to hire a significant number of seafarers qualified to man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7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288"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b w:val="1"/>
          <w:bCs w:val="1"/>
          <w:i w:val="1"/>
          <w:iCs w:val="1"/>
          <w:color w:val="auto"/>
        </w:rPr>
        <w:t>We must make substantial capital expenditures to acquire the five newbuildings we have on order and any additional ships we may acquire in the future.</w:t>
      </w:r>
    </w:p>
    <w:p>
      <w:pPr>
        <w:spacing w:after="0" w:line="52"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We are obligated to make substantial capital expenditures to fund our commitments for the five newbuildings we have on order. We are scheduled to take delivery of the vessels on various dates between 2018 and 2019. As of December 31, 2016, the total remaining balance of the contract prices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7" w:name="page28"/>
    <w:bookmarkEnd w:id="27"/>
    <w:p>
      <w:pPr>
        <w:jc w:val="both"/>
        <w:ind w:right="160"/>
        <w:spacing w:after="0" w:line="262" w:lineRule="auto"/>
        <w:rPr>
          <w:sz w:val="20"/>
          <w:szCs w:val="20"/>
          <w:color w:val="auto"/>
        </w:rPr>
      </w:pPr>
      <w:r>
        <w:rPr>
          <w:rFonts w:ascii="Arial" w:cs="Arial" w:eastAsia="Arial" w:hAnsi="Arial"/>
          <w:sz w:val="19"/>
          <w:szCs w:val="19"/>
          <w:color w:val="auto"/>
        </w:rPr>
        <w:t>for the five vessels was $0.95 billion, which amounts are payable under each shipbuilding contract in installments upon the attainment of certain specified milestones. The largest portion of the purchase price for each vessel will come due upon its delivery to us from the shipyard. We intend to fund these commitments with the undrawn $664.03 million under the financing agreement we entered into on October 16, 2015 (the “October 2015 Facility”), available cash and cash from operations.</w:t>
      </w:r>
    </w:p>
    <w:p>
      <w:pPr>
        <w:spacing w:after="0" w:line="7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To the extent that we are unable to draw down the amounts committed under our credit facilities, whether due to our failure to comply with the terms of such facilities or the lenders’ failure to fund the committed amounts, we will need to find alternative financing. If we are unable to find alternative financing, we will not be capable of funding all of our commitments for capital expenditures relating to our five contracted newbuildings. In the event that we fail to meet our payment obligations under a shipbuilding contract, we would be in default under the applicable contract and the shipbuilder would have the option of cancelling the contract and retaining any previously funded installment payments, which could have a material adverse effect on our business, financial condition, results of operations and cash flows, including cash available for dividends to our shareholders.</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In addition, we may choose to make substantial capital expenditures to expand the size of our fleet in the future. We expect to finance the cost of any new vessels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and further contingencies and uncertainties that are beyond our control. Even if we are successful in obtaining necessary funds, the terms of any debt financings could limit our ability to further expand our fleet and to pay dividends to our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have difficulty further expanding our fleet in the future.</w:t>
      </w:r>
    </w:p>
    <w:p>
      <w:pPr>
        <w:spacing w:after="0" w:line="106"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9"/>
          <w:szCs w:val="19"/>
          <w:i w:val="1"/>
          <w:iCs w:val="1"/>
          <w:color w:val="auto"/>
        </w:rPr>
        <w:t>GasLog Chelsea</w:t>
      </w:r>
      <w:r>
        <w:rPr>
          <w:rFonts w:ascii="Arial" w:cs="Arial" w:eastAsia="Arial" w:hAnsi="Arial"/>
          <w:sz w:val="19"/>
          <w:szCs w:val="19"/>
          <w:color w:val="auto"/>
        </w:rPr>
        <w:t xml:space="preserve"> and the eight vessels acquired from MSL in 2014 and 2015. Our future growth will depend on numerous factors, some of which are beyond our control, including our ability to:</w:t>
      </w:r>
    </w:p>
    <w:p>
      <w:pPr>
        <w:spacing w:after="0" w:line="59" w:lineRule="exact"/>
        <w:rPr>
          <w:sz w:val="20"/>
          <w:szCs w:val="20"/>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identify attractive ship acquisition opportunities and consummate such acquisitions;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obtain newbuilding contracts at acceptable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obtain required equity and debt financing on acceptable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secure charter arrangements on terms acceptable to our lenders;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expand our relationships with existing customers and establish new customer relationships;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recruit and retain additional suitably qualified and experienced seafarers and shore-based employees;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continue to meet technical and safety performance standards;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manage joint ventures;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manage the expansion of our operations to integrate the new ships into our fleet.</w:t>
      </w:r>
    </w:p>
    <w:p>
      <w:pPr>
        <w:spacing w:after="0" w:line="119"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We may not be successful in executing any future growth plans, and we cannot give any assurances that we will not incur significant expenses and losses in connection with such growth efforts.</w:t>
      </w:r>
    </w:p>
    <w:p>
      <w:pPr>
        <w:spacing w:after="0" w:line="268" w:lineRule="exact"/>
        <w:rPr>
          <w:sz w:val="20"/>
          <w:szCs w:val="20"/>
          <w:color w:val="auto"/>
        </w:rPr>
      </w:pPr>
    </w:p>
    <w:p>
      <w:pPr>
        <w:ind w:right="420"/>
        <w:spacing w:after="0" w:line="283" w:lineRule="auto"/>
        <w:rPr>
          <w:sz w:val="20"/>
          <w:szCs w:val="20"/>
          <w:color w:val="auto"/>
        </w:rPr>
      </w:pPr>
      <w:r>
        <w:rPr>
          <w:rFonts w:ascii="Arial" w:cs="Arial" w:eastAsia="Arial" w:hAnsi="Arial"/>
          <w:sz w:val="19"/>
          <w:szCs w:val="19"/>
          <w:b w:val="1"/>
          <w:bCs w:val="1"/>
          <w:i w:val="1"/>
          <w:iCs w:val="1"/>
          <w:color w:val="auto"/>
        </w:rPr>
        <w:t>Our credit facilities are secured by our ships and contain payment obligations and restrictive covenants that may restrict our business and financing activities as well as our ability to pay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8" w:name="page29"/>
    <w:bookmarkEnd w:id="28"/>
    <w:p>
      <w:pPr>
        <w:ind w:right="20"/>
        <w:spacing w:after="0" w:line="283" w:lineRule="auto"/>
        <w:rPr>
          <w:sz w:val="20"/>
          <w:szCs w:val="20"/>
          <w:color w:val="auto"/>
        </w:rPr>
      </w:pPr>
      <w:r>
        <w:rPr>
          <w:rFonts w:ascii="Arial" w:cs="Arial" w:eastAsia="Arial" w:hAnsi="Arial"/>
          <w:sz w:val="19"/>
          <w:szCs w:val="19"/>
          <w:b w:val="1"/>
          <w:bCs w:val="1"/>
          <w:i w:val="1"/>
          <w:iCs w:val="1"/>
          <w:color w:val="auto"/>
        </w:rPr>
        <w:t>dividends. A failure by us to meet our obligations under our credit facilities could result in an event of default under such credit facilities and foreclosure on our ships.</w:t>
      </w:r>
    </w:p>
    <w:p>
      <w:pPr>
        <w:spacing w:after="0" w:line="52" w:lineRule="exact"/>
        <w:rPr>
          <w:sz w:val="20"/>
          <w:szCs w:val="20"/>
          <w:color w:val="auto"/>
        </w:rPr>
      </w:pPr>
    </w:p>
    <w:p>
      <w:pPr>
        <w:ind w:right="600" w:firstLine="357"/>
        <w:spacing w:after="0" w:line="312"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6" w:lineRule="exact"/>
        <w:rPr>
          <w:sz w:val="20"/>
          <w:szCs w:val="20"/>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incur additional indebtedness, create liens or provide guarantees;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sell or otherwise dispose of assets, including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engage in merger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enter into, terminate or amend any charter;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amend our shipbuilding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 the manager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undergo a change in ownership;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acquire assets, make investments or enter into any joint venture arrangements outside of the ordinary course of business.</w:t>
      </w:r>
    </w:p>
    <w:p>
      <w:pPr>
        <w:spacing w:after="0" w:line="133"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w:t>
      </w:r>
    </w:p>
    <w:p>
      <w:pPr>
        <w:spacing w:after="0" w:line="54"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Our credit facilities also impose specified financial covenants that apply to us and our subsidiaries on a consolidated basis or, in the case of the GasLog Partners’ $450.0 million credit facility, or the “GasLog Partners Credit Facility”, to GasLog Partners and its subsidiaries on a consolidated basis, or in the case of the credit facility provided under the credit agreement entered into on February 18, 2016 to refinance the existing indebtedness on five of our contracted vessels of up to $576.50 million, or the “Five Vessel Refinancing”, to us and our subsidiaries on a consolidated basis and to GasLog Partners and its subsidiaries on a consolidated basis. These financial covenants generally include the following:</w:t>
      </w:r>
    </w:p>
    <w:p>
      <w:pPr>
        <w:spacing w:after="0" w:line="33" w:lineRule="exact"/>
        <w:rPr>
          <w:sz w:val="20"/>
          <w:szCs w:val="20"/>
          <w:color w:val="auto"/>
        </w:rPr>
      </w:pPr>
    </w:p>
    <w:p>
      <w:pPr>
        <w:ind w:left="540" w:right="600" w:hanging="16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net working capital (excluding the current portion of long-term debt) must be not less than $0 (not included in the GasLog Partners financial covenants);</w:t>
      </w:r>
    </w:p>
    <w:p>
      <w:pPr>
        <w:spacing w:after="0" w:line="38"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total indebtedness divided by our total assets must not exceed 75.0% (in the case of the GasLog Partners financial covenants, must be less than 60.0%);</w:t>
      </w:r>
    </w:p>
    <w:p>
      <w:pPr>
        <w:spacing w:after="0" w:line="38"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ratio of EBITDA over our debt service obligations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right="260" w:hanging="16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total indebtedness and $50.0 million ($15.0 million under the GasLog Partners financial covenants);</w:t>
      </w:r>
    </w:p>
    <w:p>
      <w:pPr>
        <w:spacing w:after="0" w:line="38" w:lineRule="exact"/>
        <w:rPr>
          <w:rFonts w:ascii="Arial" w:cs="Arial" w:eastAsia="Arial" w:hAnsi="Arial"/>
          <w:sz w:val="19"/>
          <w:szCs w:val="19"/>
          <w:color w:val="auto"/>
        </w:rPr>
      </w:pPr>
    </w:p>
    <w:p>
      <w:pPr>
        <w:ind w:left="540" w:right="100" w:hanging="168"/>
        <w:spacing w:after="0" w:line="262"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being permitted to pay dividends, provided that unencumbered cash and cash equivalents equal to at least 4.0% of total indebtedness,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market value adjusted net worth must be not less than $350.0 million (not included in the GasLog Partners financial covenants).</w:t>
      </w:r>
    </w:p>
    <w:p>
      <w:pPr>
        <w:spacing w:after="0" w:line="11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not less than 120.0% (in the case of the October 2015 Facility, 115.0% for the first two years after each drawdown and 120.0% at any time thereafter and in the case of the Five Vessel Refinancing,</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29" w:name="page30"/>
    <w:bookmarkEnd w:id="29"/>
    <w:p>
      <w:pPr>
        <w:ind w:right="140"/>
        <w:spacing w:after="0" w:line="262" w:lineRule="auto"/>
        <w:rPr>
          <w:sz w:val="20"/>
          <w:szCs w:val="20"/>
          <w:color w:val="auto"/>
        </w:rPr>
      </w:pPr>
      <w:r>
        <w:rPr>
          <w:rFonts w:ascii="Arial" w:cs="Arial" w:eastAsia="Arial" w:hAnsi="Arial"/>
          <w:sz w:val="19"/>
          <w:szCs w:val="19"/>
          <w:color w:val="auto"/>
        </w:rPr>
        <w:t>115.0% until the maturity of the junior tranche and 120.0% at any time thereafter)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72" w:lineRule="exact"/>
        <w:rPr>
          <w:sz w:val="20"/>
          <w:szCs w:val="20"/>
          <w:color w:val="auto"/>
        </w:rPr>
      </w:pPr>
    </w:p>
    <w:p>
      <w:pPr>
        <w:ind w:right="220" w:firstLine="357"/>
        <w:spacing w:after="0" w:line="289" w:lineRule="auto"/>
        <w:rPr>
          <w:sz w:val="20"/>
          <w:szCs w:val="20"/>
          <w:color w:val="auto"/>
        </w:rPr>
      </w:pPr>
      <w:r>
        <w:rPr>
          <w:rFonts w:ascii="Arial" w:cs="Arial" w:eastAsia="Arial" w:hAnsi="Arial"/>
          <w:sz w:val="18"/>
          <w:szCs w:val="18"/>
          <w:color w:val="auto"/>
        </w:rPr>
        <w:t>Further, GasLog has two NOK denominated bonds which also impose specified financial covenants that apply to it and its subsidiaries on a consolidated basis. Under the NOK denominated bond agreement signed on June 25, 2013, between GasLog Ltd. and the bond trustee, as amended, or the “2018 Bond Agreement”, GasLog is required to comply with the following financial covenants:</w:t>
      </w:r>
    </w:p>
    <w:p>
      <w:pPr>
        <w:spacing w:after="0" w:line="36" w:lineRule="exact"/>
        <w:rPr>
          <w:sz w:val="20"/>
          <w:szCs w:val="20"/>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GasLog’s total indebtedness divided by its total assets must not exceed 75.0%;</w:t>
      </w:r>
    </w:p>
    <w:p>
      <w:pPr>
        <w:spacing w:after="0" w:line="92"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ratio of EBITDA over GasLog’s debt service obligations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right="940" w:hanging="16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GasLog’s total indebtedness and $20.0 million after the first drawdown;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GasLog’s market value adjusted net worth must at all times be not less than $350.0 million.</w:t>
      </w:r>
    </w:p>
    <w:p>
      <w:pPr>
        <w:spacing w:after="0" w:line="13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The 2018 Bond Agreement also includes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50.0% of GasLog’s consolidated net profit after taxes based on the audited annual accounts for the previous financial year (any unutilized portion of the permitted dividend pursuant to the above may not be carried forward). Notwithstanding the above, GasLog is permitted to make Distributions up to an aggregate maximum per share, for the years 2016, 2017 and 2018 of $1.10/share, $1.20/share and $1.30/share, respectively, provided that total indebtedness divided by total assets (giving pro forma effect for the distribution) does not exceed 67.5% immediately after the Distribution is made, the ratio of EBITDA over debt service obligations on a trailing 12 months basis ending the quarter immediately prior to that in which the Distribution is made is not less than 115.0% and no event of default would result from such distribution. The 2018 Bond Agreement also prohibits GasLog from providing any debt or committed debt availability to GasLog Partners in excess of $75.0 million.</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Under the NOK denominated bond agreement signed on June 22, 2016, between GasLog Ltd. and the bond trustee, as amended, or the “2021</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Bond Agreement”, GasLog is required to comply with the following financial covenants:</w:t>
      </w:r>
    </w:p>
    <w:p>
      <w:pPr>
        <w:spacing w:after="0" w:line="90" w:lineRule="exact"/>
        <w:rPr>
          <w:sz w:val="20"/>
          <w:szCs w:val="20"/>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net working capital (excluding the current portion of long-term debt) must be not less than $0;</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total indebtedness divided by total assets must not exceed 75.0%;</w:t>
      </w:r>
    </w:p>
    <w:p>
      <w:pPr>
        <w:spacing w:after="0" w:line="105"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total indebtedness and $50.0 million;</w:t>
      </w:r>
    </w:p>
    <w:p>
      <w:pPr>
        <w:spacing w:after="0" w:line="38" w:lineRule="exact"/>
        <w:rPr>
          <w:rFonts w:ascii="Arial" w:cs="Arial" w:eastAsia="Arial" w:hAnsi="Arial"/>
          <w:sz w:val="19"/>
          <w:szCs w:val="19"/>
          <w:color w:val="auto"/>
        </w:rPr>
      </w:pPr>
    </w:p>
    <w:p>
      <w:pPr>
        <w:ind w:left="540" w:right="640" w:hanging="168"/>
        <w:spacing w:after="0" w:line="339"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GasLog’s market value adjusted net worth must at all times be not less than $350.0 million.</w:t>
      </w:r>
    </w:p>
    <w:p>
      <w:pPr>
        <w:spacing w:after="0" w:line="119"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In addition, the 2021 Bond Agreement includes a dividend restriction according to which GasLog may not (i) declare or make any dividend payment or distribution, whether in cash or in kind, (ii) re-purchase any of GasLog’s shares or undertake other similar transactions (including, but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8"/>
          <w:szCs w:val="18"/>
          <w:color w:val="auto"/>
        </w:rPr>
        <w:t>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50% of GasLog’s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GasLog shall not include any profits related to the sale of assets (and consequently any such profits related to such profits shall not form the basis for Distributions). Under the 2021 Bond Agreement GasLog is permitted to make Distributions up to a maximum amount per share per annum for the years 2016, 2017, 2018, 2019, 2020 and 2021 of $1.00/share, $1.10/share, $1.10/share, $1.20/share, $1.20/share and $1.20/share, respectively, provided that GasLog can demonstrate by delivering a compliance certificate to the bond trustee that no event of default is continuing or would result from such Distributions.</w:t>
      </w:r>
    </w:p>
    <w:p>
      <w:pPr>
        <w:spacing w:after="0" w:line="71" w:lineRule="exact"/>
        <w:rPr>
          <w:sz w:val="20"/>
          <w:szCs w:val="20"/>
          <w:color w:val="auto"/>
        </w:rPr>
      </w:pPr>
    </w:p>
    <w:p>
      <w:pPr>
        <w:ind w:right="320" w:firstLine="357"/>
        <w:spacing w:after="0" w:line="28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49"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Resources—Credit Facilities”.</w:t>
      </w:r>
    </w:p>
    <w:p>
      <w:pPr>
        <w:spacing w:after="0" w:line="71"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The significant global natural gas and crude oil price volatility, amongst other factors referenced above, have in turn led to a significant shortening of the average duration of spot charters fixed during 2016, as well as a significant decline in average rates for new spot and shorter-term LNG charters commencing promptly. Over the next 18 months, unless LNG charter market conditions improve, we may have difficulty in securing new charters at attractive rates and durations for the five vessels in the Cool Pool. As of December 31, 2016, we had a total of 1,978 open vessel days during 2017, including 1,825 days for the five vessels operating in the Cool Pool. A failure to obtain charters at acceptable rates on these vessels could adversely affect our business, financial condition, results of operations and cash flows, including cash available for dividends to our shareholders, as well as our ability to meet certain of our debt covenants later in 2017, particularly the required ratio of EBITDA to debt service and the minimum cash requirement.</w:t>
      </w:r>
    </w:p>
    <w:p>
      <w:pPr>
        <w:spacing w:after="0" w:line="283" w:lineRule="exact"/>
        <w:rPr>
          <w:sz w:val="20"/>
          <w:szCs w:val="20"/>
          <w:color w:val="auto"/>
        </w:rPr>
      </w:pPr>
    </w:p>
    <w:p>
      <w:pPr>
        <w:ind w:right="180"/>
        <w:spacing w:after="0" w:line="344" w:lineRule="auto"/>
        <w:rPr>
          <w:sz w:val="20"/>
          <w:szCs w:val="20"/>
          <w:color w:val="auto"/>
        </w:rPr>
      </w:pPr>
      <w:r>
        <w:rPr>
          <w:rFonts w:ascii="Arial" w:cs="Arial" w:eastAsia="Arial" w:hAnsi="Arial"/>
          <w:sz w:val="17"/>
          <w:szCs w:val="17"/>
          <w:b w:val="1"/>
          <w:bCs w:val="1"/>
          <w:i w:val="1"/>
          <w:iCs w:val="1"/>
          <w:color w:val="auto"/>
        </w:rPr>
        <w:t>Ship values may fluctuate substantially, which could result in an impairment charge, could impact our compliance with the covenants in our loan agreements and, if the values are lower at a time when we are attempting to dispose of ships, could cause us to incur a loss.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Values for ships can fluctuate substantially over time due to a number of different factors, including:</w:t>
      </w:r>
    </w:p>
    <w:p>
      <w:pPr>
        <w:spacing w:after="0" w:line="106" w:lineRule="exact"/>
        <w:rPr>
          <w:sz w:val="20"/>
          <w:szCs w:val="20"/>
          <w:color w:val="auto"/>
        </w:rPr>
      </w:pPr>
    </w:p>
    <w:p>
      <w:pPr>
        <w:ind w:left="540" w:hanging="16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prevailing economic conditions in the natural gas and energy markets;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substantial or extended decline in demand for LNG;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level of worldwide LNG production and exports;</w:t>
      </w:r>
    </w:p>
    <w:p>
      <w:pPr>
        <w:spacing w:after="0" w:line="105" w:lineRule="exact"/>
        <w:rPr>
          <w:rFonts w:ascii="Arial" w:cs="Arial" w:eastAsia="Arial" w:hAnsi="Arial"/>
          <w:sz w:val="19"/>
          <w:szCs w:val="19"/>
          <w:color w:val="auto"/>
        </w:rPr>
      </w:pPr>
    </w:p>
    <w:p>
      <w:pPr>
        <w:ind w:left="5620" w:right="5400" w:hanging="5248"/>
        <w:spacing w:after="0" w:line="477" w:lineRule="auto"/>
        <w:tabs>
          <w:tab w:leader="none" w:pos="5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supply-demand balance of the global LNG carrier fleet;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1" w:name="page32"/>
    <w:bookmarkEnd w:id="31"/>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prevailing charter hire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physical condition of the ship;</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size, age and technical specifications of the ship;</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demand for LNG carriers; and</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5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If the market value of our ships declines, we may be required to record an impairment charge in our financial statements, which could adversely affect our results of operations. See “Item 5. Operating and Financial Review and Prospects -B. Liquidity and Capital Resourced— Critical Accounting Policies—Impairment of Vessels”. In addition, any such deterioration in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prices have fallen, could result in a loss and could materially and adversely affect our business, financial condition, results of operations and cash flows, including cash available for dividends to our shareholders.</w:t>
      </w:r>
    </w:p>
    <w:p>
      <w:pPr>
        <w:spacing w:after="0" w:line="287" w:lineRule="exact"/>
        <w:rPr>
          <w:sz w:val="20"/>
          <w:szCs w:val="20"/>
          <w:color w:val="auto"/>
        </w:rPr>
      </w:pPr>
    </w:p>
    <w:p>
      <w:pPr>
        <w:ind w:right="180"/>
        <w:spacing w:after="0" w:line="283" w:lineRule="auto"/>
        <w:rPr>
          <w:sz w:val="20"/>
          <w:szCs w:val="20"/>
          <w:color w:val="auto"/>
        </w:rPr>
      </w:pPr>
      <w:r>
        <w:rPr>
          <w:rFonts w:ascii="Arial" w:cs="Arial" w:eastAsia="Arial" w:hAnsi="Arial"/>
          <w:sz w:val="19"/>
          <w:szCs w:val="19"/>
          <w:b w:val="1"/>
          <w:bCs w:val="1"/>
          <w:i w:val="1"/>
          <w:iCs w:val="1"/>
          <w:color w:val="auto"/>
        </w:rPr>
        <w:t>Our debt levels may limit our flexibility in obtaining additional financing, pursuing other business opportunities and paying dividends to our shareholders.</w:t>
      </w:r>
    </w:p>
    <w:p>
      <w:pPr>
        <w:spacing w:after="0" w:line="52"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 xml:space="preserve">As of December 31, 2016, we had an aggregate of $2.65 billion of indebtedness outstanding under our credit agreements and Bonds, of which $147.45 million was repayable within one year, and a $220.40 million finance lease liability related to the sale and leaseback of the </w:t>
      </w:r>
      <w:r>
        <w:rPr>
          <w:rFonts w:ascii="Arial" w:cs="Arial" w:eastAsia="Arial" w:hAnsi="Arial"/>
          <w:sz w:val="19"/>
          <w:szCs w:val="19"/>
          <w:i w:val="1"/>
          <w:iCs w:val="1"/>
          <w:color w:val="auto"/>
        </w:rPr>
        <w:t>Methane Julia</w:t>
      </w:r>
      <w:r>
        <w:rPr>
          <w:rFonts w:ascii="Arial" w:cs="Arial" w:eastAsia="Arial" w:hAnsi="Arial"/>
          <w:sz w:val="19"/>
          <w:szCs w:val="19"/>
          <w:color w:val="auto"/>
        </w:rPr>
        <w:t xml:space="preserve"> </w:t>
      </w:r>
      <w:r>
        <w:rPr>
          <w:rFonts w:ascii="Arial" w:cs="Arial" w:eastAsia="Arial" w:hAnsi="Arial"/>
          <w:sz w:val="19"/>
          <w:szCs w:val="19"/>
          <w:i w:val="1"/>
          <w:iCs w:val="1"/>
          <w:color w:val="auto"/>
        </w:rPr>
        <w:t>Louise</w:t>
      </w:r>
      <w:r>
        <w:rPr>
          <w:rFonts w:ascii="Arial" w:cs="Arial" w:eastAsia="Arial" w:hAnsi="Arial"/>
          <w:sz w:val="19"/>
          <w:szCs w:val="19"/>
          <w:color w:val="auto"/>
        </w:rPr>
        <w:t>, of which $5.95 million was repayable within one year. As of December 31, 2016 there was an undrawn available capacity of $88.4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revolving facility of the credit agreement we entered into on July 19, 2016 to refinance the existing indebtedness on eight of our on-the-water vessels of up to $1,050.0 million (the “Legacy Facility Refinancing”). In addition, there is one loan facility with an aggregate undrawn amount of $664.03 million available that will be used to finance a portion of the contract price of four of our five newbuildings on their delivery. We may incur additional indebtedness in the future as we grow our fleet. This level of debt could have important consequences to us, including the following:</w:t>
      </w:r>
    </w:p>
    <w:p>
      <w:pPr>
        <w:spacing w:after="0" w:line="53" w:lineRule="exact"/>
        <w:rPr>
          <w:sz w:val="20"/>
          <w:szCs w:val="20"/>
          <w:color w:val="auto"/>
        </w:rPr>
      </w:pPr>
    </w:p>
    <w:p>
      <w:pPr>
        <w:ind w:left="540" w:right="8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obtain additional financing, if necessary, for working capital, capital expenditures, ship acquisitions or other purposes may be impaired or such financing may not be available on favorable terms;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costs of borrowing could increase as we become more leveraged;</w:t>
      </w:r>
    </w:p>
    <w:p>
      <w:pPr>
        <w:spacing w:after="0" w:line="105"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38" w:lineRule="exact"/>
        <w:rPr>
          <w:rFonts w:ascii="Arial" w:cs="Arial" w:eastAsia="Arial" w:hAnsi="Arial"/>
          <w:sz w:val="19"/>
          <w:szCs w:val="19"/>
          <w:color w:val="auto"/>
        </w:rPr>
      </w:pPr>
    </w:p>
    <w:p>
      <w:pPr>
        <w:ind w:left="540" w:right="18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debt level may make us more vulnerable than our competitors with less debt to competitive pressures or a downturn in our industry or the economy generally;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debt level may limit our flexibility in responding to changing business and economic conditions.</w:t>
      </w:r>
    </w:p>
    <w:p>
      <w:pPr>
        <w:spacing w:after="0" w:line="119"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or bankruptcy protection. We may not be able to effect any of these remedies on satisfactory terms, or at all.</w:t>
      </w:r>
    </w:p>
    <w:p>
      <w:pPr>
        <w:spacing w:after="0" w:line="335" w:lineRule="exact"/>
        <w:rPr>
          <w:sz w:val="20"/>
          <w:szCs w:val="20"/>
          <w:color w:val="auto"/>
        </w:rPr>
      </w:pPr>
    </w:p>
    <w:p>
      <w:pPr>
        <w:ind w:right="1060"/>
        <w:spacing w:after="0" w:line="283" w:lineRule="auto"/>
        <w:rPr>
          <w:sz w:val="20"/>
          <w:szCs w:val="20"/>
          <w:color w:val="auto"/>
        </w:rPr>
      </w:pPr>
      <w:r>
        <w:rPr>
          <w:rFonts w:ascii="Arial" w:cs="Arial" w:eastAsia="Arial" w:hAnsi="Arial"/>
          <w:sz w:val="19"/>
          <w:szCs w:val="19"/>
          <w:b w:val="1"/>
          <w:bCs w:val="1"/>
          <w:i w:val="1"/>
          <w:iCs w:val="1"/>
          <w:color w:val="auto"/>
        </w:rPr>
        <w:t>Our ability to obtain additional debt financing for future acquisitions of ships or to refinance our existing debt may depend on the creditworthiness of our charterers and the terms of our future charters.</w:t>
      </w:r>
    </w:p>
    <w:p>
      <w:pPr>
        <w:spacing w:after="0" w:line="5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251" w:lineRule="exact"/>
        <w:rPr>
          <w:sz w:val="20"/>
          <w:szCs w:val="20"/>
          <w:color w:val="auto"/>
        </w:rPr>
      </w:pPr>
    </w:p>
    <w:p>
      <w:pPr>
        <w:ind w:right="680"/>
        <w:spacing w:after="0" w:line="283" w:lineRule="auto"/>
        <w:rPr>
          <w:sz w:val="20"/>
          <w:szCs w:val="20"/>
          <w:color w:val="auto"/>
        </w:rPr>
      </w:pPr>
      <w:r>
        <w:rPr>
          <w:rFonts w:ascii="Arial" w:cs="Arial" w:eastAsia="Arial" w:hAnsi="Arial"/>
          <w:sz w:val="19"/>
          <w:szCs w:val="19"/>
          <w:b w:val="1"/>
          <w:bCs w:val="1"/>
          <w:i w:val="1"/>
          <w:iCs w:val="1"/>
          <w:color w:val="auto"/>
        </w:rPr>
        <w:t>Our ability to pay dividends or to redeem our Preference Shares may be limited by the amount of cash we generate from operations, by restrictions in our credit facilities and by additional factors unrelated to our profitability.</w:t>
      </w:r>
    </w:p>
    <w:p>
      <w:pPr>
        <w:spacing w:after="0" w:line="52" w:lineRule="exact"/>
        <w:rPr>
          <w:sz w:val="20"/>
          <w:szCs w:val="20"/>
          <w:color w:val="auto"/>
        </w:rPr>
      </w:pPr>
    </w:p>
    <w:p>
      <w:pPr>
        <w:ind w:right="360" w:firstLine="357"/>
        <w:spacing w:after="0" w:line="297" w:lineRule="auto"/>
        <w:rPr>
          <w:sz w:val="20"/>
          <w:szCs w:val="20"/>
          <w:color w:val="auto"/>
        </w:rPr>
      </w:pPr>
      <w:r>
        <w:rPr>
          <w:rFonts w:ascii="Arial" w:cs="Arial" w:eastAsia="Arial" w:hAnsi="Arial"/>
          <w:sz w:val="17"/>
          <w:szCs w:val="17"/>
          <w:color w:val="auto"/>
        </w:rPr>
        <w:t>We intend to pay regular quarterly dividends. 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33" w:lineRule="exact"/>
        <w:rPr>
          <w:sz w:val="20"/>
          <w:szCs w:val="20"/>
          <w:color w:val="auto"/>
        </w:rPr>
      </w:pPr>
    </w:p>
    <w:p>
      <w:pPr>
        <w:ind w:left="54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general LNG shipping market conditions and trends, including charter rates, ship values, factors affecting supply and demand, technological advancements and opportunities for the profitable operations of LNG carriers;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comply with the specified financial covenants in our loan facilities and the Bonds and as corporate guarantor for certain loan facilities on a consolidated basis;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obtain new charters for our vessels at favourable rates;</w:t>
      </w:r>
    </w:p>
    <w:p>
      <w:pPr>
        <w:spacing w:after="0" w:line="105" w:lineRule="exact"/>
        <w:rPr>
          <w:rFonts w:ascii="Arial" w:cs="Arial" w:eastAsia="Arial" w:hAnsi="Arial"/>
          <w:sz w:val="19"/>
          <w:szCs w:val="19"/>
          <w:color w:val="auto"/>
        </w:rPr>
      </w:pPr>
    </w:p>
    <w:p>
      <w:pPr>
        <w:ind w:left="540" w:right="72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charter hire payments we obtain from our charters as well as our ability to re-charter the vessels and the rates obtained upon the expiration of our existing charters;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fleet expansion and associated uses of our cash as well as any financing requirements;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due performance by our charterers of their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delays in the delivery of newbuild vessels and the beginning of payments under charters relating to those vessels;</w:t>
      </w:r>
    </w:p>
    <w:p>
      <w:pPr>
        <w:spacing w:after="0" w:line="105"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level of our operating costs, such as the costs of crews, lubricants and insurance, as well as the costs of repairs, maintenance or modifications of our ships;</w:t>
      </w:r>
    </w:p>
    <w:p>
      <w:pPr>
        <w:spacing w:after="0" w:line="38" w:lineRule="exact"/>
        <w:rPr>
          <w:rFonts w:ascii="Arial" w:cs="Arial" w:eastAsia="Arial" w:hAnsi="Arial"/>
          <w:sz w:val="19"/>
          <w:szCs w:val="19"/>
          <w:color w:val="auto"/>
        </w:rPr>
      </w:pPr>
    </w:p>
    <w:p>
      <w:pPr>
        <w:ind w:left="540" w:right="40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number of unscheduled off-hire days for our fleet and the timing of, and number of days required for, scheduled dry-docking of our ships;</w:t>
      </w:r>
    </w:p>
    <w:p>
      <w:pPr>
        <w:spacing w:after="0" w:line="38"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prevailing global and regional economic or political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changes in interest rates;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3" w:name="page34"/>
    <w:bookmarkEnd w:id="33"/>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effect of governmental regulations and maritime self-regulatory organization standards on the conduct of our business;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changes in the basis of taxation of our activities in various jurisdictions;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modification or revocation of our dividend policy by our board of directors;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amount of any cash reserves established by our board of directors.</w:t>
      </w:r>
    </w:p>
    <w:p>
      <w:pPr>
        <w:spacing w:after="0" w:line="11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For information regarding the dividend payment restrictions in our financing agreements, see “—Risks Related to Our Business—Our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72" w:lineRule="exact"/>
        <w:rPr>
          <w:sz w:val="20"/>
          <w:szCs w:val="20"/>
          <w:color w:val="auto"/>
        </w:rPr>
      </w:pPr>
    </w:p>
    <w:p>
      <w:pPr>
        <w:ind w:right="280" w:firstLine="357"/>
        <w:spacing w:after="0" w:line="312"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We may incur other expenses or liabilities that could reduce or eliminate the cash available for dividends.</w:t>
      </w:r>
    </w:p>
    <w:p>
      <w:pPr>
        <w:spacing w:after="0" w:line="2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w:t>
      </w:r>
    </w:p>
    <w:p>
      <w:pPr>
        <w:spacing w:after="0" w:line="72"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255" w:lineRule="exact"/>
        <w:rPr>
          <w:sz w:val="20"/>
          <w:szCs w:val="20"/>
          <w:color w:val="auto"/>
        </w:rPr>
      </w:pPr>
    </w:p>
    <w:p>
      <w:pPr>
        <w:ind w:right="240"/>
        <w:spacing w:after="0" w:line="283" w:lineRule="auto"/>
        <w:rPr>
          <w:sz w:val="20"/>
          <w:szCs w:val="20"/>
          <w:color w:val="auto"/>
        </w:rPr>
      </w:pPr>
      <w:r>
        <w:rPr>
          <w:rFonts w:ascii="Arial" w:cs="Arial" w:eastAsia="Arial" w:hAnsi="Arial"/>
          <w:sz w:val="19"/>
          <w:szCs w:val="19"/>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5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We are a holding company. Our subsidiaries conduct substantially all of our operations and own all of our operating assets, including our ships. As of February 27, 2017, we have no significant assets other than the equity interests in our subsidiaries, including GasLog Partners, in which we hold a 27.57% equity interest (including our 2.0% general partner interest) as well as all of the incentive distribution rights.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Fluctuations in exchange rates and interest rates could result in financial losses for us.</w:t>
      </w:r>
    </w:p>
    <w:p>
      <w:pPr>
        <w:spacing w:after="0" w:line="119"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Fluctuations in currency exchange rates and interest rates may have an impact on our financial performance. We receive virtually all of our revenues in dollars, while some of our operating expenses, including employee costs and certain crew costs, are denominated in euros. As a result, we are exposed to foreign exchange risk. However, we also maintain cash balances in euros, which amounted to approximately $14.08 million as of December 31, 2016.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63"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In addition, we are exposed to a market risk relating to fluctuations in interest rates because our credit facilities bear interest costs at a floating rate based on London Interbank Offered Rate,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34" w:name="page35"/>
    <w:bookmarkEnd w:id="34"/>
    <w:p>
      <w:pPr>
        <w:ind w:right="280"/>
        <w:spacing w:after="0" w:line="302" w:lineRule="auto"/>
        <w:rPr>
          <w:sz w:val="20"/>
          <w:szCs w:val="20"/>
          <w:color w:val="auto"/>
        </w:rPr>
      </w:pPr>
      <w:r>
        <w:rPr>
          <w:rFonts w:ascii="Arial" w:cs="Arial" w:eastAsia="Arial" w:hAnsi="Arial"/>
          <w:sz w:val="17"/>
          <w:szCs w:val="17"/>
          <w:color w:val="auto"/>
        </w:rPr>
        <w:t>or “LIBOR”. Significant increases in LIBOR could adversely affect our business, financial condition, results of operations and cash flows, including cash available for dividends to our shareholders and ability to service our debt. We use interest rate swaps to reduce our exposure to interest rate risk, and hedge a portion of our outstanding indebtedness. There is no assurance that our derivative contracts will provide adequate protection against adverse changes in interest rates or that our bank counterparties will be able to perform their obligations.</w:t>
      </w:r>
    </w:p>
    <w:p>
      <w:pPr>
        <w:spacing w:after="0" w:line="259" w:lineRule="exact"/>
        <w:rPr>
          <w:sz w:val="20"/>
          <w:szCs w:val="20"/>
          <w:color w:val="auto"/>
        </w:rPr>
      </w:pPr>
    </w:p>
    <w:p>
      <w:pPr>
        <w:ind w:right="220"/>
        <w:spacing w:after="0" w:line="283" w:lineRule="auto"/>
        <w:rPr>
          <w:sz w:val="20"/>
          <w:szCs w:val="20"/>
          <w:color w:val="auto"/>
        </w:rPr>
      </w:pPr>
      <w:r>
        <w:rPr>
          <w:rFonts w:ascii="Arial" w:cs="Arial" w:eastAsia="Arial" w:hAnsi="Arial"/>
          <w:sz w:val="19"/>
          <w:szCs w:val="19"/>
          <w:b w:val="1"/>
          <w:bCs w:val="1"/>
          <w:i w:val="1"/>
          <w:iCs w:val="1"/>
          <w:color w:val="auto"/>
        </w:rPr>
        <w:t>The derivative contracts used to hedge our exposure to fluctuations in interest rates could result in reductions in our shareholders’ equity as well as charges against our profit.</w:t>
      </w:r>
    </w:p>
    <w:p>
      <w:pPr>
        <w:spacing w:after="0" w:line="52"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We enter into interest rate swaps from time to time for purposes of managing our exposure to fluctuations in interest rates applicable to floating rate indebtedness. As of December 31, 2016, we had 15 interest rate swaps in place with a notional amount of $870.0 million. The changes in the fair value of the 15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76" w:lineRule="exact"/>
        <w:rPr>
          <w:sz w:val="20"/>
          <w:szCs w:val="20"/>
          <w:color w:val="auto"/>
        </w:rPr>
      </w:pPr>
    </w:p>
    <w:p>
      <w:pPr>
        <w:ind w:right="400" w:firstLine="357"/>
        <w:spacing w:after="0" w:line="259" w:lineRule="auto"/>
        <w:rPr>
          <w:sz w:val="20"/>
          <w:szCs w:val="20"/>
          <w:color w:val="auto"/>
        </w:rPr>
      </w:pPr>
      <w:r>
        <w:rPr>
          <w:rFonts w:ascii="Arial" w:cs="Arial" w:eastAsia="Arial" w:hAnsi="Arial"/>
          <w:sz w:val="19"/>
          <w:szCs w:val="19"/>
          <w:color w:val="auto"/>
        </w:rPr>
        <w:t>As of December 31, 2016, we had six Cross Currency Swaps, or “CCSs”, to exchange interest payments and principal on maturity on the same terms as the Bonds, in order to hedge the variability of the functional currency equivalent cash flows on the Bonds. As of December 31, 2016, the six CCSs had a notional amount of $159.05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64"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We enter into forward foreign exchange contracts from time to time for purposes of managing our exposure to fluctuations in foreign exchange rates applicable to payments in foreign currencies (mainly euros and British Pounds Sterling). As of December 31, 2016, we had 36 forward foreign exchange contracts in place with an aggregate notional amount of €43.2 million and 12 with an aggregate notional amount of £6.2 million. The changes in the fair value of these 48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earnings and business are subject to the credit risk associated with our contractual counterparties.</w:t>
      </w:r>
    </w:p>
    <w:p>
      <w:pPr>
        <w:spacing w:after="0" w:line="11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We enter into, among other things, time charters, ship management agreements and other contracts with our customers, shipbuilding contracts and refund guarantees relating to newbuildings, credit facilities and commitment letters with banks, insurance contracts and interest rate swaps. Such agreements subject us to counterparty credit risk. 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5" w:name="page36"/>
    <w:bookmarkEnd w:id="35"/>
    <w:p>
      <w:pPr>
        <w:ind w:right="280"/>
        <w:spacing w:after="0" w:line="283" w:lineRule="auto"/>
        <w:rPr>
          <w:sz w:val="20"/>
          <w:szCs w:val="20"/>
          <w:color w:val="auto"/>
        </w:rPr>
      </w:pPr>
      <w:r>
        <w:rPr>
          <w:rFonts w:ascii="Arial" w:cs="Arial" w:eastAsia="Arial" w:hAnsi="Arial"/>
          <w:sz w:val="19"/>
          <w:szCs w:val="19"/>
          <w:b w:val="1"/>
          <w:bCs w:val="1"/>
          <w:i w:val="1"/>
          <w:iCs w:val="1"/>
          <w:color w:val="auto"/>
        </w:rPr>
        <w:t>Our business depends on certain of our senior executives who are subject to increasing demands as a result of our growth and who may not necessarily continue to work for us.</w:t>
      </w:r>
    </w:p>
    <w:p>
      <w:pPr>
        <w:spacing w:after="0" w:line="52"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 Mr. Livanos or one or more of our senior executives ceased to be affiliated with us, we may be unable to recruit other employees with equivalent talent and experience, and our business and financial condition could suffer.</w:t>
      </w:r>
    </w:p>
    <w:p>
      <w:pPr>
        <w:spacing w:after="0" w:line="266" w:lineRule="exact"/>
        <w:rPr>
          <w:sz w:val="20"/>
          <w:szCs w:val="20"/>
          <w:color w:val="auto"/>
        </w:rPr>
      </w:pPr>
    </w:p>
    <w:p>
      <w:pPr>
        <w:ind w:right="300"/>
        <w:spacing w:after="0" w:line="283" w:lineRule="auto"/>
        <w:rPr>
          <w:sz w:val="20"/>
          <w:szCs w:val="20"/>
          <w:color w:val="auto"/>
        </w:rPr>
      </w:pPr>
      <w:r>
        <w:rPr>
          <w:rFonts w:ascii="Arial" w:cs="Arial" w:eastAsia="Arial" w:hAnsi="Arial"/>
          <w:sz w:val="19"/>
          <w:szCs w:val="19"/>
          <w:b w:val="1"/>
          <w:bCs w:val="1"/>
          <w:i w:val="1"/>
          <w:iCs w:val="1"/>
          <w:color w:val="auto"/>
        </w:rPr>
        <w:t>We are a partial owner of Egypt LNG. The dividends we receive on account of our ownership interest may decline in the future and we may have to write down the value of our investment.</w:t>
      </w:r>
    </w:p>
    <w:p>
      <w:pPr>
        <w:spacing w:after="0" w:line="52" w:lineRule="exact"/>
        <w:rPr>
          <w:sz w:val="20"/>
          <w:szCs w:val="20"/>
          <w:color w:val="auto"/>
        </w:rPr>
      </w:pPr>
    </w:p>
    <w:p>
      <w:pPr>
        <w:ind w:right="140" w:firstLine="357"/>
        <w:spacing w:after="0" w:line="281" w:lineRule="auto"/>
        <w:rPr>
          <w:sz w:val="20"/>
          <w:szCs w:val="20"/>
          <w:color w:val="auto"/>
        </w:rPr>
      </w:pPr>
      <w:r>
        <w:rPr>
          <w:rFonts w:ascii="Arial" w:cs="Arial" w:eastAsia="Arial" w:hAnsi="Arial"/>
          <w:sz w:val="18"/>
          <w:szCs w:val="18"/>
          <w:color w:val="auto"/>
        </w:rPr>
        <w:t xml:space="preserve">We currently own a 25.0% stake in Egypt LNG, an entity whose principal asset is the LNG carrier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is currently operating under a 20-year time charter with MSL. On October 29, 2015, Egypt LNG and BG Group mutually agreed to lay up the </w:t>
      </w:r>
      <w:r>
        <w:rPr>
          <w:rFonts w:ascii="Arial" w:cs="Arial" w:eastAsia="Arial" w:hAnsi="Arial"/>
          <w:sz w:val="18"/>
          <w:szCs w:val="18"/>
          <w:i w:val="1"/>
          <w:iCs w:val="1"/>
          <w:color w:val="auto"/>
        </w:rPr>
        <w:t>Methane Nile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Eagle </w:t>
      </w:r>
      <w:r>
        <w:rPr>
          <w:rFonts w:ascii="Arial" w:cs="Arial" w:eastAsia="Arial" w:hAnsi="Arial"/>
          <w:sz w:val="18"/>
          <w:szCs w:val="18"/>
          <w:color w:val="auto"/>
        </w:rPr>
        <w:t>for a period of approximately one year. The charterer continued to pay charter hire costs adjusted for net savings in operating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as a result of the vessel being laid up.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was re-activated on October 15, 2016.</w:t>
      </w:r>
    </w:p>
    <w:p>
      <w:pPr>
        <w:spacing w:after="0" w:line="44"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 xml:space="preserve">The declaration and payment of dividends by Egypt LNG is subject to the discretion of its board of directors, which we do not control, as well as other restrictions, including a minimum cash reserve requirement. As a result, the dividends we receive on account of our ownership interest may decline in the future, which would adversely impact our cash flows, including cash available for dividends to our shareholders. In the event of an adverse change in the operating results of Egypt LNG resulting from, among other things, unscheduled off-hire days, damage to or loss of the </w:t>
      </w:r>
      <w:r>
        <w:rPr>
          <w:rFonts w:ascii="Arial" w:cs="Arial" w:eastAsia="Arial" w:hAnsi="Arial"/>
          <w:sz w:val="19"/>
          <w:szCs w:val="19"/>
          <w:i w:val="1"/>
          <w:iCs w:val="1"/>
          <w:color w:val="auto"/>
        </w:rPr>
        <w:t xml:space="preserve">Methane Nile Eagle </w:t>
      </w:r>
      <w:r>
        <w:rPr>
          <w:rFonts w:ascii="Arial" w:cs="Arial" w:eastAsia="Arial" w:hAnsi="Arial"/>
          <w:sz w:val="19"/>
          <w:szCs w:val="19"/>
          <w:color w:val="auto"/>
        </w:rPr>
        <w:t>or early termination of the ship’s charter, we would expect the amount of dividends we receive to be reduced or eliminated,</w:t>
      </w:r>
      <w:r>
        <w:rPr>
          <w:rFonts w:ascii="Arial" w:cs="Arial" w:eastAsia="Arial" w:hAnsi="Arial"/>
          <w:sz w:val="19"/>
          <w:szCs w:val="19"/>
          <w:i w:val="1"/>
          <w:iCs w:val="1"/>
          <w:color w:val="auto"/>
        </w:rPr>
        <w:t xml:space="preserve"> </w:t>
      </w:r>
      <w:r>
        <w:rPr>
          <w:rFonts w:ascii="Arial" w:cs="Arial" w:eastAsia="Arial" w:hAnsi="Arial"/>
          <w:sz w:val="19"/>
          <w:szCs w:val="19"/>
          <w:color w:val="auto"/>
        </w:rPr>
        <w:t>and we may be required to record an impairment of our investment. The loss may limit our ability to borrow against our assets for future credit and could also adversely affect our share price. In addition, we have entered into a shareholders’ agreement with the other shareholders of Egypt LNG that imposes restrictions, including preemption rights, on each party’s ability to transfer, grant any security interest over or otherwise dispose of its ownership interest.</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price of our equity securities may be volatile.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price of our equity securities may be volatile and may fluctuate due to factors including:</w:t>
      </w:r>
    </w:p>
    <w:p>
      <w:pPr>
        <w:spacing w:after="0" w:line="106" w:lineRule="exact"/>
        <w:rPr>
          <w:sz w:val="20"/>
          <w:szCs w:val="20"/>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actual or anticipated fluctuations in quarterly and annual results;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fluctuations in the seaborne transportation industry, including fluctuations in the LNG carrier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mergers and strategic alliances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governmental regulations or maritime self-regulatory organizations standards;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shortfalls in our operating results from levels forecasted by securities analysts;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payment of dividends;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announcements concerning us or our competitors;</w:t>
      </w:r>
    </w:p>
    <w:p>
      <w:pPr>
        <w:spacing w:after="0" w:line="105" w:lineRule="exact"/>
        <w:rPr>
          <w:rFonts w:ascii="Arial" w:cs="Arial" w:eastAsia="Arial" w:hAnsi="Arial"/>
          <w:sz w:val="19"/>
          <w:szCs w:val="19"/>
          <w:color w:val="auto"/>
        </w:rPr>
      </w:pPr>
    </w:p>
    <w:p>
      <w:pPr>
        <w:ind w:left="5620" w:right="1820" w:hanging="5248"/>
        <w:spacing w:after="0" w:line="401" w:lineRule="auto"/>
        <w:tabs>
          <w:tab w:leader="none" w:pos="538"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failure of securities analysts to publish research about us, or analysts making changes in their financial estimates;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6" w:name="page37"/>
    <w:bookmarkEnd w:id="36"/>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general economic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terrorist 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future sales of our shares or other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investors’ perceptions of us and the LNG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payment of cash dividends to our shareholders;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general state of the securities markets;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other developments affecting us, our industry or our competitors.</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Securities markets worldwide are experiencing significant price and volume fluctuations. The market price for our common shares may also be volatile. This market volatility, as well as general economic, market or political conditions, could reduce the market price of our common shares despite our operating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may cause the market price of our securities to decline.</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An increase in interest rates may cause a corresponding decline in demand for equity investments in general. Any such increase in interest rates may result in a reduction in demand for our securities resulting from other relatively more attractive investment opportunities and may cause the trading price of our securities to decline.</w:t>
      </w:r>
    </w:p>
    <w:p>
      <w:pPr>
        <w:spacing w:after="0" w:line="270" w:lineRule="exact"/>
        <w:rPr>
          <w:sz w:val="20"/>
          <w:szCs w:val="20"/>
          <w:color w:val="auto"/>
        </w:rPr>
      </w:pPr>
    </w:p>
    <w:p>
      <w:pPr>
        <w:ind w:right="300"/>
        <w:spacing w:after="0" w:line="267" w:lineRule="auto"/>
        <w:rPr>
          <w:sz w:val="20"/>
          <w:szCs w:val="20"/>
          <w:color w:val="auto"/>
        </w:rPr>
      </w:pPr>
      <w:r>
        <w:rPr>
          <w:rFonts w:ascii="Arial" w:cs="Arial" w:eastAsia="Arial" w:hAnsi="Arial"/>
          <w:sz w:val="19"/>
          <w:szCs w:val="19"/>
          <w:b w:val="1"/>
          <w:bCs w:val="1"/>
          <w:i w:val="1"/>
          <w:iCs w:val="1"/>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68"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the nominating/corporate governance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nominating/corporate governance and compensation committees.</w:t>
      </w:r>
    </w:p>
    <w:p>
      <w:pPr>
        <w:spacing w:after="0" w:line="71"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As permitted by these exemptions, as well as by our bye-laws and the laws of Bermuda,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w:t>
      </w:r>
    </w:p>
    <w:p>
      <w:pPr>
        <w:spacing w:after="0" w:line="7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Accordingly, in the future you may not have the same protections afforded to shareholders of companies that are subject to all of the NYSE corporate governance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Future sales of our equity securities could cause the market price of our equity securities to decline.</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Sales of a substantial number of our equity securities in the public market, or the perception that these sales could occur, may depress the market price for our equity securities. These sales could also impair our ability to raise additional capital through the sale of our equity securities in the future.</w:t>
      </w:r>
    </w:p>
    <w:p>
      <w:pPr>
        <w:spacing w:after="0" w:line="68"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In the future we may issue additional equity securities which may be pari passu with or senior to our common shares. The issuance by us of additional common shares or other equity securities</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64" w:right="31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that are contractually or structurally pari passu with or senior to our common shares would have the following effects:</w:t>
      </w:r>
    </w:p>
    <w:p>
      <w:pPr>
        <w:spacing w:after="0" w:line="106" w:lineRule="exact"/>
        <w:rPr>
          <w:sz w:val="20"/>
          <w:szCs w:val="20"/>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our shareholders’ proportionate ownership interest in us will decrease;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dividend amount payable per share on our common shares may be lower;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relative voting strength of each previously outstanding common share may be diminished;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market price of our common shares may decline.</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Our shareholders also may elect to sell large numbers of equity securities held by them from time to time. The number of our equity securities available for sale in the public market will be limited by restrictions applicable under securities laws.</w:t>
      </w:r>
    </w:p>
    <w:p>
      <w:pPr>
        <w:spacing w:after="0" w:line="255" w:lineRule="exact"/>
        <w:rPr>
          <w:sz w:val="20"/>
          <w:szCs w:val="20"/>
          <w:color w:val="auto"/>
        </w:rPr>
      </w:pPr>
    </w:p>
    <w:p>
      <w:pPr>
        <w:ind w:right="740"/>
        <w:spacing w:after="0" w:line="283" w:lineRule="auto"/>
        <w:rPr>
          <w:sz w:val="20"/>
          <w:szCs w:val="20"/>
          <w:color w:val="auto"/>
        </w:rPr>
      </w:pPr>
      <w:r>
        <w:rPr>
          <w:rFonts w:ascii="Arial" w:cs="Arial" w:eastAsia="Arial" w:hAnsi="Arial"/>
          <w:sz w:val="19"/>
          <w:szCs w:val="19"/>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52"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Our Preference Shares are subordinated to all of our existing and future indebtedness. During the year ended December 31, 2016, we had an average of $2.45 billion of outstanding indebtedness. Our existing indebtedness restricts, and our future indebtedness may include restrictions on, our ability to pay dividends to shareholders.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on a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71"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Holders of our Preference Shares have extremely limited voting rights.</w:t>
      </w:r>
    </w:p>
    <w:p>
      <w:pPr>
        <w:spacing w:after="0" w:line="119" w:lineRule="exact"/>
        <w:rPr>
          <w:sz w:val="20"/>
          <w:szCs w:val="20"/>
          <w:color w:val="auto"/>
        </w:rPr>
      </w:pPr>
    </w:p>
    <w:p>
      <w:pPr>
        <w:ind w:right="140" w:firstLine="357"/>
        <w:spacing w:after="0" w:line="255" w:lineRule="auto"/>
        <w:rPr>
          <w:sz w:val="20"/>
          <w:szCs w:val="20"/>
          <w:color w:val="auto"/>
        </w:rPr>
      </w:pPr>
      <w:r>
        <w:rPr>
          <w:rFonts w:ascii="Arial" w:cs="Arial" w:eastAsia="Arial" w:hAnsi="Arial"/>
          <w:sz w:val="19"/>
          <w:szCs w:val="19"/>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38" w:name="page39"/>
    <w:bookmarkEnd w:id="38"/>
    <w:p>
      <w:pPr>
        <w:ind w:right="480"/>
        <w:spacing w:after="0" w:line="283" w:lineRule="auto"/>
        <w:rPr>
          <w:sz w:val="20"/>
          <w:szCs w:val="20"/>
          <w:color w:val="auto"/>
        </w:rPr>
      </w:pPr>
      <w:r>
        <w:rPr>
          <w:rFonts w:ascii="Arial" w:cs="Arial" w:eastAsia="Arial" w:hAnsi="Arial"/>
          <w:sz w:val="19"/>
          <w:szCs w:val="19"/>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52"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w:t>
      </w:r>
    </w:p>
    <w:p>
      <w:pPr>
        <w:spacing w:after="0" w:line="68"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293" w:lineRule="exact"/>
        <w:rPr>
          <w:sz w:val="20"/>
          <w:szCs w:val="20"/>
          <w:color w:val="auto"/>
        </w:rPr>
      </w:pPr>
    </w:p>
    <w:p>
      <w:pPr>
        <w:ind w:right="220"/>
        <w:spacing w:after="0" w:line="283" w:lineRule="auto"/>
        <w:rPr>
          <w:sz w:val="20"/>
          <w:szCs w:val="20"/>
          <w:color w:val="auto"/>
        </w:rPr>
      </w:pPr>
      <w:r>
        <w:rPr>
          <w:rFonts w:ascii="Arial" w:cs="Arial" w:eastAsia="Arial" w:hAnsi="Arial"/>
          <w:sz w:val="19"/>
          <w:szCs w:val="19"/>
          <w:b w:val="1"/>
          <w:bCs w:val="1"/>
          <w:i w:val="1"/>
          <w:iCs w:val="1"/>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3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Entities controlled by members of the Livanos family, including our Chairman, may be deemed to beneficially own approximately 40% of our issued and outstanding common shares. As a result of shareholding, Mr. Livanos can effectively control the outcome of most matters on which our shareholders are entitled to vote, including the election of our entire board of directors and other significant corporate actions. The interests of these shareholders may be different from yours.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Provisions in our organizational documents may have anti-takeover effects.</w:t>
      </w:r>
    </w:p>
    <w:p>
      <w:pPr>
        <w:spacing w:after="0" w:line="11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Our bye-laws contain provisions that could make it more difficult for a third party to acquire us without the consent of our board of directors. These provisions require an affirmative vote of a majority of the votes attaching to all issued and outstanding shares to approve any merger, consolidation, amalgamation or similar transactions. Our bye-laws also provide for restrictions on the time period in which directors may be nominated.</w:t>
      </w:r>
    </w:p>
    <w:p>
      <w:pPr>
        <w:spacing w:after="0" w:line="72" w:lineRule="exact"/>
        <w:rPr>
          <w:sz w:val="20"/>
          <w:szCs w:val="20"/>
          <w:color w:val="auto"/>
        </w:rPr>
      </w:pPr>
    </w:p>
    <w:p>
      <w:pPr>
        <w:jc w:val="both"/>
        <w:ind w:right="240" w:firstLine="357"/>
        <w:spacing w:after="0" w:line="289" w:lineRule="auto"/>
        <w:rPr>
          <w:sz w:val="20"/>
          <w:szCs w:val="20"/>
          <w:color w:val="auto"/>
        </w:rPr>
      </w:pPr>
      <w:r>
        <w:rPr>
          <w:rFonts w:ascii="Arial" w:cs="Arial" w:eastAsia="Arial" w:hAnsi="Arial"/>
          <w:sz w:val="18"/>
          <w:szCs w:val="18"/>
          <w:color w:val="auto"/>
        </w:rPr>
        <w:t>These provisions could make it difficult for our shareholders to replace or remove our current board of directors or could have the effect of discouraging, delaying or preventing an offer by a third party to acquire us, even if the third party’s offer may be considered beneficial by many shareholders. As a result, shareholders may be limited in their ability to obtain a premium for their shares.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will have to pay tax on U.S.-source income, which would reduce our earnings.</w:t>
      </w:r>
    </w:p>
    <w:p>
      <w:pPr>
        <w:spacing w:after="0" w:line="119"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64"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We do not currently qualify for a tax treaty exemption or a statutory tax exemption, and therefore we are subject to the 4% U.S. Federal income tax described above. We do not expect any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9" w:name="page40"/>
    <w:bookmarkEnd w:id="39"/>
    <w:p>
      <w:pPr>
        <w:jc w:val="both"/>
        <w:ind w:right="120"/>
        <w:spacing w:after="0" w:line="259" w:lineRule="auto"/>
        <w:rPr>
          <w:sz w:val="20"/>
          <w:szCs w:val="20"/>
          <w:color w:val="auto"/>
        </w:rPr>
      </w:pPr>
      <w:r>
        <w:rPr>
          <w:rFonts w:ascii="Arial" w:cs="Arial" w:eastAsia="Arial" w:hAnsi="Arial"/>
          <w:sz w:val="19"/>
          <w:szCs w:val="19"/>
          <w:color w:val="auto"/>
        </w:rPr>
        <w:t>resulting U.S. tax liability to be material or materially reduce the earnings available for distribution to our shareholders for the fiscal years ended December 31, 2016 and December 31, 2017. For 2016, the U.S. source gross transportation tax was $0.30 million. Changes to our business could change this expectation and in such circumstances we may attempt to qualify for the exemption from tax under Section 883. For a more detailed discussion, see the section entitled “Item 10. Additional Information—E. Tax Considerations—United States Federal Income Tax Considerations —U.S. Taxation of Our Operating Income”.</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were treated as a “passive foreign investment company”, certain adverse U.S. Federal income tax consequences could result to U.S.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shareholders.</w:t>
      </w:r>
    </w:p>
    <w:p>
      <w:pPr>
        <w:spacing w:after="0" w:line="103"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6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Based on our method of operation, we do not believe that we are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in connection with the production of that income do not constitute passive assets.</w:t>
      </w:r>
    </w:p>
    <w:p>
      <w:pPr>
        <w:spacing w:after="0" w:line="59" w:lineRule="exact"/>
        <w:rPr>
          <w:sz w:val="20"/>
          <w:szCs w:val="20"/>
          <w:color w:val="auto"/>
        </w:rPr>
      </w:pPr>
    </w:p>
    <w:p>
      <w:pPr>
        <w:ind w:right="20" w:firstLine="357"/>
        <w:spacing w:after="0" w:line="313" w:lineRule="auto"/>
        <w:rPr>
          <w:sz w:val="20"/>
          <w:szCs w:val="20"/>
          <w:color w:val="auto"/>
        </w:rPr>
      </w:pPr>
      <w:r>
        <w:rPr>
          <w:rFonts w:ascii="Arial" w:cs="Arial" w:eastAsia="Arial" w:hAnsi="Arial"/>
          <w:sz w:val="17"/>
          <w:szCs w:val="17"/>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we could constitute a PFIC for a future tax year if there were to be changes in the nature and extent of our operations.</w:t>
      </w:r>
    </w:p>
    <w:p>
      <w:pPr>
        <w:spacing w:after="0" w:line="32"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If the IRS were to find that we are or have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Considerations—United States Federal Income Tax Considerations— Taxation of United States Holders—PFIC Status and Significant Tax Consequences” for a more detailed discussion of the U.S. Federal income tax consequences to U.S. shareholders if we are treated as a PFIC.</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INFORMATION ON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History and Development of the Company</w:t>
      </w:r>
    </w:p>
    <w:p>
      <w:pPr>
        <w:spacing w:after="0" w:line="125" w:lineRule="exact"/>
        <w:rPr>
          <w:sz w:val="20"/>
          <w:szCs w:val="20"/>
          <w:color w:val="auto"/>
        </w:rPr>
      </w:pPr>
    </w:p>
    <w:p>
      <w:pPr>
        <w:ind w:right="260" w:firstLine="357"/>
        <w:spacing w:after="0" w:line="344" w:lineRule="auto"/>
        <w:rPr>
          <w:sz w:val="20"/>
          <w:szCs w:val="20"/>
          <w:color w:val="auto"/>
        </w:rPr>
      </w:pPr>
      <w:r>
        <w:rPr>
          <w:rFonts w:ascii="Arial" w:cs="Arial" w:eastAsia="Arial" w:hAnsi="Arial"/>
          <w:sz w:val="17"/>
          <w:szCs w:val="17"/>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0" w:name="page41"/>
    <w:bookmarkEnd w:id="40"/>
    <w:p>
      <w:pPr>
        <w:ind w:right="500"/>
        <w:spacing w:after="0" w:line="283" w:lineRule="auto"/>
        <w:rPr>
          <w:sz w:val="20"/>
          <w:szCs w:val="20"/>
          <w:color w:val="auto"/>
        </w:rPr>
      </w:pPr>
      <w:r>
        <w:rPr>
          <w:rFonts w:ascii="Arial" w:cs="Arial" w:eastAsia="Arial" w:hAnsi="Arial"/>
          <w:sz w:val="19"/>
          <w:szCs w:val="19"/>
          <w:color w:val="auto"/>
        </w:rPr>
        <w:t>management services. The Group conducts its operations through its vessel-owning subsidiaries and through its vessel management services subsidiary.</w:t>
      </w:r>
    </w:p>
    <w:p>
      <w:pPr>
        <w:spacing w:after="0" w:line="52"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 xml:space="preserve">Our company and its founders have a long history in shipping and in LNG carriers. Our largest shareholder is Ceres Shipping, whose founding family’s shipping activities commenced more than 100 years ago and who is currently controlled by our Chairman, Peter G. Livanos. The late Mr. George P. Livanos, father of our current Chairman, established the predecessor to Ceres Shipping. Ceres Shipping also has interests in tankers, dry bulk carriers and containerships. Ceres Shipping entered the LNG sector in 2001 by undertaking the management of BG Group’s owned fleet of LNG carriers through our subsidiary GasLog LNG Services, and in 2003 GasLog Ltd. was incorporated. Until 2010, when we took delivery of the </w:t>
      </w:r>
      <w:r>
        <w:rPr>
          <w:rFonts w:ascii="Arial" w:cs="Arial" w:eastAsia="Arial" w:hAnsi="Arial"/>
          <w:sz w:val="17"/>
          <w:szCs w:val="17"/>
          <w:i w:val="1"/>
          <w:iCs w:val="1"/>
          <w:color w:val="auto"/>
        </w:rPr>
        <w:t>GasLog Savannah</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Singapore</w:t>
      </w:r>
      <w:r>
        <w:rPr>
          <w:rFonts w:ascii="Arial" w:cs="Arial" w:eastAsia="Arial" w:hAnsi="Arial"/>
          <w:sz w:val="17"/>
          <w:szCs w:val="17"/>
          <w:color w:val="auto"/>
        </w:rPr>
        <w:t>, our business principally consisted of providing technical ship 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56"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$199.02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$109.94 million, which were used to partially finance the acquisition of the additional three ships acquired from MSL in 2014.</w:t>
      </w:r>
    </w:p>
    <w:p>
      <w:pPr>
        <w:spacing w:after="0" w:line="68" w:lineRule="exact"/>
        <w:rPr>
          <w:sz w:val="20"/>
          <w:szCs w:val="20"/>
          <w:color w:val="auto"/>
        </w:rPr>
      </w:pPr>
    </w:p>
    <w:p>
      <w:pPr>
        <w:ind w:right="60" w:firstLine="357"/>
        <w:spacing w:after="0" w:line="269" w:lineRule="auto"/>
        <w:rPr>
          <w:sz w:val="20"/>
          <w:szCs w:val="20"/>
          <w:color w:val="auto"/>
        </w:rPr>
      </w:pPr>
      <w:r>
        <w:rPr>
          <w:rFonts w:ascii="Arial" w:cs="Arial" w:eastAsia="Arial" w:hAnsi="Arial"/>
          <w:sz w:val="18"/>
          <w:szCs w:val="18"/>
          <w:color w:val="auto"/>
        </w:rPr>
        <w:t xml:space="preserve">On May 12, 2014, our subsidiary GasLog Partners completed an IPO of 9,660,000 common units (including 1,260,000 units in relation to the over-allotment option exercised in full by the underwriters), resulting in net proceeds of $186.03 million. GasLog Partners is a Marshall Islands master limited partnership formed by us to own and operate LNG carriers under long-term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Santiago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Sydney</w:t>
      </w:r>
      <w:r>
        <w:rPr>
          <w:rFonts w:ascii="Arial" w:cs="Arial" w:eastAsia="Arial" w:hAnsi="Arial"/>
          <w:sz w:val="18"/>
          <w:szCs w:val="18"/>
          <w:color w:val="auto"/>
        </w:rPr>
        <w:t>, from GasLog, in exchange for (i) 162,358 common units and 9,822,358 subordinated units issued to GasLog</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49.8% ownership interest and all of the incentive distribution rights that entitle GasLog to increasing percentages of the cash that the Partnership distributes in excess of $0.43125 per unit per quarter, (ii) 400,913 general partner units issued to GasLog Partners GP LLC, a wholly owned subsidiary of GasLog, representing a 2.0% general partner interest and (iii) $65.70 million of cash consideration paid directly to us from the offering proceeds. In addition to the cash consideration of $65.70 million paid to us, GasLog Partners used the $186.03 million net proceeds of its IPO to (a) prepay $82.63 million of debt plus accrued interest of $0.42 million and (b) make a payment of $2.28 million (including $0.27 million accrued interest) to settle the mark-to-market loss on termination of one interest rate swap and reduction of a second interest rate swap in connection with the aforementioned debt prepayment. The balance of $35.0 million was retained by GasLog Partners for general corporate purposes.</w:t>
      </w:r>
    </w:p>
    <w:p>
      <w:pPr>
        <w:spacing w:after="0" w:line="74"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 xml:space="preserve">On September 29, 2014, GasLog Partners completed a follow-on public offering of 4,500,000 common units at an offering price of $31.00 per unit. The total net proceeds after deducting underwriting discounts and other offering expenses were $133.0 million. GasLog Partners used the proceeds to partially finance the acquisition from GasLog of the 100.0% ownership interests in GAS-sixteen Ltd. and GAS-seventeen Ltd., the entities that owned the </w:t>
      </w:r>
      <w:r>
        <w:rPr>
          <w:rFonts w:ascii="Arial" w:cs="Arial" w:eastAsia="Arial" w:hAnsi="Arial"/>
          <w:sz w:val="19"/>
          <w:szCs w:val="19"/>
          <w:i w:val="1"/>
          <w:iCs w:val="1"/>
          <w:color w:val="auto"/>
        </w:rPr>
        <w:t>Methane Rita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1" w:name="page42"/>
    <w:bookmarkEnd w:id="41"/>
    <w:p>
      <w:pPr>
        <w:spacing w:after="0"/>
        <w:rPr>
          <w:sz w:val="20"/>
          <w:szCs w:val="20"/>
          <w:color w:val="auto"/>
        </w:rPr>
      </w:pPr>
      <w:r>
        <w:rPr>
          <w:rFonts w:ascii="Arial" w:cs="Arial" w:eastAsia="Arial" w:hAnsi="Arial"/>
          <w:sz w:val="19"/>
          <w:szCs w:val="19"/>
          <w:i w:val="1"/>
          <w:iCs w:val="1"/>
          <w:color w:val="auto"/>
        </w:rPr>
        <w:t xml:space="preserve">Andrea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Methane Jane Elizabeth</w:t>
      </w:r>
      <w:r>
        <w:rPr>
          <w:rFonts w:ascii="Arial" w:cs="Arial" w:eastAsia="Arial" w:hAnsi="Arial"/>
          <w:sz w:val="19"/>
          <w:szCs w:val="19"/>
          <w:color w:val="auto"/>
        </w:rPr>
        <w:t>, respectively, and to prepay $25.0 million of debt secured by those carriers in October 2014.</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$110.65 million to be used for general corporate purposes. The Preference Shares are listed on the New York Stock Exchange under the symbol “GLOG PR A”.</w:t>
      </w:r>
    </w:p>
    <w:p>
      <w:pPr>
        <w:spacing w:after="0" w:line="77"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 xml:space="preserve">On June 26, 2015, GasLog Partners completed a follow-on public offering of 7,500,000 common units at an offering price of $23.90 per unit. The total net proceeds after deducting underwriting discounts and other offering expenses were $171.83 million. The Partnership used the proceeds from the public offering to partially finance the acquisition from GasLog of 100.0% of the ownership interests in GAS-nineteen Ltd., GAS-twenty Ltd. and GAS-twenty one Ltd., the entities that own the </w:t>
      </w:r>
      <w:r>
        <w:rPr>
          <w:rFonts w:ascii="Arial" w:cs="Arial" w:eastAsia="Arial" w:hAnsi="Arial"/>
          <w:sz w:val="19"/>
          <w:szCs w:val="19"/>
          <w:i w:val="1"/>
          <w:iCs w:val="1"/>
          <w:color w:val="auto"/>
        </w:rPr>
        <w:t>Methane Alison Victoria</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 Shirley Elisabeth</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w:t>
      </w:r>
      <w:r>
        <w:rPr>
          <w:rFonts w:ascii="Arial" w:cs="Arial" w:eastAsia="Arial" w:hAnsi="Arial"/>
          <w:sz w:val="19"/>
          <w:szCs w:val="19"/>
          <w:color w:val="auto"/>
        </w:rPr>
        <w:t xml:space="preserve"> </w:t>
      </w:r>
      <w:r>
        <w:rPr>
          <w:rFonts w:ascii="Arial" w:cs="Arial" w:eastAsia="Arial" w:hAnsi="Arial"/>
          <w:sz w:val="19"/>
          <w:szCs w:val="19"/>
          <w:i w:val="1"/>
          <w:iCs w:val="1"/>
          <w:color w:val="auto"/>
        </w:rPr>
        <w:t>Heather Sally</w:t>
      </w:r>
      <w:r>
        <w:rPr>
          <w:rFonts w:ascii="Arial" w:cs="Arial" w:eastAsia="Arial" w:hAnsi="Arial"/>
          <w:sz w:val="19"/>
          <w:szCs w:val="19"/>
          <w:color w:val="auto"/>
        </w:rPr>
        <w:t>, respectively. The acquisition closed on July 1, 2015.</w:t>
      </w:r>
    </w:p>
    <w:p>
      <w:pPr>
        <w:spacing w:after="0" w:line="77" w:lineRule="exact"/>
        <w:rPr>
          <w:sz w:val="20"/>
          <w:szCs w:val="20"/>
          <w:color w:val="auto"/>
        </w:rPr>
      </w:pPr>
    </w:p>
    <w:p>
      <w:pPr>
        <w:ind w:right="280" w:firstLine="357"/>
        <w:spacing w:after="0" w:line="262" w:lineRule="auto"/>
        <w:rPr>
          <w:sz w:val="20"/>
          <w:szCs w:val="20"/>
          <w:color w:val="auto"/>
        </w:rPr>
      </w:pPr>
      <w:r>
        <w:rPr>
          <w:rFonts w:ascii="Arial" w:cs="Arial" w:eastAsia="Arial" w:hAnsi="Arial"/>
          <w:sz w:val="19"/>
          <w:szCs w:val="19"/>
          <w:color w:val="auto"/>
        </w:rPr>
        <w:t xml:space="preserve">On August 5, 2016, GasLog Partners completed a follow-on public offering of 2,750,000 common units at an offering price of $19.50 per unit. The total net proceeds after deducting underwriting discounts and other offering expenses were $52.30 million. The Partnership used the proceeds from the public offering to partially finance the acquisition from GasLog of 100.0% of the ownership interests in GAS-seven Ltd., the entity that owns the </w:t>
      </w:r>
      <w:r>
        <w:rPr>
          <w:rFonts w:ascii="Arial" w:cs="Arial" w:eastAsia="Arial" w:hAnsi="Arial"/>
          <w:sz w:val="19"/>
          <w:szCs w:val="19"/>
          <w:i w:val="1"/>
          <w:iCs w:val="1"/>
          <w:color w:val="auto"/>
        </w:rPr>
        <w:t>GasLog Seattle.</w:t>
      </w:r>
      <w:r>
        <w:rPr>
          <w:rFonts w:ascii="Arial" w:cs="Arial" w:eastAsia="Arial" w:hAnsi="Arial"/>
          <w:sz w:val="19"/>
          <w:szCs w:val="19"/>
          <w:color w:val="auto"/>
        </w:rPr>
        <w:t xml:space="preserve"> The acquisition closed on November 1, 2016.</w:t>
      </w:r>
    </w:p>
    <w:p>
      <w:pPr>
        <w:spacing w:after="0" w:line="72" w:lineRule="exact"/>
        <w:rPr>
          <w:sz w:val="20"/>
          <w:szCs w:val="20"/>
          <w:color w:val="auto"/>
        </w:rPr>
      </w:pPr>
    </w:p>
    <w:p>
      <w:pPr>
        <w:ind w:right="200" w:firstLine="357"/>
        <w:spacing w:after="0" w:line="277" w:lineRule="auto"/>
        <w:rPr>
          <w:sz w:val="20"/>
          <w:szCs w:val="20"/>
          <w:color w:val="auto"/>
        </w:rPr>
      </w:pPr>
      <w:r>
        <w:rPr>
          <w:rFonts w:ascii="Arial" w:cs="Arial" w:eastAsia="Arial" w:hAnsi="Arial"/>
          <w:sz w:val="18"/>
          <w:szCs w:val="18"/>
          <w:color w:val="auto"/>
        </w:rPr>
        <w:t>On January 27, 2017, GasLog Partners completed a follow-on public offering of 3,750,000 common units at an offering price of $20.50 per unit. The total net proceeds after deducting underwriting discounts and other offering expenses were $75.49 million. On February 24, 2017, GasLog Partners issued additional 120,000 common units in relation to the exercise of the underwriters’ overallotment option resulting in additional net proceeds of $2.44 million. The Partnership plans to use the net proceeds from the public offering for general partnership purposes, which may include future acquisitions, debt repayment, capital expenditures and additions to working capital.</w:t>
      </w:r>
    </w:p>
    <w:p>
      <w:pPr>
        <w:spacing w:after="0" w:line="62" w:lineRule="exact"/>
        <w:rPr>
          <w:sz w:val="20"/>
          <w:szCs w:val="20"/>
          <w:color w:val="auto"/>
        </w:rPr>
      </w:pPr>
    </w:p>
    <w:p>
      <w:pPr>
        <w:ind w:right="140" w:firstLine="357"/>
        <w:spacing w:after="0" w:line="286" w:lineRule="auto"/>
        <w:rPr>
          <w:sz w:val="20"/>
          <w:szCs w:val="20"/>
          <w:color w:val="auto"/>
        </w:rPr>
      </w:pPr>
      <w:r>
        <w:rPr>
          <w:rFonts w:ascii="Arial" w:cs="Arial" w:eastAsia="Arial" w:hAnsi="Arial"/>
          <w:sz w:val="17"/>
          <w:szCs w:val="17"/>
          <w:color w:val="auto"/>
        </w:rPr>
        <w:t>As of February 27, 2017, GasLog holds a 27.57%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w:t>
      </w:r>
    </w:p>
    <w:p>
      <w:pPr>
        <w:spacing w:after="0" w:line="3" w:lineRule="exact"/>
        <w:rPr>
          <w:sz w:val="20"/>
          <w:szCs w:val="20"/>
          <w:color w:val="auto"/>
        </w:rPr>
      </w:pPr>
    </w:p>
    <w:p>
      <w:pPr>
        <w:jc w:val="both"/>
        <w:ind w:right="360"/>
        <w:spacing w:after="0" w:line="303" w:lineRule="auto"/>
        <w:rPr>
          <w:sz w:val="20"/>
          <w:szCs w:val="20"/>
          <w:color w:val="auto"/>
        </w:rPr>
      </w:pPr>
      <w:r>
        <w:rPr>
          <w:rFonts w:ascii="Arial" w:cs="Arial" w:eastAsia="Arial" w:hAnsi="Arial"/>
          <w:sz w:val="17"/>
          <w:szCs w:val="17"/>
          <w:color w:val="auto"/>
        </w:rPr>
        <w:t>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27"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As described elsewhere herein, GasLog Partners holds options to acquire from GasLog an additional seven vessels and GAS-twenty six Ltd. with its long-term bareboat charter of (and right to acquire)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(which is subject to a multi-year charter to MSL). In general, we would expect the exercise of these options to be beneficial to GasLog, as it can be expected to reduce our consolidated indebtedness and, if GasLog Partners increases its per unit distributions, increase the return on our incentive distribution rights (although our common unit interest will be diluted by any GasLog Partners equity issuance). GasLog Partners will determine whether, and when, to exercise any of the options and rights that it holds. The timing of those decisions will depend in part on the price and availability of debt and equity financing to GasLog Partners. See “Item 7. Major Shareholders and Related Party Transactions—B. Related Party Transactions—Relationship with GasLog Partners—Omnibus Agreement”.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2" w:name="page43"/>
    <w:bookmarkEnd w:id="42"/>
    <w:p>
      <w:pPr>
        <w:ind w:right="60" w:firstLine="357"/>
        <w:spacing w:after="0" w:line="259" w:lineRule="auto"/>
        <w:rPr>
          <w:sz w:val="20"/>
          <w:szCs w:val="20"/>
          <w:color w:val="auto"/>
        </w:rPr>
      </w:pPr>
      <w:r>
        <w:rPr>
          <w:rFonts w:ascii="Arial" w:cs="Arial" w:eastAsia="Arial" w:hAnsi="Arial"/>
          <w:sz w:val="19"/>
          <w:szCs w:val="19"/>
          <w:color w:val="auto"/>
        </w:rPr>
        <w:t>On October 1, 2015, GasLog, Dynagas and Golar established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w:t>
      </w:r>
    </w:p>
    <w:p>
      <w:pPr>
        <w:spacing w:after="0" w:line="77"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As of February 27, 2017, the Cool Pool consists of 18 modern high quality and essentially equivalent vessels powered by tri-fuel diesel electric (“TFDE”) propulsion technology. The three owners’ vessels eligible for participation in the Cool Pool are as follows: GasLog: five vessels; Dynagas: three vessels; and Golar: ten vessels. Each vessel owner continues to be fully responsible for the manning and technical management of its respective vessels. The Cool Pool focuses on charters of 12 months’ duration or less. The scheduling of employment opportunities in excess of 12 months will remain the mandate of the respective vessel owner. If a Cool Pool vessel is scheduled by an owner for a charter that exceeds 12 months in duration, such vessel will cease to be part of the Cool Pool.</w:t>
      </w:r>
    </w:p>
    <w:p>
      <w:pPr>
        <w:spacing w:after="0" w:line="76" w:lineRule="exact"/>
        <w:rPr>
          <w:sz w:val="20"/>
          <w:szCs w:val="20"/>
          <w:color w:val="auto"/>
        </w:rPr>
      </w:pPr>
    </w:p>
    <w:p>
      <w:pPr>
        <w:jc w:val="both"/>
        <w:ind w:right="420" w:firstLine="357"/>
        <w:spacing w:after="0" w:line="267"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Business Overview</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We are an international owner, operator and manager of LNG carriers providing support to international energy companies as part of their LNG logistics chain. Our owned fleet consists of 27 owned LNG carriers, including 22 ships on the water and five LNG carriers on order at two of the world’s leading LNG shipbuilders, Samsung and Hyundai. This includes nine LNG carriers in operation that are owned by our NYSE-listed subsidiary GasLog Partners, with which we have entered into certain agreements governing our relationship, including purchase options for certain of our ships. We currently manage and operate 24 LNG carriers including 12 of our wholly owned ships in operation (one is managed by a subsidiary of Shell), the nine ships contributed or sold to the Partnership, one ship owned by Shell, one additional LNG carrier in which we have a 25.0% interest and a vessel secured under a long-term bareboat charter from Lepta Shipping, a subsidiary of Mitsui. We are also supervising the construction of our newbuildings. We have secured multi-year time and seasonal time charter contracts for eight of our owned ships, the nine ships owned by the Partnership, our five newbuildings on order and the one vessel secured under a long-term bareboat charter with Lepta Shipping. As of December 31, 2016, these contracts are expected to provide total contracted revenues of $3.57 billion during their initial terms, which expire between 2018 and 2029.</w:t>
      </w:r>
    </w:p>
    <w:p>
      <w:pPr>
        <w:spacing w:after="0" w:line="80"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 xml:space="preserve">We also have a 25.0% interest in an additional ship, the </w:t>
      </w:r>
      <w:r>
        <w:rPr>
          <w:rFonts w:ascii="Arial" w:cs="Arial" w:eastAsia="Arial" w:hAnsi="Arial"/>
          <w:sz w:val="19"/>
          <w:szCs w:val="19"/>
          <w:i w:val="1"/>
          <w:iCs w:val="1"/>
          <w:color w:val="auto"/>
        </w:rPr>
        <w:t>Methane Nile Eagle</w:t>
      </w:r>
      <w:r>
        <w:rPr>
          <w:rFonts w:ascii="Arial" w:cs="Arial" w:eastAsia="Arial" w:hAnsi="Arial"/>
          <w:sz w:val="19"/>
          <w:szCs w:val="19"/>
          <w:color w:val="auto"/>
        </w:rPr>
        <w:t>, a 2007-built LNG carrier technically managed by us that is currently operating under a 20-year time charter to MSL.</w:t>
      </w:r>
    </w:p>
    <w:p>
      <w:pPr>
        <w:spacing w:after="0" w:line="52"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We have structured our order book of new LNG carriers to have staggered delivery dates, facilitating a smooth integration of the ships into our fleet as well as significant annual growth through 2019. This has the additional advantage of spreading our exposure to the re-employment of these ships over several years upon expiration of their current charters.</w:t>
      </w:r>
    </w:p>
    <w:p>
      <w:pPr>
        <w:spacing w:after="0" w:line="33"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Each of our 27 owned LNG carriers is designed with a capacity of between approximately 145,000 cbm and 180,000 cbm. We believe this size range maximizes their operational flexibility, as these ships are compatible with most existing LNG terminals around the world. All but three of the LNG carriers in our owned fleet are of the same specifications (in groups of ten, eight and six</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3" w:name="page44"/>
    <w:bookmarkEnd w:id="43"/>
    <w:p>
      <w:pPr>
        <w:ind w:right="100"/>
        <w:spacing w:after="0" w:line="262" w:lineRule="auto"/>
        <w:rPr>
          <w:sz w:val="20"/>
          <w:szCs w:val="20"/>
          <w:color w:val="auto"/>
        </w:rPr>
      </w:pPr>
      <w:r>
        <w:rPr>
          <w:rFonts w:ascii="Arial" w:cs="Arial" w:eastAsia="Arial" w:hAnsi="Arial"/>
          <w:sz w:val="19"/>
          <w:szCs w:val="19"/>
          <w:color w:val="auto"/>
        </w:rPr>
        <w:t>ships), which allows us to benefit from economies of scale and operating efficiencies in ship construction, crew training, crew rotation and shared spare parts. Upon delivery of the last of our five contracted newbuildings, our owned fleet will have an average age of 6.3 years, making it one of the youngest in the industry. By comparison, as of December 31, 2016, the average age for the global fleet of LNG carriers, including LNG carriers of all sizes, was 11.9 years.</w:t>
      </w:r>
    </w:p>
    <w:p>
      <w:pPr>
        <w:spacing w:after="0" w:line="72"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24 ships currently operating under our management.</w:t>
      </w:r>
    </w:p>
    <w:p>
      <w:pPr>
        <w:spacing w:after="0" w:line="76"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In 2015 we began to develop a floating LNG storage and regasification unit (“FSRU”) strategy and signed two front-end engineering design (“FEED”) studies with Keppel Offshore and Marine Ltd. for the potential conversion of both a Steam and TFDE vessel from our existing fleet. On December 5, 2016 we announced that Keppel Shipyard Limited had begun ordering the long lead items required for the conversion of a GasLog or Gaslog Partners LNG carrier to a FSRU. In addition, on December 22, 2016 we announced that a wholly owned subsidiary of GasLog has entered into a sale and purchase agreement to acquire a 20% shareholding in Gastrade S.A (“Gastrade”). Gastrade is licensed to develop an independent natural gas system offshore Alexandroupolis in Northern Greece utilizing a FSRU along with other fixed infrastructure. The acquisition of the 20% shareholding in Gastrade closed on February 9, 2017.</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Fleet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February 27,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Cargo</w:t>
            </w: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Year</w:t>
            </w:r>
          </w:p>
        </w:tc>
        <w:tc>
          <w:tcPr>
            <w:tcW w:w="280" w:type="dxa"/>
            <w:vAlign w:val="bottom"/>
          </w:tcPr>
          <w:p>
            <w:pPr>
              <w:spacing w:after="0"/>
              <w:rPr>
                <w:sz w:val="15"/>
                <w:szCs w:val="15"/>
                <w:color w:val="auto"/>
              </w:rPr>
            </w:pPr>
          </w:p>
        </w:tc>
        <w:tc>
          <w:tcPr>
            <w:tcW w:w="80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Capacity</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Charter</w:t>
            </w:r>
          </w:p>
        </w:tc>
        <w:tc>
          <w:tcPr>
            <w:tcW w:w="2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Optional</w:t>
            </w:r>
          </w:p>
        </w:tc>
      </w:tr>
      <w:tr>
        <w:trPr>
          <w:trHeight w:val="199"/>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Built</w:t>
            </w:r>
          </w:p>
        </w:tc>
        <w:tc>
          <w:tcPr>
            <w:tcW w:w="280" w:type="dxa"/>
            <w:vAlign w:val="bottom"/>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(cbm)</w:t>
            </w:r>
          </w:p>
        </w:tc>
        <w:tc>
          <w:tcPr>
            <w:tcW w:w="28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80" w:type="dxa"/>
            <w:vAlign w:val="bottom"/>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Propulsion</w:t>
            </w:r>
          </w:p>
        </w:tc>
        <w:tc>
          <w:tcPr>
            <w:tcW w:w="28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(1)</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r>
              <w:rPr>
                <w:rFonts w:ascii="Arial" w:cs="Arial" w:eastAsia="Arial" w:hAnsi="Arial"/>
                <w:sz w:val="8"/>
                <w:szCs w:val="8"/>
                <w:b w:val="1"/>
                <w:bCs w:val="1"/>
                <w:color w:val="auto"/>
                <w:w w:val="93"/>
              </w:rPr>
              <w:t>(2)</w:t>
            </w:r>
          </w:p>
        </w:tc>
      </w:tr>
      <w:tr>
        <w:trPr>
          <w:trHeight w:val="237"/>
        </w:trPr>
        <w:tc>
          <w:tcPr>
            <w:tcW w:w="20" w:type="dxa"/>
            <w:vAlign w:val="bottom"/>
          </w:tcPr>
          <w:p>
            <w:pPr>
              <w:spacing w:after="0"/>
              <w:rPr>
                <w:sz w:val="20"/>
                <w:szCs w:val="20"/>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1</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GasLog Savannah</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2010</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0"/>
                <w:szCs w:val="20"/>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Spot Market</w:t>
            </w:r>
            <w:r>
              <w:rPr>
                <w:rFonts w:ascii="Arial" w:cs="Arial" w:eastAsia="Arial" w:hAnsi="Arial"/>
                <w:sz w:val="10"/>
                <w:szCs w:val="10"/>
                <w:color w:val="auto"/>
                <w:w w:val="94"/>
              </w:rPr>
              <w:t>(3)</w:t>
            </w:r>
          </w:p>
        </w:tc>
        <w:tc>
          <w:tcPr>
            <w:tcW w:w="280" w:type="dxa"/>
            <w:vAlign w:val="bottom"/>
            <w:shd w:val="clear" w:color="auto" w:fill="E5FFFF"/>
          </w:tcPr>
          <w:p>
            <w:pPr>
              <w:spacing w:after="0"/>
              <w:rPr>
                <w:sz w:val="20"/>
                <w:szCs w:val="20"/>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0"/>
                <w:szCs w:val="20"/>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c>
          <w:tcPr>
            <w:tcW w:w="280" w:type="dxa"/>
            <w:vAlign w:val="bottom"/>
            <w:shd w:val="clear" w:color="auto" w:fill="E5FFFF"/>
          </w:tcPr>
          <w:p>
            <w:pPr>
              <w:spacing w:after="0"/>
              <w:rPr>
                <w:sz w:val="20"/>
                <w:szCs w:val="20"/>
                <w:color w:val="auto"/>
              </w:rPr>
            </w:pPr>
          </w:p>
        </w:tc>
        <w:tc>
          <w:tcPr>
            <w:tcW w:w="8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2</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GasLog Singapore</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2010</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Spot Market</w:t>
            </w:r>
            <w:r>
              <w:rPr>
                <w:rFonts w:ascii="Arial" w:cs="Arial" w:eastAsia="Arial" w:hAnsi="Arial"/>
                <w:sz w:val="10"/>
                <w:szCs w:val="10"/>
                <w:color w:val="auto"/>
                <w:w w:val="94"/>
              </w:rPr>
              <w:t>(3)</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3</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GasLog Skagen</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2013</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8"/>
              </w:rPr>
              <w:t>April 2021</w:t>
            </w:r>
            <w:r>
              <w:rPr>
                <w:rFonts w:ascii="Arial" w:cs="Arial" w:eastAsia="Arial" w:hAnsi="Arial"/>
                <w:sz w:val="10"/>
                <w:szCs w:val="10"/>
                <w:color w:val="auto"/>
                <w:w w:val="98"/>
              </w:rPr>
              <w:t>(4)</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2026-2031</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4</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GasLog Chelsea</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2010</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153,600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Spot Market</w:t>
            </w:r>
            <w:r>
              <w:rPr>
                <w:rFonts w:ascii="Arial" w:cs="Arial" w:eastAsia="Arial" w:hAnsi="Arial"/>
                <w:sz w:val="10"/>
                <w:szCs w:val="10"/>
                <w:color w:val="auto"/>
                <w:w w:val="94"/>
              </w:rPr>
              <w:t>(3)</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5</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Solaris</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2014</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June 2021</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2026-2031</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6</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GasLog Saratoga</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2014</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Spot Market</w:t>
            </w:r>
            <w:r>
              <w:rPr>
                <w:rFonts w:ascii="Arial" w:cs="Arial" w:eastAsia="Arial" w:hAnsi="Arial"/>
                <w:sz w:val="10"/>
                <w:szCs w:val="10"/>
                <w:color w:val="auto"/>
                <w:w w:val="94"/>
              </w:rPr>
              <w:t>(3)</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7</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Methane Lydon Volney</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2006</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Steam</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2"/>
              </w:rPr>
              <w:t>October 2020</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2023-2025</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8</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Methane Becki Anne</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2010</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170,000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3"/>
              </w:rPr>
              <w:t>March 2024</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2027-2029</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9</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GasLog Salem</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2015</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Spot Market</w:t>
            </w:r>
            <w:r>
              <w:rPr>
                <w:rFonts w:ascii="Arial" w:cs="Arial" w:eastAsia="Arial" w:hAnsi="Arial"/>
                <w:sz w:val="10"/>
                <w:szCs w:val="10"/>
                <w:color w:val="auto"/>
                <w:w w:val="94"/>
              </w:rPr>
              <w:t>(3)</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10</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GasLog Greece</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2016</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174,000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3"/>
              </w:rPr>
              <w:t>March 2026</w:t>
            </w:r>
          </w:p>
        </w:tc>
        <w:tc>
          <w:tcPr>
            <w:tcW w:w="114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2031</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11</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GasLog Glasgow</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2016</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174,000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June 2026</w:t>
            </w:r>
          </w:p>
        </w:tc>
        <w:tc>
          <w:tcPr>
            <w:tcW w:w="114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w w:val="89"/>
              </w:rPr>
              <w:t>2031</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9"/>
                <w:szCs w:val="19"/>
                <w:b w:val="1"/>
                <w:bCs w:val="1"/>
                <w:color w:val="auto"/>
              </w:rPr>
              <w:t>12</w:t>
            </w:r>
          </w:p>
        </w:tc>
        <w:tc>
          <w:tcPr>
            <w:tcW w:w="3000" w:type="dxa"/>
            <w:vAlign w:val="bottom"/>
          </w:tcPr>
          <w:p>
            <w:pPr>
              <w:ind w:left="180"/>
              <w:spacing w:after="0"/>
              <w:rPr>
                <w:sz w:val="20"/>
                <w:szCs w:val="20"/>
                <w:color w:val="auto"/>
              </w:rPr>
            </w:pPr>
            <w:r>
              <w:rPr>
                <w:rFonts w:ascii="Arial" w:cs="Arial" w:eastAsia="Arial" w:hAnsi="Arial"/>
                <w:sz w:val="19"/>
                <w:szCs w:val="19"/>
                <w:i w:val="1"/>
                <w:iCs w:val="1"/>
                <w:color w:val="auto"/>
              </w:rPr>
              <w:t>GasLog Geneva</w:t>
            </w:r>
          </w:p>
        </w:tc>
        <w:tc>
          <w:tcPr>
            <w:tcW w:w="780" w:type="dxa"/>
            <w:vAlign w:val="bottom"/>
            <w:gridSpan w:val="2"/>
          </w:tcPr>
          <w:p>
            <w:pPr>
              <w:ind w:left="340"/>
              <w:spacing w:after="0"/>
              <w:rPr>
                <w:sz w:val="20"/>
                <w:szCs w:val="20"/>
                <w:color w:val="auto"/>
              </w:rPr>
            </w:pPr>
            <w:r>
              <w:rPr>
                <w:rFonts w:ascii="Arial" w:cs="Arial" w:eastAsia="Arial" w:hAnsi="Arial"/>
                <w:sz w:val="19"/>
                <w:szCs w:val="19"/>
                <w:color w:val="auto"/>
                <w:w w:val="99"/>
              </w:rPr>
              <w:t>2016</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174,000</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1"/>
              </w:rPr>
              <w:t>September 2023</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2028-2031</w:t>
            </w:r>
          </w:p>
        </w:tc>
      </w:tr>
      <w:tr>
        <w:trPr>
          <w:trHeight w:val="243"/>
        </w:trPr>
        <w:tc>
          <w:tcPr>
            <w:tcW w:w="20" w:type="dxa"/>
            <w:vAlign w:val="bottom"/>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13</w:t>
            </w:r>
          </w:p>
        </w:tc>
        <w:tc>
          <w:tcPr>
            <w:tcW w:w="3000" w:type="dxa"/>
            <w:vAlign w:val="bottom"/>
            <w:shd w:val="clear" w:color="auto" w:fill="E5FFFF"/>
          </w:tcPr>
          <w:p>
            <w:pPr>
              <w:ind w:left="180"/>
              <w:spacing w:after="0"/>
              <w:rPr>
                <w:sz w:val="20"/>
                <w:szCs w:val="20"/>
                <w:color w:val="auto"/>
              </w:rPr>
            </w:pPr>
            <w:r>
              <w:rPr>
                <w:rFonts w:ascii="Arial" w:cs="Arial" w:eastAsia="Arial" w:hAnsi="Arial"/>
                <w:sz w:val="19"/>
                <w:szCs w:val="19"/>
                <w:i w:val="1"/>
                <w:iCs w:val="1"/>
                <w:color w:val="auto"/>
              </w:rPr>
              <w:t>GasLog Gibraltar</w:t>
            </w:r>
          </w:p>
        </w:tc>
        <w:tc>
          <w:tcPr>
            <w:tcW w:w="78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w w:val="99"/>
              </w:rPr>
              <w:t>2016</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174,000</w:t>
            </w:r>
          </w:p>
        </w:tc>
        <w:tc>
          <w:tcPr>
            <w:tcW w:w="280" w:type="dxa"/>
            <w:vAlign w:val="bottom"/>
            <w:shd w:val="clear" w:color="auto" w:fill="E5FFFF"/>
          </w:tcPr>
          <w:p>
            <w:pPr>
              <w:spacing w:after="0"/>
              <w:rPr>
                <w:sz w:val="21"/>
                <w:szCs w:val="21"/>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920" w:type="dxa"/>
            <w:vAlign w:val="bottom"/>
            <w:shd w:val="clear" w:color="auto" w:fill="E5FFFF"/>
          </w:tcPr>
          <w:p>
            <w:pPr>
              <w:ind w:left="34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7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2"/>
              </w:rPr>
              <w:t>October 2023</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2028-2031</w:t>
            </w:r>
          </w:p>
        </w:tc>
      </w:tr>
      <w:tr>
        <w:trPr>
          <w:trHeight w:val="34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gridSpan w:val="2"/>
          </w:tcPr>
          <w:p>
            <w:pPr>
              <w:jc w:val="right"/>
              <w:ind w:right="1164"/>
              <w:spacing w:after="0"/>
              <w:rPr>
                <w:sz w:val="20"/>
                <w:szCs w:val="20"/>
                <w:color w:val="auto"/>
              </w:rPr>
            </w:pPr>
            <w:r>
              <w:rPr>
                <w:rFonts w:ascii="Arial" w:cs="Arial" w:eastAsia="Arial" w:hAnsi="Arial"/>
                <w:sz w:val="19"/>
                <w:szCs w:val="19"/>
                <w:color w:val="auto"/>
              </w:rPr>
              <w:t>38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4" w:name="page45"/>
    <w:bookmarkEnd w:id="44"/>
    <w:p>
      <w:pPr>
        <w:ind w:left="360"/>
        <w:spacing w:after="0"/>
        <w:rPr>
          <w:sz w:val="20"/>
          <w:szCs w:val="20"/>
          <w:color w:val="auto"/>
        </w:rPr>
      </w:pPr>
      <w:r>
        <w:rPr>
          <w:rFonts w:ascii="Arial" w:cs="Arial" w:eastAsia="Arial" w:hAnsi="Arial"/>
          <w:sz w:val="19"/>
          <w:szCs w:val="19"/>
          <w:color w:val="auto"/>
        </w:rPr>
        <w:t>The following table presents information about GasLog Partners’ fleet and their associated time charters as of February 27, 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Cargo</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Year</w:t>
            </w:r>
          </w:p>
        </w:tc>
        <w:tc>
          <w:tcPr>
            <w:tcW w:w="280" w:type="dxa"/>
            <w:vAlign w:val="bottom"/>
          </w:tcPr>
          <w:p>
            <w:pPr>
              <w:spacing w:after="0"/>
              <w:rPr>
                <w:sz w:val="15"/>
                <w:szCs w:val="15"/>
                <w:color w:val="auto"/>
              </w:rPr>
            </w:pPr>
          </w:p>
        </w:tc>
        <w:tc>
          <w:tcPr>
            <w:tcW w:w="80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Capacity</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280" w:type="dxa"/>
            <w:vAlign w:val="bottom"/>
          </w:tcPr>
          <w:p>
            <w:pPr>
              <w:spacing w:after="0"/>
              <w:rPr>
                <w:sz w:val="15"/>
                <w:szCs w:val="15"/>
                <w:color w:val="auto"/>
              </w:rPr>
            </w:pPr>
          </w:p>
        </w:tc>
        <w:tc>
          <w:tcPr>
            <w:tcW w:w="86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Optional</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Built</w:t>
            </w:r>
          </w:p>
        </w:tc>
        <w:tc>
          <w:tcPr>
            <w:tcW w:w="280" w:type="dxa"/>
            <w:vAlign w:val="bottom"/>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(cbm)</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60" w:type="dxa"/>
            <w:vAlign w:val="bottom"/>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5"/>
              </w:rPr>
              <w:t>Propulsion</w:t>
            </w:r>
          </w:p>
        </w:tc>
        <w:tc>
          <w:tcPr>
            <w:tcW w:w="28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Expiration</w:t>
            </w:r>
            <w:r>
              <w:rPr>
                <w:rFonts w:ascii="Arial" w:cs="Arial" w:eastAsia="Arial" w:hAnsi="Arial"/>
                <w:sz w:val="8"/>
                <w:szCs w:val="8"/>
                <w:b w:val="1"/>
                <w:bCs w:val="1"/>
                <w:color w:val="auto"/>
                <w:w w:val="93"/>
              </w:rPr>
              <w:t>(1)</w:t>
            </w:r>
          </w:p>
        </w:tc>
        <w:tc>
          <w:tcPr>
            <w:tcW w:w="280" w:type="dxa"/>
            <w:vAlign w:val="bottom"/>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8"/>
                <w:szCs w:val="8"/>
                <w:b w:val="1"/>
                <w:bCs w:val="1"/>
                <w:color w:val="auto"/>
              </w:rPr>
              <w:t>(2)</w:t>
            </w:r>
          </w:p>
        </w:tc>
      </w:tr>
      <w:tr>
        <w:trPr>
          <w:trHeight w:val="237"/>
        </w:trPr>
        <w:tc>
          <w:tcPr>
            <w:tcW w:w="20" w:type="dxa"/>
            <w:vAlign w:val="bottom"/>
          </w:tcPr>
          <w:p>
            <w:pPr>
              <w:spacing w:after="0"/>
              <w:rPr>
                <w:sz w:val="20"/>
                <w:szCs w:val="20"/>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1</w:t>
            </w:r>
          </w:p>
        </w:tc>
        <w:tc>
          <w:tcPr>
            <w:tcW w:w="360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GasLog Shanghai</w:t>
            </w:r>
          </w:p>
        </w:tc>
        <w:tc>
          <w:tcPr>
            <w:tcW w:w="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2013</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0"/>
                <w:szCs w:val="20"/>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shd w:val="clear" w:color="auto" w:fill="E5FFFF"/>
          </w:tcPr>
          <w:p>
            <w:pPr>
              <w:spacing w:after="0"/>
              <w:rPr>
                <w:sz w:val="20"/>
                <w:szCs w:val="20"/>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0"/>
                <w:szCs w:val="20"/>
                <w:color w:val="auto"/>
              </w:rPr>
            </w:pPr>
          </w:p>
        </w:tc>
        <w:tc>
          <w:tcPr>
            <w:tcW w:w="19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3"/>
              </w:rPr>
              <w:t>May 2018</w:t>
            </w:r>
          </w:p>
        </w:tc>
        <w:tc>
          <w:tcPr>
            <w:tcW w:w="280" w:type="dxa"/>
            <w:vAlign w:val="bottom"/>
            <w:shd w:val="clear" w:color="auto" w:fill="E5FFFF"/>
          </w:tcPr>
          <w:p>
            <w:pPr>
              <w:spacing w:after="0"/>
              <w:rPr>
                <w:sz w:val="20"/>
                <w:szCs w:val="20"/>
                <w:color w:val="auto"/>
              </w:rPr>
            </w:pPr>
          </w:p>
        </w:tc>
        <w:tc>
          <w:tcPr>
            <w:tcW w:w="8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w:t>
            </w:r>
          </w:p>
        </w:tc>
      </w:tr>
      <w:tr>
        <w:trPr>
          <w:trHeight w:val="243"/>
        </w:trPr>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2</w:t>
            </w:r>
          </w:p>
        </w:tc>
        <w:tc>
          <w:tcPr>
            <w:tcW w:w="3600" w:type="dxa"/>
            <w:vAlign w:val="bottom"/>
          </w:tcPr>
          <w:p>
            <w:pPr>
              <w:ind w:left="220"/>
              <w:spacing w:after="0"/>
              <w:rPr>
                <w:sz w:val="20"/>
                <w:szCs w:val="20"/>
                <w:color w:val="auto"/>
              </w:rPr>
            </w:pPr>
            <w:r>
              <w:rPr>
                <w:rFonts w:ascii="Arial" w:cs="Arial" w:eastAsia="Arial" w:hAnsi="Arial"/>
                <w:sz w:val="19"/>
                <w:szCs w:val="19"/>
                <w:i w:val="1"/>
                <w:iCs w:val="1"/>
                <w:color w:val="auto"/>
              </w:rPr>
              <w:t>GasLog Santiago</w:t>
            </w:r>
          </w:p>
        </w:tc>
        <w:tc>
          <w:tcPr>
            <w:tcW w:w="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2013</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tcPr>
          <w:p>
            <w:pPr>
              <w:spacing w:after="0"/>
              <w:rPr>
                <w:sz w:val="21"/>
                <w:szCs w:val="21"/>
                <w:color w:val="auto"/>
              </w:rPr>
            </w:pPr>
          </w:p>
        </w:tc>
        <w:tc>
          <w:tcPr>
            <w:tcW w:w="920" w:type="dxa"/>
            <w:vAlign w:val="bottom"/>
          </w:tcPr>
          <w:p>
            <w:pPr>
              <w:ind w:left="36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9"/>
                <w:szCs w:val="19"/>
                <w:color w:val="auto"/>
                <w:w w:val="93"/>
              </w:rPr>
              <w:t>July 2018</w:t>
            </w:r>
          </w:p>
        </w:tc>
        <w:tc>
          <w:tcPr>
            <w:tcW w:w="2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243"/>
        </w:trPr>
        <w:tc>
          <w:tcPr>
            <w:tcW w:w="20" w:type="dxa"/>
            <w:vAlign w:val="bottom"/>
          </w:tcPr>
          <w:p>
            <w:pPr>
              <w:spacing w:after="0"/>
              <w:rPr>
                <w:sz w:val="21"/>
                <w:szCs w:val="21"/>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3</w:t>
            </w:r>
          </w:p>
        </w:tc>
        <w:tc>
          <w:tcPr>
            <w:tcW w:w="360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GasLog Sydney</w:t>
            </w:r>
          </w:p>
        </w:tc>
        <w:tc>
          <w:tcPr>
            <w:tcW w:w="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2013</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shd w:val="clear" w:color="auto" w:fill="E5FFFF"/>
          </w:tcPr>
          <w:p>
            <w:pPr>
              <w:spacing w:after="0"/>
              <w:rPr>
                <w:sz w:val="21"/>
                <w:szCs w:val="21"/>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1"/>
                <w:szCs w:val="21"/>
                <w:color w:val="auto"/>
              </w:rPr>
            </w:pPr>
          </w:p>
        </w:tc>
        <w:tc>
          <w:tcPr>
            <w:tcW w:w="19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September 2018</w:t>
            </w:r>
            <w:r>
              <w:rPr>
                <w:rFonts w:ascii="Arial" w:cs="Arial" w:eastAsia="Arial" w:hAnsi="Arial"/>
                <w:sz w:val="10"/>
                <w:szCs w:val="10"/>
                <w:color w:val="auto"/>
                <w:w w:val="90"/>
              </w:rPr>
              <w:t>(5)</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2021-2026</w:t>
            </w:r>
          </w:p>
        </w:tc>
      </w:tr>
      <w:tr>
        <w:trPr>
          <w:trHeight w:val="243"/>
        </w:trPr>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4</w:t>
            </w:r>
          </w:p>
        </w:tc>
        <w:tc>
          <w:tcPr>
            <w:tcW w:w="3600" w:type="dxa"/>
            <w:vAlign w:val="bottom"/>
          </w:tcPr>
          <w:p>
            <w:pPr>
              <w:ind w:left="220"/>
              <w:spacing w:after="0"/>
              <w:rPr>
                <w:sz w:val="20"/>
                <w:szCs w:val="20"/>
                <w:color w:val="auto"/>
              </w:rPr>
            </w:pPr>
            <w:r>
              <w:rPr>
                <w:rFonts w:ascii="Arial" w:cs="Arial" w:eastAsia="Arial" w:hAnsi="Arial"/>
                <w:sz w:val="19"/>
                <w:szCs w:val="19"/>
                <w:i w:val="1"/>
                <w:iCs w:val="1"/>
                <w:color w:val="auto"/>
              </w:rPr>
              <w:t>GasLog Seattle</w:t>
            </w:r>
          </w:p>
        </w:tc>
        <w:tc>
          <w:tcPr>
            <w:tcW w:w="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2013</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155,000</w:t>
            </w:r>
          </w:p>
        </w:tc>
        <w:tc>
          <w:tcPr>
            <w:tcW w:w="2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tcPr>
          <w:p>
            <w:pPr>
              <w:spacing w:after="0"/>
              <w:rPr>
                <w:sz w:val="21"/>
                <w:szCs w:val="21"/>
                <w:color w:val="auto"/>
              </w:rPr>
            </w:pPr>
          </w:p>
        </w:tc>
        <w:tc>
          <w:tcPr>
            <w:tcW w:w="920" w:type="dxa"/>
            <w:vAlign w:val="bottom"/>
          </w:tcPr>
          <w:p>
            <w:pPr>
              <w:ind w:left="360"/>
              <w:spacing w:after="0"/>
              <w:rPr>
                <w:sz w:val="20"/>
                <w:szCs w:val="20"/>
                <w:color w:val="auto"/>
              </w:rPr>
            </w:pPr>
            <w:r>
              <w:rPr>
                <w:rFonts w:ascii="Arial" w:cs="Arial" w:eastAsia="Arial" w:hAnsi="Arial"/>
                <w:sz w:val="19"/>
                <w:szCs w:val="19"/>
                <w:color w:val="auto"/>
              </w:rPr>
              <w:t>TFDE</w:t>
            </w:r>
          </w:p>
        </w:tc>
        <w:tc>
          <w:tcPr>
            <w:tcW w:w="28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9"/>
                <w:szCs w:val="19"/>
                <w:color w:val="auto"/>
                <w:w w:val="90"/>
              </w:rPr>
              <w:t>December 2020</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2025-2030</w:t>
            </w:r>
          </w:p>
        </w:tc>
      </w:tr>
      <w:tr>
        <w:trPr>
          <w:trHeight w:val="243"/>
        </w:trPr>
        <w:tc>
          <w:tcPr>
            <w:tcW w:w="20" w:type="dxa"/>
            <w:vAlign w:val="bottom"/>
          </w:tcPr>
          <w:p>
            <w:pPr>
              <w:spacing w:after="0"/>
              <w:rPr>
                <w:sz w:val="21"/>
                <w:szCs w:val="21"/>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5</w:t>
            </w:r>
          </w:p>
        </w:tc>
        <w:tc>
          <w:tcPr>
            <w:tcW w:w="360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Methane Rita Andrea</w:t>
            </w:r>
          </w:p>
        </w:tc>
        <w:tc>
          <w:tcPr>
            <w:tcW w:w="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2006</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shd w:val="clear" w:color="auto" w:fill="E5FFFF"/>
          </w:tcPr>
          <w:p>
            <w:pPr>
              <w:spacing w:after="0"/>
              <w:rPr>
                <w:sz w:val="21"/>
                <w:szCs w:val="21"/>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w w:val="98"/>
              </w:rPr>
              <w:t>Steam</w:t>
            </w:r>
          </w:p>
        </w:tc>
        <w:tc>
          <w:tcPr>
            <w:tcW w:w="280" w:type="dxa"/>
            <w:vAlign w:val="bottom"/>
            <w:shd w:val="clear" w:color="auto" w:fill="E5FFFF"/>
          </w:tcPr>
          <w:p>
            <w:pPr>
              <w:spacing w:after="0"/>
              <w:rPr>
                <w:sz w:val="21"/>
                <w:szCs w:val="21"/>
                <w:color w:val="auto"/>
              </w:rPr>
            </w:pPr>
          </w:p>
        </w:tc>
        <w:tc>
          <w:tcPr>
            <w:tcW w:w="19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8"/>
              </w:rPr>
              <w:t>April 2020</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2023-2025</w:t>
            </w:r>
          </w:p>
        </w:tc>
      </w:tr>
      <w:tr>
        <w:trPr>
          <w:trHeight w:val="243"/>
        </w:trPr>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6</w:t>
            </w:r>
          </w:p>
        </w:tc>
        <w:tc>
          <w:tcPr>
            <w:tcW w:w="3600" w:type="dxa"/>
            <w:vAlign w:val="bottom"/>
          </w:tcPr>
          <w:p>
            <w:pPr>
              <w:ind w:left="220"/>
              <w:spacing w:after="0"/>
              <w:rPr>
                <w:sz w:val="20"/>
                <w:szCs w:val="20"/>
                <w:color w:val="auto"/>
              </w:rPr>
            </w:pPr>
            <w:r>
              <w:rPr>
                <w:rFonts w:ascii="Arial" w:cs="Arial" w:eastAsia="Arial" w:hAnsi="Arial"/>
                <w:sz w:val="19"/>
                <w:szCs w:val="19"/>
                <w:i w:val="1"/>
                <w:iCs w:val="1"/>
                <w:color w:val="auto"/>
              </w:rPr>
              <w:t>Methane Jane Elizabeth</w:t>
            </w:r>
          </w:p>
        </w:tc>
        <w:tc>
          <w:tcPr>
            <w:tcW w:w="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2006</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tcPr>
          <w:p>
            <w:pPr>
              <w:spacing w:after="0"/>
              <w:rPr>
                <w:sz w:val="21"/>
                <w:szCs w:val="21"/>
                <w:color w:val="auto"/>
              </w:rPr>
            </w:pPr>
          </w:p>
        </w:tc>
        <w:tc>
          <w:tcPr>
            <w:tcW w:w="920" w:type="dxa"/>
            <w:vAlign w:val="bottom"/>
          </w:tcPr>
          <w:p>
            <w:pPr>
              <w:ind w:left="360"/>
              <w:spacing w:after="0"/>
              <w:rPr>
                <w:sz w:val="20"/>
                <w:szCs w:val="20"/>
                <w:color w:val="auto"/>
              </w:rPr>
            </w:pPr>
            <w:r>
              <w:rPr>
                <w:rFonts w:ascii="Arial" w:cs="Arial" w:eastAsia="Arial" w:hAnsi="Arial"/>
                <w:sz w:val="19"/>
                <w:szCs w:val="19"/>
                <w:color w:val="auto"/>
                <w:w w:val="98"/>
              </w:rPr>
              <w:t>Steam</w:t>
            </w:r>
          </w:p>
        </w:tc>
        <w:tc>
          <w:tcPr>
            <w:tcW w:w="28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9"/>
                <w:szCs w:val="19"/>
                <w:color w:val="auto"/>
                <w:w w:val="92"/>
              </w:rPr>
              <w:t>October 2019</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2022-2024</w:t>
            </w:r>
          </w:p>
        </w:tc>
      </w:tr>
      <w:tr>
        <w:trPr>
          <w:trHeight w:val="243"/>
        </w:trPr>
        <w:tc>
          <w:tcPr>
            <w:tcW w:w="20" w:type="dxa"/>
            <w:vAlign w:val="bottom"/>
          </w:tcPr>
          <w:p>
            <w:pPr>
              <w:spacing w:after="0"/>
              <w:rPr>
                <w:sz w:val="21"/>
                <w:szCs w:val="21"/>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7</w:t>
            </w:r>
          </w:p>
        </w:tc>
        <w:tc>
          <w:tcPr>
            <w:tcW w:w="360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Methane Shirley Elisabeth</w:t>
            </w:r>
          </w:p>
        </w:tc>
        <w:tc>
          <w:tcPr>
            <w:tcW w:w="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2007</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shd w:val="clear" w:color="auto" w:fill="E5FFFF"/>
          </w:tcPr>
          <w:p>
            <w:pPr>
              <w:spacing w:after="0"/>
              <w:rPr>
                <w:sz w:val="21"/>
                <w:szCs w:val="21"/>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w w:val="98"/>
              </w:rPr>
              <w:t>Steam</w:t>
            </w:r>
          </w:p>
        </w:tc>
        <w:tc>
          <w:tcPr>
            <w:tcW w:w="280" w:type="dxa"/>
            <w:vAlign w:val="bottom"/>
            <w:shd w:val="clear" w:color="auto" w:fill="E5FFFF"/>
          </w:tcPr>
          <w:p>
            <w:pPr>
              <w:spacing w:after="0"/>
              <w:rPr>
                <w:sz w:val="21"/>
                <w:szCs w:val="21"/>
                <w:color w:val="auto"/>
              </w:rPr>
            </w:pPr>
          </w:p>
        </w:tc>
        <w:tc>
          <w:tcPr>
            <w:tcW w:w="19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87"/>
              </w:rPr>
              <w:t>June 2020</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2023-2025</w:t>
            </w:r>
          </w:p>
        </w:tc>
      </w:tr>
      <w:tr>
        <w:trPr>
          <w:trHeight w:val="243"/>
        </w:trPr>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8</w:t>
            </w:r>
          </w:p>
        </w:tc>
        <w:tc>
          <w:tcPr>
            <w:tcW w:w="3600" w:type="dxa"/>
            <w:vAlign w:val="bottom"/>
          </w:tcPr>
          <w:p>
            <w:pPr>
              <w:ind w:left="220"/>
              <w:spacing w:after="0"/>
              <w:rPr>
                <w:sz w:val="20"/>
                <w:szCs w:val="20"/>
                <w:color w:val="auto"/>
              </w:rPr>
            </w:pPr>
            <w:r>
              <w:rPr>
                <w:rFonts w:ascii="Arial" w:cs="Arial" w:eastAsia="Arial" w:hAnsi="Arial"/>
                <w:sz w:val="19"/>
                <w:szCs w:val="19"/>
                <w:i w:val="1"/>
                <w:iCs w:val="1"/>
                <w:color w:val="auto"/>
              </w:rPr>
              <w:t>Methane Alison Victoria</w:t>
            </w:r>
          </w:p>
        </w:tc>
        <w:tc>
          <w:tcPr>
            <w:tcW w:w="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2007</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tcPr>
          <w:p>
            <w:pPr>
              <w:spacing w:after="0"/>
              <w:rPr>
                <w:sz w:val="21"/>
                <w:szCs w:val="21"/>
                <w:color w:val="auto"/>
              </w:rPr>
            </w:pPr>
          </w:p>
        </w:tc>
        <w:tc>
          <w:tcPr>
            <w:tcW w:w="920" w:type="dxa"/>
            <w:vAlign w:val="bottom"/>
          </w:tcPr>
          <w:p>
            <w:pPr>
              <w:ind w:left="360"/>
              <w:spacing w:after="0"/>
              <w:rPr>
                <w:sz w:val="20"/>
                <w:szCs w:val="20"/>
                <w:color w:val="auto"/>
              </w:rPr>
            </w:pPr>
            <w:r>
              <w:rPr>
                <w:rFonts w:ascii="Arial" w:cs="Arial" w:eastAsia="Arial" w:hAnsi="Arial"/>
                <w:sz w:val="19"/>
                <w:szCs w:val="19"/>
                <w:color w:val="auto"/>
                <w:w w:val="98"/>
              </w:rPr>
              <w:t>Steam</w:t>
            </w:r>
          </w:p>
        </w:tc>
        <w:tc>
          <w:tcPr>
            <w:tcW w:w="28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9"/>
                <w:szCs w:val="19"/>
                <w:color w:val="auto"/>
                <w:w w:val="90"/>
              </w:rPr>
              <w:t>December 2019</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2022-2024</w:t>
            </w:r>
          </w:p>
        </w:tc>
      </w:tr>
      <w:tr>
        <w:trPr>
          <w:trHeight w:val="243"/>
        </w:trPr>
        <w:tc>
          <w:tcPr>
            <w:tcW w:w="20" w:type="dxa"/>
            <w:vAlign w:val="bottom"/>
          </w:tcPr>
          <w:p>
            <w:pPr>
              <w:spacing w:after="0"/>
              <w:rPr>
                <w:sz w:val="21"/>
                <w:szCs w:val="21"/>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9</w:t>
            </w:r>
          </w:p>
        </w:tc>
        <w:tc>
          <w:tcPr>
            <w:tcW w:w="360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Methane Heather Sally</w:t>
            </w:r>
          </w:p>
        </w:tc>
        <w:tc>
          <w:tcPr>
            <w:tcW w:w="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2007</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145,000</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60" w:type="dxa"/>
            <w:vAlign w:val="bottom"/>
            <w:shd w:val="clear" w:color="auto" w:fill="E5FFFF"/>
          </w:tcPr>
          <w:p>
            <w:pPr>
              <w:spacing w:after="0"/>
              <w:rPr>
                <w:sz w:val="21"/>
                <w:szCs w:val="21"/>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w w:val="98"/>
              </w:rPr>
              <w:t>Steam</w:t>
            </w:r>
          </w:p>
        </w:tc>
        <w:tc>
          <w:tcPr>
            <w:tcW w:w="280" w:type="dxa"/>
            <w:vAlign w:val="bottom"/>
            <w:shd w:val="clear" w:color="auto" w:fill="E5FFFF"/>
          </w:tcPr>
          <w:p>
            <w:pPr>
              <w:spacing w:after="0"/>
              <w:rPr>
                <w:sz w:val="21"/>
                <w:szCs w:val="21"/>
                <w:color w:val="auto"/>
              </w:rPr>
            </w:pPr>
          </w:p>
        </w:tc>
        <w:tc>
          <w:tcPr>
            <w:tcW w:w="19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December 2020</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2023-2025</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Bareboat Vessel</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Year</w:t>
            </w:r>
          </w:p>
        </w:tc>
        <w:tc>
          <w:tcPr>
            <w:tcW w:w="26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2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Optional</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Built</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80" w:type="dxa"/>
            <w:vAlign w:val="bottom"/>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5"/>
              </w:rPr>
              <w:t>Propulsion</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(1)</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r>
              <w:rPr>
                <w:rFonts w:ascii="Arial" w:cs="Arial" w:eastAsia="Arial" w:hAnsi="Arial"/>
                <w:sz w:val="8"/>
                <w:szCs w:val="8"/>
                <w:b w:val="1"/>
                <w:bCs w:val="1"/>
                <w:color w:val="auto"/>
                <w:w w:val="93"/>
              </w:rPr>
              <w:t>(2)</w:t>
            </w:r>
          </w:p>
        </w:tc>
      </w:tr>
      <w:tr>
        <w:trPr>
          <w:trHeight w:val="237"/>
        </w:trPr>
        <w:tc>
          <w:tcPr>
            <w:tcW w:w="20" w:type="dxa"/>
            <w:vAlign w:val="bottom"/>
          </w:tcPr>
          <w:p>
            <w:pPr>
              <w:spacing w:after="0"/>
              <w:rPr>
                <w:sz w:val="20"/>
                <w:szCs w:val="20"/>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b w:val="1"/>
                <w:bCs w:val="1"/>
                <w:color w:val="auto"/>
                <w:w w:val="71"/>
              </w:rPr>
              <w:t>1</w:t>
            </w:r>
          </w:p>
        </w:tc>
        <w:tc>
          <w:tcPr>
            <w:tcW w:w="4260" w:type="dxa"/>
            <w:vAlign w:val="bottom"/>
            <w:gridSpan w:val="2"/>
            <w:shd w:val="clear" w:color="auto" w:fill="E5FFFF"/>
          </w:tcPr>
          <w:p>
            <w:pPr>
              <w:ind w:left="220"/>
              <w:spacing w:after="0"/>
              <w:rPr>
                <w:sz w:val="20"/>
                <w:szCs w:val="20"/>
                <w:color w:val="auto"/>
              </w:rPr>
            </w:pPr>
            <w:r>
              <w:rPr>
                <w:rFonts w:ascii="Arial" w:cs="Arial" w:eastAsia="Arial" w:hAnsi="Arial"/>
                <w:sz w:val="19"/>
                <w:szCs w:val="19"/>
                <w:i w:val="1"/>
                <w:iCs w:val="1"/>
                <w:color w:val="auto"/>
              </w:rPr>
              <w:t>Methane Julia Louise</w:t>
            </w:r>
            <w:r>
              <w:rPr>
                <w:rFonts w:ascii="Arial" w:cs="Arial" w:eastAsia="Arial" w:hAnsi="Arial"/>
                <w:sz w:val="10"/>
                <w:szCs w:val="10"/>
                <w:i w:val="1"/>
                <w:iCs w:val="1"/>
                <w:color w:val="auto"/>
              </w:rPr>
              <w:t>(6)</w:t>
            </w:r>
          </w:p>
        </w:tc>
        <w:tc>
          <w:tcPr>
            <w:tcW w:w="78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w w:val="89"/>
              </w:rPr>
              <w:t>2010</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170,000</w:t>
            </w:r>
          </w:p>
        </w:tc>
        <w:tc>
          <w:tcPr>
            <w:tcW w:w="280" w:type="dxa"/>
            <w:vAlign w:val="bottom"/>
            <w:shd w:val="clear" w:color="auto" w:fill="E5FFFF"/>
          </w:tcPr>
          <w:p>
            <w:pPr>
              <w:spacing w:after="0"/>
              <w:rPr>
                <w:sz w:val="20"/>
                <w:szCs w:val="20"/>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0"/>
                <w:szCs w:val="20"/>
                <w:color w:val="auto"/>
              </w:rPr>
            </w:pPr>
          </w:p>
        </w:tc>
        <w:tc>
          <w:tcPr>
            <w:tcW w:w="9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TFDE</w:t>
            </w:r>
          </w:p>
        </w:tc>
        <w:tc>
          <w:tcPr>
            <w:tcW w:w="280" w:type="dxa"/>
            <w:vAlign w:val="bottom"/>
            <w:shd w:val="clear" w:color="auto" w:fill="E5FFFF"/>
          </w:tcPr>
          <w:p>
            <w:pPr>
              <w:spacing w:after="0"/>
              <w:rPr>
                <w:sz w:val="20"/>
                <w:szCs w:val="20"/>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3"/>
              </w:rPr>
              <w:t>March 2026</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2029-2031</w:t>
            </w:r>
          </w:p>
        </w:tc>
      </w:tr>
      <w:tr>
        <w:trPr>
          <w:trHeight w:val="149"/>
        </w:trPr>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142" w:lineRule="exact"/>
        <w:rPr>
          <w:sz w:val="20"/>
          <w:szCs w:val="20"/>
          <w:color w:val="auto"/>
        </w:rPr>
      </w:pPr>
    </w:p>
    <w:p>
      <w:pPr>
        <w:ind w:left="280" w:hanging="200"/>
        <w:spacing w:after="0"/>
        <w:tabs>
          <w:tab w:leader="none" w:pos="280" w:val="left"/>
        </w:tabs>
        <w:numPr>
          <w:ilvl w:val="0"/>
          <w:numId w:val="32"/>
        </w:numPr>
        <w:rPr>
          <w:rFonts w:ascii="Arial" w:cs="Arial" w:eastAsia="Arial" w:hAnsi="Arial"/>
          <w:sz w:val="9"/>
          <w:szCs w:val="9"/>
          <w:color w:val="auto"/>
        </w:rPr>
      </w:pPr>
      <w:r>
        <w:rPr>
          <w:rFonts w:ascii="Arial" w:cs="Arial" w:eastAsia="Arial" w:hAnsi="Arial"/>
          <w:sz w:val="16"/>
          <w:szCs w:val="16"/>
          <w:color w:val="auto"/>
        </w:rPr>
        <w:t>Indicates the expiration of the initial term.</w:t>
      </w:r>
    </w:p>
    <w:p>
      <w:pPr>
        <w:spacing w:after="0" w:line="86" w:lineRule="exact"/>
        <w:rPr>
          <w:rFonts w:ascii="Arial" w:cs="Arial" w:eastAsia="Arial" w:hAnsi="Arial"/>
          <w:sz w:val="9"/>
          <w:szCs w:val="9"/>
          <w:color w:val="auto"/>
        </w:rPr>
      </w:pPr>
    </w:p>
    <w:p>
      <w:pPr>
        <w:ind w:left="280" w:right="20" w:hanging="200"/>
        <w:spacing w:after="0" w:line="247" w:lineRule="auto"/>
        <w:tabs>
          <w:tab w:leader="none" w:pos="280" w:val="left"/>
        </w:tabs>
        <w:numPr>
          <w:ilvl w:val="0"/>
          <w:numId w:val="32"/>
        </w:numPr>
        <w:rPr>
          <w:rFonts w:ascii="Arial" w:cs="Arial" w:eastAsia="Arial" w:hAnsi="Arial"/>
          <w:sz w:val="8"/>
          <w:szCs w:val="8"/>
          <w:color w:val="auto"/>
        </w:rPr>
      </w:pPr>
      <w:r>
        <w:rPr>
          <w:rFonts w:ascii="Arial" w:cs="Arial" w:eastAsia="Arial" w:hAnsi="Arial"/>
          <w:sz w:val="15"/>
          <w:szCs w:val="15"/>
          <w:color w:val="auto"/>
        </w:rPr>
        <w:t xml:space="preserve">The period shown reflects the expiration of the minimum optional period and the maximum optional period. The charterer of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has unilateral options to extend the term of the charter for up to ten years, on a seasonal charter basis. The charterer of the </w:t>
      </w:r>
      <w:r>
        <w:rPr>
          <w:rFonts w:ascii="Arial" w:cs="Arial" w:eastAsia="Arial" w:hAnsi="Arial"/>
          <w:sz w:val="15"/>
          <w:szCs w:val="15"/>
          <w:i w:val="1"/>
          <w:iCs w:val="1"/>
          <w:color w:val="auto"/>
        </w:rPr>
        <w:t>GasLog Seattle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has unilateral options to extend the term of the time charter for periods ranging from five to ten years, provided that the charterer provides us with advance notice of declaration of any option in accordance with the terms of the applicable charter. The charterer of the </w:t>
      </w:r>
      <w:r>
        <w:rPr>
          <w:rFonts w:ascii="Arial" w:cs="Arial" w:eastAsia="Arial" w:hAnsi="Arial"/>
          <w:sz w:val="15"/>
          <w:szCs w:val="15"/>
          <w:i w:val="1"/>
          <w:iCs w:val="1"/>
          <w:color w:val="auto"/>
        </w:rPr>
        <w:t>Methane Lydon Volney</w:t>
      </w:r>
      <w:r>
        <w:rPr>
          <w:rFonts w:ascii="Arial" w:cs="Arial" w:eastAsia="Arial" w:hAnsi="Arial"/>
          <w:sz w:val="15"/>
          <w:szCs w:val="15"/>
          <w:color w:val="auto"/>
        </w:rPr>
        <w:t xml:space="preserve"> has a unilateral option to extend the term for a period of either three or five years at its election. In addition, the charterer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has a unilateral option to extend the term of two of the related time charters for a period of either three or five years at its election. The charterers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have the option to extend the charters for two consecutive periods of three or four years each plus or minus 30 days, and each charter extension and the length thereof is to be nominated by charterers at least 18 months before the end of each current charter period and shall follow in direct continuation of the then preceding period. No such nominations have been made in respect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charterer of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has a unilateral option to extend the term of the time charters for a period of either three or five years at its election. The charterer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has the right to extend the charters for a period of five years at the charterer’s option. The charterer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has the right to extend the charter by two additional periods of five and three years, respectively, provided that the charterer provides us with advance notice of declaration.</w:t>
      </w:r>
    </w:p>
    <w:p>
      <w:pPr>
        <w:spacing w:after="0" w:line="67" w:lineRule="exact"/>
        <w:rPr>
          <w:rFonts w:ascii="Arial" w:cs="Arial" w:eastAsia="Arial" w:hAnsi="Arial"/>
          <w:sz w:val="8"/>
          <w:szCs w:val="8"/>
          <w:color w:val="auto"/>
        </w:rPr>
      </w:pPr>
    </w:p>
    <w:p>
      <w:pPr>
        <w:ind w:left="280" w:hanging="200"/>
        <w:spacing w:after="0"/>
        <w:tabs>
          <w:tab w:leader="none" w:pos="280" w:val="left"/>
        </w:tabs>
        <w:numPr>
          <w:ilvl w:val="0"/>
          <w:numId w:val="32"/>
        </w:numPr>
        <w:rPr>
          <w:rFonts w:ascii="Arial" w:cs="Arial" w:eastAsia="Arial" w:hAnsi="Arial"/>
          <w:sz w:val="8"/>
          <w:szCs w:val="8"/>
          <w:color w:val="auto"/>
        </w:rPr>
      </w:pPr>
      <w:r>
        <w:rPr>
          <w:rFonts w:ascii="Arial" w:cs="Arial" w:eastAsia="Arial" w:hAnsi="Arial"/>
          <w:sz w:val="15"/>
          <w:szCs w:val="15"/>
          <w:color w:val="auto"/>
        </w:rPr>
        <w:t>Vessels operating in the spot market that participate in the Cool Pool. See “Item 4. Information of the Company—A. History and Development of the Company.”</w:t>
      </w:r>
    </w:p>
    <w:p>
      <w:pPr>
        <w:spacing w:after="0" w:line="97" w:lineRule="exact"/>
        <w:rPr>
          <w:rFonts w:ascii="Arial" w:cs="Arial" w:eastAsia="Arial" w:hAnsi="Arial"/>
          <w:sz w:val="8"/>
          <w:szCs w:val="8"/>
          <w:color w:val="auto"/>
        </w:rPr>
      </w:pPr>
    </w:p>
    <w:p>
      <w:pPr>
        <w:ind w:left="280" w:right="380" w:hanging="200"/>
        <w:spacing w:after="0" w:line="251" w:lineRule="auto"/>
        <w:tabs>
          <w:tab w:leader="none" w:pos="280" w:val="left"/>
        </w:tabs>
        <w:numPr>
          <w:ilvl w:val="0"/>
          <w:numId w:val="32"/>
        </w:numPr>
        <w:rPr>
          <w:rFonts w:ascii="Arial" w:cs="Arial" w:eastAsia="Arial" w:hAnsi="Arial"/>
          <w:sz w:val="9"/>
          <w:szCs w:val="9"/>
          <w:color w:val="auto"/>
        </w:rPr>
      </w:pPr>
      <w:r>
        <w:rPr>
          <w:rFonts w:ascii="Arial" w:cs="Arial" w:eastAsia="Arial" w:hAnsi="Arial"/>
          <w:sz w:val="16"/>
          <w:szCs w:val="16"/>
          <w:color w:val="auto"/>
        </w:rPr>
        <w:t>Time charter provides for full employment for three years and a subsequent five year seasonal charter under which the ship is employed for seven months and available to accept other charters for five months.</w:t>
      </w:r>
    </w:p>
    <w:p>
      <w:pPr>
        <w:spacing w:after="0" w:line="60" w:lineRule="exact"/>
        <w:rPr>
          <w:rFonts w:ascii="Arial" w:cs="Arial" w:eastAsia="Arial" w:hAnsi="Arial"/>
          <w:sz w:val="9"/>
          <w:szCs w:val="9"/>
          <w:color w:val="auto"/>
        </w:rPr>
      </w:pPr>
    </w:p>
    <w:p>
      <w:pPr>
        <w:ind w:left="280" w:hanging="200"/>
        <w:spacing w:after="0" w:line="237" w:lineRule="auto"/>
        <w:tabs>
          <w:tab w:leader="none" w:pos="280" w:val="left"/>
        </w:tabs>
        <w:numPr>
          <w:ilvl w:val="0"/>
          <w:numId w:val="32"/>
        </w:numPr>
        <w:rPr>
          <w:rFonts w:ascii="Arial" w:cs="Arial" w:eastAsia="Arial" w:hAnsi="Arial"/>
          <w:sz w:val="9"/>
          <w:szCs w:val="9"/>
          <w:color w:val="auto"/>
        </w:rPr>
      </w:pPr>
      <w:r>
        <w:rPr>
          <w:rFonts w:ascii="Arial" w:cs="Arial" w:eastAsia="Arial" w:hAnsi="Arial"/>
          <w:sz w:val="16"/>
          <w:szCs w:val="16"/>
          <w:color w:val="auto"/>
        </w:rPr>
        <w:t xml:space="preserve">Pursuant to the agreement signed with MSL on April 21, 2015, with respect to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whose charter was shortened by eight months under such agreement, if MSL does not exercise the charter extension options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GasLog Partners does not enter into a third-party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GasLog and GasLog Partners intend to enter into a bareboat or time charter arrangement that is designed to guarantee the total cash distribution from the vessel for any period of charter shortening.</w:t>
      </w:r>
    </w:p>
    <w:p>
      <w:pPr>
        <w:spacing w:after="0" w:line="70" w:lineRule="exact"/>
        <w:rPr>
          <w:rFonts w:ascii="Arial" w:cs="Arial" w:eastAsia="Arial" w:hAnsi="Arial"/>
          <w:sz w:val="9"/>
          <w:szCs w:val="9"/>
          <w:color w:val="auto"/>
        </w:rPr>
      </w:pPr>
    </w:p>
    <w:p>
      <w:pPr>
        <w:ind w:left="280" w:right="20" w:hanging="200"/>
        <w:spacing w:after="0" w:line="309" w:lineRule="auto"/>
        <w:tabs>
          <w:tab w:leader="none" w:pos="280" w:val="left"/>
        </w:tabs>
        <w:numPr>
          <w:ilvl w:val="0"/>
          <w:numId w:val="32"/>
        </w:numPr>
        <w:rPr>
          <w:rFonts w:ascii="Arial" w:cs="Arial" w:eastAsia="Arial" w:hAnsi="Arial"/>
          <w:sz w:val="8"/>
          <w:szCs w:val="8"/>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i w:val="1"/>
          <w:iCs w:val="1"/>
          <w:color w:val="auto"/>
        </w:rPr>
        <w:t>Newbuilds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ind w:left="180"/>
              <w:spacing w:after="0"/>
              <w:rPr>
                <w:sz w:val="20"/>
                <w:szCs w:val="20"/>
                <w:color w:val="auto"/>
              </w:rPr>
            </w:pPr>
            <w:r>
              <w:rPr>
                <w:rFonts w:ascii="Arial" w:cs="Arial" w:eastAsia="Arial" w:hAnsi="Arial"/>
                <w:sz w:val="16"/>
                <w:szCs w:val="16"/>
                <w:b w:val="1"/>
                <w:bCs w:val="1"/>
                <w:color w:val="auto"/>
              </w:rPr>
              <w:t>Cargo</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Expected</w:t>
            </w:r>
          </w:p>
        </w:tc>
        <w:tc>
          <w:tcPr>
            <w:tcW w:w="300" w:type="dxa"/>
            <w:vAlign w:val="bottom"/>
          </w:tcPr>
          <w:p>
            <w:pPr>
              <w:spacing w:after="0"/>
              <w:rPr>
                <w:sz w:val="15"/>
                <w:szCs w:val="15"/>
                <w:color w:val="auto"/>
              </w:rPr>
            </w:pPr>
          </w:p>
        </w:tc>
        <w:tc>
          <w:tcPr>
            <w:tcW w:w="780" w:type="dxa"/>
            <w:vAlign w:val="bottom"/>
          </w:tcPr>
          <w:p>
            <w:pPr>
              <w:ind w:left="80"/>
              <w:spacing w:after="0" w:line="176" w:lineRule="exact"/>
              <w:rPr>
                <w:sz w:val="20"/>
                <w:szCs w:val="20"/>
                <w:color w:val="auto"/>
              </w:rPr>
            </w:pPr>
            <w:r>
              <w:rPr>
                <w:rFonts w:ascii="Arial" w:cs="Arial" w:eastAsia="Arial" w:hAnsi="Arial"/>
                <w:sz w:val="16"/>
                <w:szCs w:val="16"/>
                <w:b w:val="1"/>
                <w:bCs w:val="1"/>
                <w:color w:val="auto"/>
              </w:rPr>
              <w:t>Capacity</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61"/>
              <w:spacing w:after="0" w:line="176" w:lineRule="exact"/>
              <w:rPr>
                <w:sz w:val="20"/>
                <w:szCs w:val="20"/>
                <w:color w:val="auto"/>
              </w:rPr>
            </w:pPr>
            <w:r>
              <w:rPr>
                <w:rFonts w:ascii="Arial" w:cs="Arial" w:eastAsia="Arial" w:hAnsi="Arial"/>
                <w:sz w:val="16"/>
                <w:szCs w:val="16"/>
                <w:b w:val="1"/>
                <w:bCs w:val="1"/>
                <w:color w:val="auto"/>
              </w:rPr>
              <w:t>Charter</w:t>
            </w:r>
          </w:p>
        </w:tc>
        <w:tc>
          <w:tcPr>
            <w:tcW w:w="280" w:type="dxa"/>
            <w:vAlign w:val="bottom"/>
          </w:tcPr>
          <w:p>
            <w:pPr>
              <w:spacing w:after="0"/>
              <w:rPr>
                <w:sz w:val="15"/>
                <w:szCs w:val="15"/>
                <w:color w:val="auto"/>
              </w:rPr>
            </w:pPr>
          </w:p>
        </w:tc>
        <w:tc>
          <w:tcPr>
            <w:tcW w:w="86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Delivery</w:t>
            </w:r>
            <w:r>
              <w:rPr>
                <w:rFonts w:ascii="Arial" w:cs="Arial" w:eastAsia="Arial" w:hAnsi="Arial"/>
                <w:sz w:val="8"/>
                <w:szCs w:val="8"/>
                <w:b w:val="1"/>
                <w:bCs w:val="1"/>
                <w:color w:val="auto"/>
              </w:rPr>
              <w:t>(1)</w:t>
            </w:r>
          </w:p>
        </w:tc>
        <w:tc>
          <w:tcPr>
            <w:tcW w:w="300" w:type="dxa"/>
            <w:vAlign w:val="bottom"/>
          </w:tcPr>
          <w:p>
            <w:pPr>
              <w:spacing w:after="0"/>
              <w:rPr>
                <w:sz w:val="17"/>
                <w:szCs w:val="17"/>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(cbm)</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80" w:type="dxa"/>
            <w:vAlign w:val="bottom"/>
          </w:tcPr>
          <w:p>
            <w:pPr>
              <w:spacing w:after="0"/>
              <w:rPr>
                <w:sz w:val="17"/>
                <w:szCs w:val="17"/>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8"/>
              </w:rPr>
              <w:t>Propulsion</w:t>
            </w:r>
            <w:r>
              <w:rPr>
                <w:rFonts w:ascii="Arial" w:cs="Arial" w:eastAsia="Arial" w:hAnsi="Arial"/>
                <w:sz w:val="8"/>
                <w:szCs w:val="8"/>
                <w:b w:val="1"/>
                <w:bCs w:val="1"/>
                <w:color w:val="auto"/>
                <w:w w:val="98"/>
              </w:rPr>
              <w:t>(2)</w:t>
            </w:r>
          </w:p>
        </w:tc>
        <w:tc>
          <w:tcPr>
            <w:tcW w:w="300" w:type="dxa"/>
            <w:vAlign w:val="bottom"/>
          </w:tcPr>
          <w:p>
            <w:pPr>
              <w:spacing w:after="0"/>
              <w:rPr>
                <w:sz w:val="17"/>
                <w:szCs w:val="17"/>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Expiration</w:t>
            </w:r>
            <w:r>
              <w:rPr>
                <w:rFonts w:ascii="Arial" w:cs="Arial" w:eastAsia="Arial" w:hAnsi="Arial"/>
                <w:sz w:val="8"/>
                <w:szCs w:val="8"/>
                <w:b w:val="1"/>
                <w:bCs w:val="1"/>
                <w:color w:val="auto"/>
              </w:rPr>
              <w:t>(3)</w:t>
            </w:r>
          </w:p>
        </w:tc>
        <w:tc>
          <w:tcPr>
            <w:tcW w:w="280" w:type="dxa"/>
            <w:vAlign w:val="bottom"/>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8"/>
                <w:szCs w:val="8"/>
                <w:b w:val="1"/>
                <w:bCs w:val="1"/>
                <w:color w:val="auto"/>
              </w:rPr>
              <w:t>(4)</w:t>
            </w:r>
          </w:p>
        </w:tc>
      </w:tr>
      <w:tr>
        <w:trPr>
          <w:trHeight w:val="237"/>
        </w:trPr>
        <w:tc>
          <w:tcPr>
            <w:tcW w:w="20" w:type="dxa"/>
            <w:vAlign w:val="bottom"/>
          </w:tcPr>
          <w:p>
            <w:pPr>
              <w:spacing w:after="0"/>
              <w:rPr>
                <w:sz w:val="20"/>
                <w:szCs w:val="20"/>
                <w:color w:val="auto"/>
              </w:rPr>
            </w:pPr>
          </w:p>
        </w:tc>
        <w:tc>
          <w:tcPr>
            <w:tcW w:w="320" w:type="dxa"/>
            <w:vAlign w:val="bottom"/>
            <w:shd w:val="clear" w:color="auto" w:fill="E5FFFF"/>
          </w:tcPr>
          <w:p>
            <w:pPr>
              <w:jc w:val="right"/>
              <w:ind w:right="165"/>
              <w:spacing w:after="0"/>
              <w:rPr>
                <w:sz w:val="20"/>
                <w:szCs w:val="20"/>
                <w:color w:val="auto"/>
              </w:rPr>
            </w:pPr>
            <w:r>
              <w:rPr>
                <w:rFonts w:ascii="Arial" w:cs="Arial" w:eastAsia="Arial" w:hAnsi="Arial"/>
                <w:sz w:val="15"/>
                <w:szCs w:val="15"/>
                <w:b w:val="1"/>
                <w:bCs w:val="1"/>
                <w:color w:val="auto"/>
                <w:w w:val="71"/>
              </w:rPr>
              <w:t>1</w:t>
            </w:r>
          </w:p>
        </w:tc>
        <w:tc>
          <w:tcPr>
            <w:tcW w:w="382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Hull No. 2130</w:t>
            </w:r>
          </w:p>
        </w:tc>
        <w:tc>
          <w:tcPr>
            <w:tcW w:w="280" w:type="dxa"/>
            <w:vAlign w:val="bottom"/>
            <w:shd w:val="clear" w:color="auto" w:fill="E5FFFF"/>
          </w:tcPr>
          <w:p>
            <w:pPr>
              <w:spacing w:after="0"/>
              <w:rPr>
                <w:sz w:val="20"/>
                <w:szCs w:val="20"/>
                <w:color w:val="auto"/>
              </w:rPr>
            </w:pPr>
          </w:p>
        </w:tc>
        <w:tc>
          <w:tcPr>
            <w:tcW w:w="880" w:type="dxa"/>
            <w:vAlign w:val="bottom"/>
            <w:shd w:val="clear" w:color="auto" w:fill="E5FFFF"/>
          </w:tcPr>
          <w:p>
            <w:pPr>
              <w:ind w:left="160"/>
              <w:spacing w:after="0"/>
              <w:rPr>
                <w:sz w:val="20"/>
                <w:szCs w:val="20"/>
                <w:color w:val="auto"/>
              </w:rPr>
            </w:pPr>
            <w:r>
              <w:rPr>
                <w:rFonts w:ascii="Arial" w:cs="Arial" w:eastAsia="Arial" w:hAnsi="Arial"/>
                <w:sz w:val="19"/>
                <w:szCs w:val="19"/>
                <w:color w:val="auto"/>
                <w:w w:val="95"/>
              </w:rPr>
              <w:t>Q1 2018</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174,000</w:t>
            </w:r>
          </w:p>
        </w:tc>
        <w:tc>
          <w:tcPr>
            <w:tcW w:w="300" w:type="dxa"/>
            <w:vAlign w:val="bottom"/>
            <w:shd w:val="clear" w:color="auto" w:fill="E5FFFF"/>
          </w:tcPr>
          <w:p>
            <w:pPr>
              <w:spacing w:after="0"/>
              <w:rPr>
                <w:sz w:val="20"/>
                <w:szCs w:val="20"/>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0"/>
                <w:szCs w:val="20"/>
                <w:color w:val="auto"/>
              </w:rPr>
            </w:pPr>
          </w:p>
        </w:tc>
        <w:tc>
          <w:tcPr>
            <w:tcW w:w="1060" w:type="dxa"/>
            <w:vAlign w:val="bottom"/>
            <w:shd w:val="clear" w:color="auto" w:fill="E5FFFF"/>
          </w:tcPr>
          <w:p>
            <w:pPr>
              <w:ind w:left="480"/>
              <w:spacing w:after="0"/>
              <w:rPr>
                <w:sz w:val="20"/>
                <w:szCs w:val="20"/>
                <w:color w:val="auto"/>
              </w:rPr>
            </w:pPr>
            <w:r>
              <w:rPr>
                <w:rFonts w:ascii="Arial" w:cs="Arial" w:eastAsia="Arial" w:hAnsi="Arial"/>
                <w:sz w:val="19"/>
                <w:szCs w:val="19"/>
                <w:color w:val="auto"/>
              </w:rPr>
              <w:t>LP-2S</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2027</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2030-2033</w:t>
            </w:r>
          </w:p>
        </w:tc>
      </w:tr>
      <w:tr>
        <w:trPr>
          <w:trHeight w:val="243"/>
        </w:trPr>
        <w:tc>
          <w:tcPr>
            <w:tcW w:w="2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2</w:t>
            </w:r>
          </w:p>
        </w:tc>
        <w:tc>
          <w:tcPr>
            <w:tcW w:w="3820" w:type="dxa"/>
            <w:vAlign w:val="bottom"/>
          </w:tcPr>
          <w:p>
            <w:pPr>
              <w:ind w:left="220"/>
              <w:spacing w:after="0"/>
              <w:rPr>
                <w:sz w:val="20"/>
                <w:szCs w:val="20"/>
                <w:color w:val="auto"/>
              </w:rPr>
            </w:pPr>
            <w:r>
              <w:rPr>
                <w:rFonts w:ascii="Arial" w:cs="Arial" w:eastAsia="Arial" w:hAnsi="Arial"/>
                <w:sz w:val="19"/>
                <w:szCs w:val="19"/>
                <w:i w:val="1"/>
                <w:iCs w:val="1"/>
                <w:color w:val="auto"/>
              </w:rPr>
              <w:t>Hull No. 2131</w:t>
            </w:r>
          </w:p>
        </w:tc>
        <w:tc>
          <w:tcPr>
            <w:tcW w:w="28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9"/>
                <w:szCs w:val="19"/>
                <w:color w:val="auto"/>
                <w:w w:val="95"/>
              </w:rPr>
              <w:t>Q1 2019</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174,000</w:t>
            </w:r>
          </w:p>
        </w:tc>
        <w:tc>
          <w:tcPr>
            <w:tcW w:w="3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1060" w:type="dxa"/>
            <w:vAlign w:val="bottom"/>
          </w:tcPr>
          <w:p>
            <w:pPr>
              <w:ind w:left="480"/>
              <w:spacing w:after="0"/>
              <w:rPr>
                <w:sz w:val="20"/>
                <w:szCs w:val="20"/>
                <w:color w:val="auto"/>
              </w:rPr>
            </w:pPr>
            <w:r>
              <w:rPr>
                <w:rFonts w:ascii="Arial" w:cs="Arial" w:eastAsia="Arial" w:hAnsi="Arial"/>
                <w:sz w:val="19"/>
                <w:szCs w:val="19"/>
                <w:color w:val="auto"/>
              </w:rPr>
              <w:t>LP-2S</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2029</w:t>
            </w:r>
          </w:p>
        </w:tc>
        <w:tc>
          <w:tcPr>
            <w:tcW w:w="114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2032-2035</w:t>
            </w:r>
          </w:p>
        </w:tc>
      </w:tr>
      <w:tr>
        <w:trPr>
          <w:trHeight w:val="243"/>
        </w:trPr>
        <w:tc>
          <w:tcPr>
            <w:tcW w:w="20" w:type="dxa"/>
            <w:vAlign w:val="bottom"/>
          </w:tcPr>
          <w:p>
            <w:pPr>
              <w:spacing w:after="0"/>
              <w:rPr>
                <w:sz w:val="21"/>
                <w:szCs w:val="21"/>
                <w:color w:val="auto"/>
              </w:rPr>
            </w:pPr>
          </w:p>
        </w:tc>
        <w:tc>
          <w:tcPr>
            <w:tcW w:w="320" w:type="dxa"/>
            <w:vAlign w:val="bottom"/>
            <w:shd w:val="clear" w:color="auto" w:fill="E5FFFF"/>
          </w:tcPr>
          <w:p>
            <w:pPr>
              <w:jc w:val="right"/>
              <w:ind w:right="165"/>
              <w:spacing w:after="0"/>
              <w:rPr>
                <w:sz w:val="20"/>
                <w:szCs w:val="20"/>
                <w:color w:val="auto"/>
              </w:rPr>
            </w:pPr>
            <w:r>
              <w:rPr>
                <w:rFonts w:ascii="Arial" w:cs="Arial" w:eastAsia="Arial" w:hAnsi="Arial"/>
                <w:sz w:val="15"/>
                <w:szCs w:val="15"/>
                <w:b w:val="1"/>
                <w:bCs w:val="1"/>
                <w:color w:val="auto"/>
                <w:w w:val="71"/>
              </w:rPr>
              <w:t>3</w:t>
            </w:r>
          </w:p>
        </w:tc>
        <w:tc>
          <w:tcPr>
            <w:tcW w:w="382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Hull No. 2800</w:t>
            </w:r>
          </w:p>
        </w:tc>
        <w:tc>
          <w:tcPr>
            <w:tcW w:w="280" w:type="dxa"/>
            <w:vAlign w:val="bottom"/>
            <w:shd w:val="clear" w:color="auto" w:fill="E5FFFF"/>
          </w:tcPr>
          <w:p>
            <w:pPr>
              <w:spacing w:after="0"/>
              <w:rPr>
                <w:sz w:val="21"/>
                <w:szCs w:val="21"/>
                <w:color w:val="auto"/>
              </w:rPr>
            </w:pPr>
          </w:p>
        </w:tc>
        <w:tc>
          <w:tcPr>
            <w:tcW w:w="880" w:type="dxa"/>
            <w:vAlign w:val="bottom"/>
            <w:shd w:val="clear" w:color="auto" w:fill="E5FFFF"/>
          </w:tcPr>
          <w:p>
            <w:pPr>
              <w:ind w:left="160"/>
              <w:spacing w:after="0"/>
              <w:rPr>
                <w:sz w:val="20"/>
                <w:szCs w:val="20"/>
                <w:color w:val="auto"/>
              </w:rPr>
            </w:pPr>
            <w:r>
              <w:rPr>
                <w:rFonts w:ascii="Arial" w:cs="Arial" w:eastAsia="Arial" w:hAnsi="Arial"/>
                <w:sz w:val="19"/>
                <w:szCs w:val="19"/>
                <w:color w:val="auto"/>
                <w:w w:val="95"/>
              </w:rPr>
              <w:t>Q1 2018</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174,000</w:t>
            </w: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ind w:left="480"/>
              <w:spacing w:after="0"/>
              <w:rPr>
                <w:sz w:val="20"/>
                <w:szCs w:val="20"/>
                <w:color w:val="auto"/>
              </w:rPr>
            </w:pPr>
            <w:r>
              <w:rPr>
                <w:rFonts w:ascii="Arial" w:cs="Arial" w:eastAsia="Arial" w:hAnsi="Arial"/>
                <w:sz w:val="19"/>
                <w:szCs w:val="19"/>
                <w:color w:val="auto"/>
              </w:rPr>
              <w:t>LP-2S</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2028</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2031-2034</w:t>
            </w:r>
          </w:p>
        </w:tc>
      </w:tr>
      <w:tr>
        <w:trPr>
          <w:trHeight w:val="243"/>
        </w:trPr>
        <w:tc>
          <w:tcPr>
            <w:tcW w:w="2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4</w:t>
            </w:r>
          </w:p>
        </w:tc>
        <w:tc>
          <w:tcPr>
            <w:tcW w:w="3820" w:type="dxa"/>
            <w:vAlign w:val="bottom"/>
          </w:tcPr>
          <w:p>
            <w:pPr>
              <w:ind w:left="220"/>
              <w:spacing w:after="0"/>
              <w:rPr>
                <w:sz w:val="20"/>
                <w:szCs w:val="20"/>
                <w:color w:val="auto"/>
              </w:rPr>
            </w:pPr>
            <w:r>
              <w:rPr>
                <w:rFonts w:ascii="Arial" w:cs="Arial" w:eastAsia="Arial" w:hAnsi="Arial"/>
                <w:sz w:val="19"/>
                <w:szCs w:val="19"/>
                <w:i w:val="1"/>
                <w:iCs w:val="1"/>
                <w:color w:val="auto"/>
              </w:rPr>
              <w:t>Hull No. 2801</w:t>
            </w:r>
          </w:p>
        </w:tc>
        <w:tc>
          <w:tcPr>
            <w:tcW w:w="28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9"/>
                <w:szCs w:val="19"/>
                <w:color w:val="auto"/>
                <w:w w:val="95"/>
              </w:rPr>
              <w:t>Q1 2018</w:t>
            </w:r>
          </w:p>
        </w:tc>
        <w:tc>
          <w:tcPr>
            <w:tcW w:w="1080" w:type="dxa"/>
            <w:vAlign w:val="bottom"/>
            <w:gridSpan w:val="2"/>
          </w:tcPr>
          <w:p>
            <w:pPr>
              <w:ind w:left="400"/>
              <w:spacing w:after="0"/>
              <w:rPr>
                <w:sz w:val="20"/>
                <w:szCs w:val="20"/>
                <w:color w:val="auto"/>
              </w:rPr>
            </w:pPr>
            <w:r>
              <w:rPr>
                <w:rFonts w:ascii="Arial" w:cs="Arial" w:eastAsia="Arial" w:hAnsi="Arial"/>
                <w:sz w:val="19"/>
                <w:szCs w:val="19"/>
                <w:color w:val="auto"/>
                <w:w w:val="96"/>
              </w:rPr>
              <w:t>174,000</w:t>
            </w:r>
          </w:p>
        </w:tc>
        <w:tc>
          <w:tcPr>
            <w:tcW w:w="3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9"/>
                <w:szCs w:val="19"/>
                <w:color w:val="auto"/>
                <w:w w:val="94"/>
              </w:rPr>
              <w:t>Total</w:t>
            </w:r>
          </w:p>
        </w:tc>
        <w:tc>
          <w:tcPr>
            <w:tcW w:w="280" w:type="dxa"/>
            <w:vAlign w:val="bottom"/>
          </w:tcPr>
          <w:p>
            <w:pPr>
              <w:spacing w:after="0"/>
              <w:rPr>
                <w:sz w:val="21"/>
                <w:szCs w:val="21"/>
                <w:color w:val="auto"/>
              </w:rPr>
            </w:pPr>
          </w:p>
        </w:tc>
        <w:tc>
          <w:tcPr>
            <w:tcW w:w="1060" w:type="dxa"/>
            <w:vAlign w:val="bottom"/>
          </w:tcPr>
          <w:p>
            <w:pPr>
              <w:ind w:left="480"/>
              <w:spacing w:after="0"/>
              <w:rPr>
                <w:sz w:val="20"/>
                <w:szCs w:val="20"/>
                <w:color w:val="auto"/>
              </w:rPr>
            </w:pPr>
            <w:r>
              <w:rPr>
                <w:rFonts w:ascii="Arial" w:cs="Arial" w:eastAsia="Arial" w:hAnsi="Arial"/>
                <w:sz w:val="19"/>
                <w:szCs w:val="19"/>
                <w:color w:val="auto"/>
              </w:rPr>
              <w:t>LP-2S</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2025</w:t>
            </w:r>
          </w:p>
        </w:tc>
        <w:tc>
          <w:tcPr>
            <w:tcW w:w="114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2028</w:t>
            </w:r>
          </w:p>
        </w:tc>
      </w:tr>
      <w:tr>
        <w:trPr>
          <w:trHeight w:val="243"/>
        </w:trPr>
        <w:tc>
          <w:tcPr>
            <w:tcW w:w="20" w:type="dxa"/>
            <w:vAlign w:val="bottom"/>
          </w:tcPr>
          <w:p>
            <w:pPr>
              <w:spacing w:after="0"/>
              <w:rPr>
                <w:sz w:val="21"/>
                <w:szCs w:val="21"/>
                <w:color w:val="auto"/>
              </w:rPr>
            </w:pPr>
          </w:p>
        </w:tc>
        <w:tc>
          <w:tcPr>
            <w:tcW w:w="320" w:type="dxa"/>
            <w:vAlign w:val="bottom"/>
            <w:shd w:val="clear" w:color="auto" w:fill="E5FFFF"/>
          </w:tcPr>
          <w:p>
            <w:pPr>
              <w:jc w:val="right"/>
              <w:ind w:right="165"/>
              <w:spacing w:after="0"/>
              <w:rPr>
                <w:sz w:val="20"/>
                <w:szCs w:val="20"/>
                <w:color w:val="auto"/>
              </w:rPr>
            </w:pPr>
            <w:r>
              <w:rPr>
                <w:rFonts w:ascii="Arial" w:cs="Arial" w:eastAsia="Arial" w:hAnsi="Arial"/>
                <w:sz w:val="15"/>
                <w:szCs w:val="15"/>
                <w:b w:val="1"/>
                <w:bCs w:val="1"/>
                <w:color w:val="auto"/>
                <w:w w:val="71"/>
              </w:rPr>
              <w:t>5</w:t>
            </w:r>
          </w:p>
        </w:tc>
        <w:tc>
          <w:tcPr>
            <w:tcW w:w="3820" w:type="dxa"/>
            <w:vAlign w:val="bottom"/>
            <w:shd w:val="clear" w:color="auto" w:fill="E5FFFF"/>
          </w:tcPr>
          <w:p>
            <w:pPr>
              <w:ind w:left="220"/>
              <w:spacing w:after="0"/>
              <w:rPr>
                <w:sz w:val="20"/>
                <w:szCs w:val="20"/>
                <w:color w:val="auto"/>
              </w:rPr>
            </w:pPr>
            <w:r>
              <w:rPr>
                <w:rFonts w:ascii="Arial" w:cs="Arial" w:eastAsia="Arial" w:hAnsi="Arial"/>
                <w:sz w:val="19"/>
                <w:szCs w:val="19"/>
                <w:i w:val="1"/>
                <w:iCs w:val="1"/>
                <w:color w:val="auto"/>
              </w:rPr>
              <w:t>Hull No. 2212</w:t>
            </w:r>
          </w:p>
        </w:tc>
        <w:tc>
          <w:tcPr>
            <w:tcW w:w="280" w:type="dxa"/>
            <w:vAlign w:val="bottom"/>
            <w:shd w:val="clear" w:color="auto" w:fill="E5FFFF"/>
          </w:tcPr>
          <w:p>
            <w:pPr>
              <w:spacing w:after="0"/>
              <w:rPr>
                <w:sz w:val="21"/>
                <w:szCs w:val="21"/>
                <w:color w:val="auto"/>
              </w:rPr>
            </w:pPr>
          </w:p>
        </w:tc>
        <w:tc>
          <w:tcPr>
            <w:tcW w:w="880" w:type="dxa"/>
            <w:vAlign w:val="bottom"/>
            <w:shd w:val="clear" w:color="auto" w:fill="E5FFFF"/>
          </w:tcPr>
          <w:p>
            <w:pPr>
              <w:ind w:left="160"/>
              <w:spacing w:after="0"/>
              <w:rPr>
                <w:sz w:val="20"/>
                <w:szCs w:val="20"/>
                <w:color w:val="auto"/>
              </w:rPr>
            </w:pPr>
            <w:r>
              <w:rPr>
                <w:rFonts w:ascii="Arial" w:cs="Arial" w:eastAsia="Arial" w:hAnsi="Arial"/>
                <w:sz w:val="19"/>
                <w:szCs w:val="19"/>
                <w:color w:val="auto"/>
                <w:w w:val="95"/>
              </w:rPr>
              <w:t>Q2 2019</w:t>
            </w:r>
          </w:p>
        </w:tc>
        <w:tc>
          <w:tcPr>
            <w:tcW w:w="108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6"/>
              </w:rPr>
              <w:t>180,000</w:t>
            </w: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3"/>
              </w:rPr>
              <w:t>Centrica</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ind w:left="480"/>
              <w:spacing w:after="0"/>
              <w:rPr>
                <w:sz w:val="20"/>
                <w:szCs w:val="20"/>
                <w:color w:val="auto"/>
              </w:rPr>
            </w:pPr>
            <w:r>
              <w:rPr>
                <w:rFonts w:ascii="Arial" w:cs="Arial" w:eastAsia="Arial" w:hAnsi="Arial"/>
                <w:sz w:val="19"/>
                <w:szCs w:val="19"/>
                <w:color w:val="auto"/>
              </w:rPr>
              <w:t>LP-2S</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2026</w:t>
            </w:r>
          </w:p>
        </w:tc>
        <w:tc>
          <w:tcPr>
            <w:tcW w:w="11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2"/>
              </w:rPr>
              <w:t>2028-2032</w:t>
            </w:r>
          </w:p>
        </w:tc>
      </w:tr>
    </w:tbl>
    <w:p>
      <w:pPr>
        <w:spacing w:after="0" w:line="304" w:lineRule="exact"/>
        <w:rPr>
          <w:sz w:val="20"/>
          <w:szCs w:val="20"/>
          <w:color w:val="auto"/>
        </w:rPr>
      </w:pPr>
    </w:p>
    <w:p>
      <w:pPr>
        <w:ind w:left="280" w:hanging="200"/>
        <w:spacing w:after="0"/>
        <w:tabs>
          <w:tab w:leader="none" w:pos="280" w:val="left"/>
        </w:tabs>
        <w:numPr>
          <w:ilvl w:val="0"/>
          <w:numId w:val="33"/>
        </w:numPr>
        <w:rPr>
          <w:rFonts w:ascii="Arial" w:cs="Arial" w:eastAsia="Arial" w:hAnsi="Arial"/>
          <w:sz w:val="9"/>
          <w:szCs w:val="9"/>
          <w:color w:val="auto"/>
        </w:rPr>
      </w:pPr>
      <w:r>
        <w:rPr>
          <w:rFonts w:ascii="Arial" w:cs="Arial" w:eastAsia="Arial" w:hAnsi="Arial"/>
          <w:sz w:val="16"/>
          <w:szCs w:val="16"/>
          <w:color w:val="auto"/>
        </w:rPr>
        <w:t>Expected delivery quarters are presented.</w:t>
      </w:r>
    </w:p>
    <w:p>
      <w:pPr>
        <w:spacing w:after="0" w:line="86" w:lineRule="exact"/>
        <w:rPr>
          <w:rFonts w:ascii="Arial" w:cs="Arial" w:eastAsia="Arial" w:hAnsi="Arial"/>
          <w:sz w:val="9"/>
          <w:szCs w:val="9"/>
          <w:color w:val="auto"/>
        </w:rPr>
      </w:pPr>
    </w:p>
    <w:p>
      <w:pPr>
        <w:ind w:left="280" w:hanging="200"/>
        <w:spacing w:after="0"/>
        <w:tabs>
          <w:tab w:leader="none" w:pos="280" w:val="left"/>
        </w:tabs>
        <w:numPr>
          <w:ilvl w:val="0"/>
          <w:numId w:val="33"/>
        </w:numPr>
        <w:rPr>
          <w:rFonts w:ascii="Arial" w:cs="Arial" w:eastAsia="Arial" w:hAnsi="Arial"/>
          <w:sz w:val="9"/>
          <w:szCs w:val="9"/>
          <w:color w:val="auto"/>
        </w:rPr>
      </w:pPr>
      <w:r>
        <w:rPr>
          <w:rFonts w:ascii="Arial" w:cs="Arial" w:eastAsia="Arial" w:hAnsi="Arial"/>
          <w:sz w:val="16"/>
          <w:szCs w:val="16"/>
          <w:color w:val="auto"/>
        </w:rPr>
        <w:t>References to “LP-2S” refer to dual-fuel two-stroke engine propulsion.</w:t>
      </w:r>
    </w:p>
    <w:p>
      <w:pPr>
        <w:spacing w:after="0" w:line="86" w:lineRule="exact"/>
        <w:rPr>
          <w:rFonts w:ascii="Arial" w:cs="Arial" w:eastAsia="Arial" w:hAnsi="Arial"/>
          <w:sz w:val="9"/>
          <w:szCs w:val="9"/>
          <w:color w:val="auto"/>
        </w:rPr>
      </w:pPr>
    </w:p>
    <w:p>
      <w:pPr>
        <w:ind w:left="280" w:hanging="200"/>
        <w:spacing w:after="0"/>
        <w:tabs>
          <w:tab w:leader="none" w:pos="280" w:val="left"/>
        </w:tabs>
        <w:numPr>
          <w:ilvl w:val="0"/>
          <w:numId w:val="33"/>
        </w:numPr>
        <w:rPr>
          <w:rFonts w:ascii="Arial" w:cs="Arial" w:eastAsia="Arial" w:hAnsi="Arial"/>
          <w:sz w:val="9"/>
          <w:szCs w:val="9"/>
          <w:color w:val="auto"/>
        </w:rPr>
      </w:pPr>
      <w:r>
        <w:rPr>
          <w:rFonts w:ascii="Arial" w:cs="Arial" w:eastAsia="Arial" w:hAnsi="Arial"/>
          <w:sz w:val="16"/>
          <w:szCs w:val="16"/>
          <w:color w:val="auto"/>
        </w:rPr>
        <w:t>Indicates the expiration of the initial term.</w:t>
      </w:r>
    </w:p>
    <w:p>
      <w:pPr>
        <w:spacing w:after="0" w:line="86" w:lineRule="exact"/>
        <w:rPr>
          <w:rFonts w:ascii="Arial" w:cs="Arial" w:eastAsia="Arial" w:hAnsi="Arial"/>
          <w:sz w:val="9"/>
          <w:szCs w:val="9"/>
          <w:color w:val="auto"/>
        </w:rPr>
      </w:pPr>
    </w:p>
    <w:p>
      <w:pPr>
        <w:jc w:val="both"/>
        <w:ind w:left="280" w:right="40" w:hanging="200"/>
        <w:spacing w:after="0"/>
        <w:tabs>
          <w:tab w:leader="none" w:pos="280" w:val="left"/>
        </w:tabs>
        <w:numPr>
          <w:ilvl w:val="0"/>
          <w:numId w:val="33"/>
        </w:numPr>
        <w:rPr>
          <w:rFonts w:ascii="Arial" w:cs="Arial" w:eastAsia="Arial" w:hAnsi="Arial"/>
          <w:sz w:val="9"/>
          <w:szCs w:val="9"/>
          <w:color w:val="auto"/>
        </w:rPr>
      </w:pPr>
      <w:r>
        <w:rPr>
          <w:rFonts w:ascii="Arial" w:cs="Arial" w:eastAsia="Arial" w:hAnsi="Arial"/>
          <w:sz w:val="16"/>
          <w:szCs w:val="16"/>
          <w:color w:val="auto"/>
        </w:rPr>
        <w:t>The charterer of Hulls No. 2130, No. 2131 and No. 2800 has the right to extend each of the charters by two consecutive periods of three years each, provided that the charterer provides us with advance notice of declaration. The charterer of Hull No. 2801 has the right to extend the charter by a three-year period. The charterer of Hull No. 2212 has the right to extend the charter by three consecutive periods of two years each at the charterer’s option.</w:t>
      </w:r>
    </w:p>
    <w:p>
      <w:pPr>
        <w:spacing w:after="0" w:line="8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within 36 months after we notify the Partnership’s board of directors of the vessel’s acceptance by her charterer, (ii) the </w:t>
      </w:r>
      <w:r>
        <w:rPr>
          <w:rFonts w:ascii="Arial" w:cs="Arial" w:eastAsia="Arial" w:hAnsi="Arial"/>
          <w:sz w:val="19"/>
          <w:szCs w:val="19"/>
          <w:i w:val="1"/>
          <w:iCs w:val="1"/>
          <w:color w:val="auto"/>
        </w:rPr>
        <w:t xml:space="preserve">Methane Lydon Volney </w:t>
      </w:r>
      <w:r>
        <w:rPr>
          <w:rFonts w:ascii="Arial" w:cs="Arial" w:eastAsia="Arial" w:hAnsi="Arial"/>
          <w:sz w:val="19"/>
          <w:szCs w:val="19"/>
          <w:color w:val="auto"/>
        </w:rPr>
        <w:t>within 36 months after the closing of GasLog Partners’ IPO on May 12, 2014 which option will expire in May 2017 if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extended, and (iii)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and the right to acquire GAS-twenty six Ltd. with its long-term bareboat charter of (and the right to acquire)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(which is subject to a multi-year charter to MSL) within 36 months after the completion of its acquisition by GasLog on March 31, 2015. In each case, GasLog Partners’ option to purchase is at fair market value as determined pursuant to the omnibus agreement.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key characteristics of our current owned fleet include the following:</w:t>
      </w:r>
    </w:p>
    <w:p>
      <w:pPr>
        <w:spacing w:after="0" w:line="106" w:lineRule="exact"/>
        <w:rPr>
          <w:sz w:val="20"/>
          <w:szCs w:val="20"/>
          <w:color w:val="auto"/>
        </w:rPr>
      </w:pPr>
    </w:p>
    <w:p>
      <w:pPr>
        <w:jc w:val="both"/>
        <w:ind w:left="540" w:right="260" w:hanging="16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ship is sized at between approximately 145,000 cbm and 180,000 cbm capacity, which places our ships in the medium- to large-size class of LNG carriers; we believe this size range maximizes their operational flexibility, as these ships are compatible with most existing LNG terminals around the world, and minimizes excess LNG boil-off;</w:t>
      </w:r>
    </w:p>
    <w:p>
      <w:pPr>
        <w:spacing w:after="0" w:line="40"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ship is double-hulled, which is standard in the LNG industry;</w:t>
      </w:r>
    </w:p>
    <w:p>
      <w:pPr>
        <w:spacing w:after="0" w:line="105" w:lineRule="exact"/>
        <w:rPr>
          <w:rFonts w:ascii="Arial" w:cs="Arial" w:eastAsia="Arial" w:hAnsi="Arial"/>
          <w:sz w:val="19"/>
          <w:szCs w:val="19"/>
          <w:color w:val="auto"/>
        </w:rPr>
      </w:pPr>
    </w:p>
    <w:p>
      <w:pPr>
        <w:ind w:left="540" w:right="820" w:hanging="16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of our ships is modern steam powered or has TFDE or dual-fuel two-stroke engine propulsion technology;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Bermuda is the flag state of each ship;</w:t>
      </w:r>
    </w:p>
    <w:p>
      <w:pPr>
        <w:spacing w:after="0" w:line="105" w:lineRule="exact"/>
        <w:rPr>
          <w:rFonts w:ascii="Arial" w:cs="Arial" w:eastAsia="Arial" w:hAnsi="Arial"/>
          <w:sz w:val="19"/>
          <w:szCs w:val="19"/>
          <w:color w:val="auto"/>
        </w:rPr>
      </w:pPr>
    </w:p>
    <w:p>
      <w:pPr>
        <w:ind w:left="540" w:right="20" w:hanging="168"/>
        <w:spacing w:after="0" w:line="28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35" w:lineRule="exact"/>
        <w:rPr>
          <w:rFonts w:ascii="Arial" w:cs="Arial" w:eastAsia="Arial" w:hAnsi="Arial"/>
          <w:sz w:val="18"/>
          <w:szCs w:val="18"/>
          <w:color w:val="auto"/>
        </w:rPr>
      </w:pPr>
    </w:p>
    <w:p>
      <w:pPr>
        <w:jc w:val="both"/>
        <w:ind w:left="540" w:right="140" w:hanging="168"/>
        <w:spacing w:after="0" w:line="267" w:lineRule="auto"/>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upon delivery of the last of our five contracted newbuildings in 2019, our owned fleet will have an average age of 6.3 years, making it one of the youngest in the industry, compared to a current average age of 11.9 years for the global LNG carrier fleet including LNG carriers of all sizes as of December 31, 2016.</w:t>
      </w:r>
    </w:p>
    <w:p>
      <w:pPr>
        <w:spacing w:after="0" w:line="68" w:lineRule="exact"/>
        <w:rPr>
          <w:sz w:val="20"/>
          <w:szCs w:val="20"/>
          <w:color w:val="auto"/>
        </w:rPr>
      </w:pPr>
    </w:p>
    <w:p>
      <w:pPr>
        <w:ind w:right="40" w:firstLine="357"/>
        <w:spacing w:after="0" w:line="344" w:lineRule="auto"/>
        <w:rPr>
          <w:sz w:val="20"/>
          <w:szCs w:val="20"/>
          <w:color w:val="auto"/>
        </w:rPr>
      </w:pPr>
      <w:r>
        <w:rPr>
          <w:rFonts w:ascii="Arial" w:cs="Arial" w:eastAsia="Arial" w:hAnsi="Arial"/>
          <w:sz w:val="17"/>
          <w:szCs w:val="17"/>
          <w:color w:val="auto"/>
        </w:rPr>
        <w:t xml:space="preserve">In addition to our owned fleet, we have a 25.0% ownership interest in Egypt LNG, an entity whose principal asset is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is a 145,000 cbm LNG carrier that was built in 2007. It is currently chartered to MSL under a 20-year time charter, which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46" w:name="page47"/>
    <w:bookmarkEnd w:id="46"/>
    <w:p>
      <w:pPr>
        <w:jc w:val="both"/>
        <w:ind w:right="120"/>
        <w:spacing w:after="0" w:line="289" w:lineRule="auto"/>
        <w:rPr>
          <w:sz w:val="20"/>
          <w:szCs w:val="20"/>
          <w:color w:val="auto"/>
        </w:rPr>
      </w:pPr>
      <w:r>
        <w:rPr>
          <w:rFonts w:ascii="Arial" w:cs="Arial" w:eastAsia="Arial" w:hAnsi="Arial"/>
          <w:sz w:val="18"/>
          <w:szCs w:val="18"/>
          <w:color w:val="auto"/>
        </w:rPr>
        <w:t xml:space="preserve">is subject to extension for up to 10 years at the charterer’s option. On October 29, 2015, Egypt LNG and BG Group mutually agreed to lay up the </w:t>
      </w:r>
      <w:r>
        <w:rPr>
          <w:rFonts w:ascii="Arial" w:cs="Arial" w:eastAsia="Arial" w:hAnsi="Arial"/>
          <w:sz w:val="18"/>
          <w:szCs w:val="18"/>
          <w:i w:val="1"/>
          <w:iCs w:val="1"/>
          <w:color w:val="auto"/>
        </w:rPr>
        <w:t xml:space="preserve">Methane Nile Eagle </w:t>
      </w:r>
      <w:r>
        <w:rPr>
          <w:rFonts w:ascii="Arial" w:cs="Arial" w:eastAsia="Arial" w:hAnsi="Arial"/>
          <w:sz w:val="18"/>
          <w:szCs w:val="18"/>
          <w:color w:val="auto"/>
        </w:rPr>
        <w:t>for a period of approximately one year. The charterer continued to pay charter hire costs adjusted for net savings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expenses and insurance as a result of the vessel being laid up.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was re-activated on October 15, 2016.</w:t>
      </w:r>
    </w:p>
    <w:p>
      <w:pPr>
        <w:spacing w:after="0" w:line="4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We continually evaluate short and long-term charter opportunities for our vessels, including the newbuildings for which we do not currently have charters fixed. Our discussions with potential charterers are at various stages of advancement; however, we cannot provide assurance that we will conclude any particular charter or, if concluded, the charter rate that will apply.</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Managed Fleet</w:t>
      </w:r>
    </w:p>
    <w:p>
      <w:pPr>
        <w:spacing w:after="0" w:line="11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 xml:space="preserve">Through GasLog LNG Services, we provide technical ship management services for three LNG carriers owned by third parties (including the bareboat vessel) in addition to management of the 21 LNG carriers currently operating in our owned fleet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is managed by a subsidiary of Shell). We supervised the construction by Samsung of each LNG carrier in our managed fleet, and each ship has operated under our technical management since its delivery from the shipyard with the exception of the </w:t>
      </w:r>
      <w:r>
        <w:rPr>
          <w:rFonts w:ascii="Arial" w:cs="Arial" w:eastAsia="Arial" w:hAnsi="Arial"/>
          <w:sz w:val="19"/>
          <w:szCs w:val="19"/>
          <w:i w:val="1"/>
          <w:iCs w:val="1"/>
          <w:color w:val="auto"/>
        </w:rPr>
        <w:t>Solaris.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information about our managed ships: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Cargo</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ind w:left="120"/>
              <w:spacing w:after="0" w:line="176" w:lineRule="exact"/>
              <w:rPr>
                <w:sz w:val="20"/>
                <w:szCs w:val="20"/>
                <w:color w:val="auto"/>
              </w:rPr>
            </w:pPr>
            <w:r>
              <w:rPr>
                <w:rFonts w:ascii="Arial" w:cs="Arial" w:eastAsia="Arial" w:hAnsi="Arial"/>
                <w:sz w:val="16"/>
                <w:szCs w:val="16"/>
                <w:b w:val="1"/>
                <w:bCs w:val="1"/>
                <w:color w:val="auto"/>
              </w:rPr>
              <w:t>Year</w:t>
            </w:r>
          </w:p>
        </w:tc>
        <w:tc>
          <w:tcPr>
            <w:tcW w:w="300" w:type="dxa"/>
            <w:vAlign w:val="bottom"/>
          </w:tcPr>
          <w:p>
            <w:pPr>
              <w:spacing w:after="0"/>
              <w:rPr>
                <w:sz w:val="15"/>
                <w:szCs w:val="15"/>
                <w:color w:val="auto"/>
              </w:rPr>
            </w:pPr>
          </w:p>
        </w:tc>
        <w:tc>
          <w:tcPr>
            <w:tcW w:w="80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Capacity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12"/>
              <w:spacing w:after="0" w:line="176" w:lineRule="exact"/>
              <w:rPr>
                <w:sz w:val="20"/>
                <w:szCs w:val="20"/>
                <w:color w:val="auto"/>
              </w:rPr>
            </w:pPr>
            <w:r>
              <w:rPr>
                <w:rFonts w:ascii="Arial" w:cs="Arial" w:eastAsia="Arial" w:hAnsi="Arial"/>
                <w:sz w:val="16"/>
                <w:szCs w:val="16"/>
                <w:b w:val="1"/>
                <w:bCs w:val="1"/>
                <w:color w:val="auto"/>
              </w:rPr>
              <w:t>GasLog</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Vessel Name</w:t>
            </w:r>
          </w:p>
        </w:tc>
        <w:tc>
          <w:tcPr>
            <w:tcW w:w="300" w:type="dxa"/>
            <w:vAlign w:val="bottom"/>
          </w:tcPr>
          <w:p>
            <w:pPr>
              <w:spacing w:after="0"/>
              <w:rPr>
                <w:sz w:val="17"/>
                <w:szCs w:val="17"/>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Built</w:t>
            </w:r>
          </w:p>
        </w:tc>
        <w:tc>
          <w:tcPr>
            <w:tcW w:w="300" w:type="dxa"/>
            <w:vAlign w:val="bottom"/>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(cbm)</w:t>
            </w:r>
          </w:p>
        </w:tc>
        <w:tc>
          <w:tcPr>
            <w:tcW w:w="280" w:type="dxa"/>
            <w:vAlign w:val="bottom"/>
          </w:tcPr>
          <w:p>
            <w:pPr>
              <w:spacing w:after="0"/>
              <w:rPr>
                <w:sz w:val="17"/>
                <w:szCs w:val="17"/>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Propulsion</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Ownership</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Ship Owner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E5FFFF"/>
          </w:tcPr>
          <w:p>
            <w:pPr>
              <w:jc w:val="right"/>
              <w:ind w:right="185"/>
              <w:spacing w:after="0"/>
              <w:rPr>
                <w:sz w:val="20"/>
                <w:szCs w:val="20"/>
                <w:color w:val="auto"/>
              </w:rPr>
            </w:pPr>
            <w:r>
              <w:rPr>
                <w:rFonts w:ascii="Arial" w:cs="Arial" w:eastAsia="Arial" w:hAnsi="Arial"/>
                <w:sz w:val="15"/>
                <w:szCs w:val="15"/>
                <w:b w:val="1"/>
                <w:bCs w:val="1"/>
                <w:color w:val="auto"/>
                <w:w w:val="71"/>
              </w:rPr>
              <w:t>1</w:t>
            </w:r>
          </w:p>
        </w:tc>
        <w:tc>
          <w:tcPr>
            <w:tcW w:w="5300" w:type="dxa"/>
            <w:vAlign w:val="bottom"/>
            <w:gridSpan w:val="2"/>
            <w:shd w:val="clear" w:color="auto" w:fill="E5FFFF"/>
          </w:tcPr>
          <w:p>
            <w:pPr>
              <w:ind w:left="260"/>
              <w:spacing w:after="0"/>
              <w:rPr>
                <w:sz w:val="20"/>
                <w:szCs w:val="20"/>
                <w:color w:val="auto"/>
              </w:rPr>
            </w:pPr>
            <w:r>
              <w:rPr>
                <w:rFonts w:ascii="Arial" w:cs="Arial" w:eastAsia="Arial" w:hAnsi="Arial"/>
                <w:sz w:val="19"/>
                <w:szCs w:val="19"/>
                <w:i w:val="1"/>
                <w:iCs w:val="1"/>
                <w:color w:val="auto"/>
              </w:rPr>
              <w:t>Methane Kari Elin</w:t>
            </w:r>
          </w:p>
        </w:tc>
        <w:tc>
          <w:tcPr>
            <w:tcW w:w="860" w:type="dxa"/>
            <w:vAlign w:val="bottom"/>
            <w:gridSpan w:val="2"/>
            <w:shd w:val="clear" w:color="auto" w:fill="E5FFFF"/>
          </w:tcPr>
          <w:p>
            <w:pPr>
              <w:ind w:left="420"/>
              <w:spacing w:after="0"/>
              <w:rPr>
                <w:sz w:val="20"/>
                <w:szCs w:val="20"/>
                <w:color w:val="auto"/>
              </w:rPr>
            </w:pPr>
            <w:r>
              <w:rPr>
                <w:rFonts w:ascii="Arial" w:cs="Arial" w:eastAsia="Arial" w:hAnsi="Arial"/>
                <w:sz w:val="19"/>
                <w:szCs w:val="19"/>
                <w:color w:val="auto"/>
                <w:w w:val="99"/>
              </w:rPr>
              <w:t>2004</w:t>
            </w:r>
          </w:p>
        </w:tc>
        <w:tc>
          <w:tcPr>
            <w:tcW w:w="110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8"/>
              </w:rPr>
              <w:t>138,000</w:t>
            </w:r>
          </w:p>
        </w:tc>
        <w:tc>
          <w:tcPr>
            <w:tcW w:w="280" w:type="dxa"/>
            <w:vAlign w:val="bottom"/>
            <w:shd w:val="clear" w:color="auto" w:fill="E5FFFF"/>
          </w:tcPr>
          <w:p>
            <w:pPr>
              <w:spacing w:after="0"/>
              <w:rPr>
                <w:sz w:val="20"/>
                <w:szCs w:val="20"/>
                <w:color w:val="auto"/>
              </w:rPr>
            </w:pPr>
          </w:p>
        </w:tc>
        <w:tc>
          <w:tcPr>
            <w:tcW w:w="940" w:type="dxa"/>
            <w:vAlign w:val="bottom"/>
            <w:shd w:val="clear" w:color="auto" w:fill="E5FFFF"/>
          </w:tcPr>
          <w:p>
            <w:pPr>
              <w:ind w:left="380"/>
              <w:spacing w:after="0"/>
              <w:rPr>
                <w:sz w:val="20"/>
                <w:szCs w:val="20"/>
                <w:color w:val="auto"/>
              </w:rPr>
            </w:pPr>
            <w:r>
              <w:rPr>
                <w:rFonts w:ascii="Arial" w:cs="Arial" w:eastAsia="Arial" w:hAnsi="Arial"/>
                <w:sz w:val="19"/>
                <w:szCs w:val="19"/>
                <w:color w:val="auto"/>
                <w:w w:val="98"/>
              </w:rPr>
              <w:t>Steam</w:t>
            </w:r>
          </w:p>
        </w:tc>
        <w:tc>
          <w:tcPr>
            <w:tcW w:w="300" w:type="dxa"/>
            <w:vAlign w:val="bottom"/>
            <w:shd w:val="clear" w:color="auto" w:fill="E5FFFF"/>
          </w:tcPr>
          <w:p>
            <w:pPr>
              <w:spacing w:after="0"/>
              <w:rPr>
                <w:sz w:val="20"/>
                <w:szCs w:val="20"/>
                <w:color w:val="auto"/>
              </w:rPr>
            </w:pPr>
          </w:p>
        </w:tc>
        <w:tc>
          <w:tcPr>
            <w:tcW w:w="920" w:type="dxa"/>
            <w:vAlign w:val="bottom"/>
            <w:shd w:val="clear" w:color="auto" w:fill="E5FFFF"/>
          </w:tcPr>
          <w:p>
            <w:pPr>
              <w:jc w:val="right"/>
              <w:ind w:right="192"/>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0"/>
                <w:szCs w:val="20"/>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MSL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2</w:t>
            </w:r>
          </w:p>
        </w:tc>
        <w:tc>
          <w:tcPr>
            <w:tcW w:w="5300" w:type="dxa"/>
            <w:vAlign w:val="bottom"/>
            <w:gridSpan w:val="2"/>
          </w:tcPr>
          <w:p>
            <w:pPr>
              <w:ind w:left="260"/>
              <w:spacing w:after="0"/>
              <w:rPr>
                <w:sz w:val="20"/>
                <w:szCs w:val="20"/>
                <w:color w:val="auto"/>
              </w:rPr>
            </w:pPr>
            <w:r>
              <w:rPr>
                <w:rFonts w:ascii="Arial" w:cs="Arial" w:eastAsia="Arial" w:hAnsi="Arial"/>
                <w:sz w:val="19"/>
                <w:szCs w:val="19"/>
                <w:i w:val="1"/>
                <w:iCs w:val="1"/>
                <w:color w:val="auto"/>
              </w:rPr>
              <w:t>Methane Nile Eagle</w:t>
            </w:r>
            <w:r>
              <w:rPr>
                <w:rFonts w:ascii="Arial" w:cs="Arial" w:eastAsia="Arial" w:hAnsi="Arial"/>
                <w:sz w:val="10"/>
                <w:szCs w:val="10"/>
                <w:i w:val="1"/>
                <w:iCs w:val="1"/>
                <w:color w:val="auto"/>
              </w:rPr>
              <w:t>(1)</w:t>
            </w:r>
          </w:p>
        </w:tc>
        <w:tc>
          <w:tcPr>
            <w:tcW w:w="860" w:type="dxa"/>
            <w:vAlign w:val="bottom"/>
            <w:gridSpan w:val="2"/>
          </w:tcPr>
          <w:p>
            <w:pPr>
              <w:ind w:left="420"/>
              <w:spacing w:after="0"/>
              <w:rPr>
                <w:sz w:val="20"/>
                <w:szCs w:val="20"/>
                <w:color w:val="auto"/>
              </w:rPr>
            </w:pPr>
            <w:r>
              <w:rPr>
                <w:rFonts w:ascii="Arial" w:cs="Arial" w:eastAsia="Arial" w:hAnsi="Arial"/>
                <w:sz w:val="19"/>
                <w:szCs w:val="19"/>
                <w:color w:val="auto"/>
                <w:w w:val="99"/>
              </w:rPr>
              <w:t>2007</w:t>
            </w:r>
          </w:p>
        </w:tc>
        <w:tc>
          <w:tcPr>
            <w:tcW w:w="1100" w:type="dxa"/>
            <w:vAlign w:val="bottom"/>
            <w:gridSpan w:val="2"/>
          </w:tcPr>
          <w:p>
            <w:pPr>
              <w:ind w:left="400"/>
              <w:spacing w:after="0"/>
              <w:rPr>
                <w:sz w:val="20"/>
                <w:szCs w:val="20"/>
                <w:color w:val="auto"/>
              </w:rPr>
            </w:pPr>
            <w:r>
              <w:rPr>
                <w:rFonts w:ascii="Arial" w:cs="Arial" w:eastAsia="Arial" w:hAnsi="Arial"/>
                <w:sz w:val="19"/>
                <w:szCs w:val="19"/>
                <w:color w:val="auto"/>
                <w:w w:val="98"/>
              </w:rPr>
              <w:t>145,000</w:t>
            </w:r>
          </w:p>
        </w:tc>
        <w:tc>
          <w:tcPr>
            <w:tcW w:w="28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Arial" w:cs="Arial" w:eastAsia="Arial" w:hAnsi="Arial"/>
                <w:sz w:val="19"/>
                <w:szCs w:val="19"/>
                <w:color w:val="auto"/>
                <w:w w:val="98"/>
              </w:rPr>
              <w:t>Steam</w:t>
            </w:r>
          </w:p>
        </w:tc>
        <w:tc>
          <w:tcPr>
            <w:tcW w:w="1220" w:type="dxa"/>
            <w:vAlign w:val="bottom"/>
            <w:gridSpan w:val="2"/>
          </w:tcPr>
          <w:p>
            <w:pPr>
              <w:jc w:val="right"/>
              <w:ind w:right="32"/>
              <w:spacing w:after="0"/>
              <w:rPr>
                <w:sz w:val="20"/>
                <w:szCs w:val="20"/>
                <w:color w:val="auto"/>
              </w:rPr>
            </w:pPr>
            <w:r>
              <w:rPr>
                <w:rFonts w:ascii="Arial" w:cs="Arial" w:eastAsia="Arial" w:hAnsi="Arial"/>
                <w:sz w:val="19"/>
                <w:szCs w:val="19"/>
                <w:color w:val="auto"/>
              </w:rPr>
              <w:t>25.0%</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9"/>
                <w:szCs w:val="19"/>
                <w:color w:val="auto"/>
                <w:w w:val="98"/>
              </w:rPr>
              <w:t>Egypt LNG</w:t>
            </w:r>
            <w:r>
              <w:rPr>
                <w:rFonts w:ascii="Arial" w:cs="Arial" w:eastAsia="Arial" w:hAnsi="Arial"/>
                <w:sz w:val="10"/>
                <w:szCs w:val="10"/>
                <w:color w:val="auto"/>
                <w:w w:val="9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vMerge w:val="restart"/>
            <w:shd w:val="clear" w:color="auto" w:fill="E5FFFF"/>
          </w:tcPr>
          <w:p>
            <w:pPr>
              <w:jc w:val="right"/>
              <w:ind w:right="185"/>
              <w:spacing w:after="0"/>
              <w:rPr>
                <w:sz w:val="20"/>
                <w:szCs w:val="20"/>
                <w:color w:val="auto"/>
              </w:rPr>
            </w:pPr>
            <w:r>
              <w:rPr>
                <w:rFonts w:ascii="Arial" w:cs="Arial" w:eastAsia="Arial" w:hAnsi="Arial"/>
                <w:sz w:val="15"/>
                <w:szCs w:val="15"/>
                <w:b w:val="1"/>
                <w:bCs w:val="1"/>
                <w:color w:val="auto"/>
                <w:w w:val="71"/>
              </w:rPr>
              <w:t>3</w:t>
            </w:r>
          </w:p>
        </w:tc>
        <w:tc>
          <w:tcPr>
            <w:tcW w:w="900" w:type="dxa"/>
            <w:vAlign w:val="bottom"/>
            <w:shd w:val="clear" w:color="auto" w:fill="E5FFFF"/>
          </w:tcPr>
          <w:p>
            <w:pPr>
              <w:spacing w:after="0"/>
              <w:rPr>
                <w:sz w:val="18"/>
                <w:szCs w:val="18"/>
                <w:color w:val="auto"/>
              </w:rPr>
            </w:pPr>
          </w:p>
        </w:tc>
        <w:tc>
          <w:tcPr>
            <w:tcW w:w="44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w w:val="92"/>
              </w:rPr>
              <w:t>Lepta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vMerge w:val="continue"/>
            <w:shd w:val="clear" w:color="auto" w:fill="E5FFFF"/>
          </w:tcPr>
          <w:p>
            <w:pPr>
              <w:spacing w:after="0"/>
              <w:rPr>
                <w:sz w:val="21"/>
                <w:szCs w:val="21"/>
                <w:color w:val="auto"/>
              </w:rPr>
            </w:pPr>
          </w:p>
        </w:tc>
        <w:tc>
          <w:tcPr>
            <w:tcW w:w="5300" w:type="dxa"/>
            <w:vAlign w:val="bottom"/>
            <w:gridSpan w:val="2"/>
            <w:shd w:val="clear" w:color="auto" w:fill="E5FFFF"/>
          </w:tcPr>
          <w:p>
            <w:pPr>
              <w:ind w:left="260"/>
              <w:spacing w:after="0"/>
              <w:rPr>
                <w:sz w:val="20"/>
                <w:szCs w:val="20"/>
                <w:color w:val="auto"/>
              </w:rPr>
            </w:pPr>
            <w:r>
              <w:rPr>
                <w:rFonts w:ascii="Arial" w:cs="Arial" w:eastAsia="Arial" w:hAnsi="Arial"/>
                <w:sz w:val="19"/>
                <w:szCs w:val="19"/>
                <w:i w:val="1"/>
                <w:iCs w:val="1"/>
                <w:color w:val="auto"/>
              </w:rPr>
              <w:t>Methane Julia Louise</w:t>
            </w:r>
          </w:p>
        </w:tc>
        <w:tc>
          <w:tcPr>
            <w:tcW w:w="860" w:type="dxa"/>
            <w:vAlign w:val="bottom"/>
            <w:gridSpan w:val="2"/>
            <w:shd w:val="clear" w:color="auto" w:fill="E5FFFF"/>
          </w:tcPr>
          <w:p>
            <w:pPr>
              <w:ind w:left="420"/>
              <w:spacing w:after="0"/>
              <w:rPr>
                <w:sz w:val="20"/>
                <w:szCs w:val="20"/>
                <w:color w:val="auto"/>
              </w:rPr>
            </w:pPr>
            <w:r>
              <w:rPr>
                <w:rFonts w:ascii="Arial" w:cs="Arial" w:eastAsia="Arial" w:hAnsi="Arial"/>
                <w:sz w:val="19"/>
                <w:szCs w:val="19"/>
                <w:color w:val="auto"/>
                <w:w w:val="99"/>
              </w:rPr>
              <w:t>2010</w:t>
            </w:r>
          </w:p>
        </w:tc>
        <w:tc>
          <w:tcPr>
            <w:tcW w:w="110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98"/>
              </w:rPr>
              <w:t>170,000</w:t>
            </w: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TFDE</w:t>
            </w: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92"/>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Shipping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80" w:right="440" w:hanging="200"/>
        <w:spacing w:after="0" w:line="283" w:lineRule="auto"/>
        <w:tabs>
          <w:tab w:leader="none" w:pos="280" w:val="left"/>
        </w:tabs>
        <w:numPr>
          <w:ilvl w:val="0"/>
          <w:numId w:val="35"/>
        </w:numPr>
        <w:rPr>
          <w:rFonts w:ascii="Arial" w:cs="Arial" w:eastAsia="Arial" w:hAnsi="Arial"/>
          <w:sz w:val="8"/>
          <w:szCs w:val="8"/>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Nile Eagle</w:t>
      </w:r>
      <w:r>
        <w:rPr>
          <w:rFonts w:ascii="Arial" w:cs="Arial" w:eastAsia="Arial" w:hAnsi="Arial"/>
          <w:sz w:val="15"/>
          <w:szCs w:val="15"/>
          <w:color w:val="auto"/>
        </w:rPr>
        <w:t xml:space="preserve"> is owned by Egypt LNG in which we indirectly hold a 25.0% equity interest. BG Asia Pacific Pte. Limited, a subsidiary of Shell, and Eagle Gas Shipping Co. E.S.A., an entity affiliated with the government of Egypt, have 25.0% and 50.0% equity interests, respectively, in Egypt LNG.</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Ship Time Charters</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72" w:lineRule="exact"/>
        <w:rPr>
          <w:sz w:val="20"/>
          <w:szCs w:val="20"/>
          <w:color w:val="auto"/>
        </w:rPr>
      </w:pPr>
    </w:p>
    <w:p>
      <w:pPr>
        <w:ind w:right="220" w:firstLine="357"/>
        <w:spacing w:after="0" w:line="258" w:lineRule="auto"/>
        <w:rPr>
          <w:sz w:val="20"/>
          <w:szCs w:val="20"/>
          <w:color w:val="auto"/>
        </w:rPr>
      </w:pPr>
      <w:r>
        <w:rPr>
          <w:rFonts w:ascii="Arial" w:cs="Arial" w:eastAsia="Arial" w:hAnsi="Arial"/>
          <w:sz w:val="19"/>
          <w:szCs w:val="19"/>
          <w:color w:val="auto"/>
        </w:rPr>
        <w:t xml:space="preserve">We entered into four master time charters with MSL that established the general terms under which 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w:t>
      </w:r>
      <w:r>
        <w:rPr>
          <w:rFonts w:ascii="Arial" w:cs="Arial" w:eastAsia="Arial" w:hAnsi="Arial"/>
          <w:sz w:val="19"/>
          <w:szCs w:val="19"/>
          <w:color w:val="auto"/>
        </w:rPr>
        <w:t xml:space="preserve"> </w:t>
      </w:r>
      <w:r>
        <w:rPr>
          <w:rFonts w:ascii="Arial" w:cs="Arial" w:eastAsia="Arial" w:hAnsi="Arial"/>
          <w:sz w:val="19"/>
          <w:szCs w:val="19"/>
          <w:i w:val="1"/>
          <w:iCs w:val="1"/>
          <w:color w:val="auto"/>
        </w:rPr>
        <w:t>Santiago</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Sydney</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Skagen, </w:t>
      </w:r>
      <w:r>
        <w:rPr>
          <w:rFonts w:ascii="Arial" w:cs="Arial" w:eastAsia="Arial" w:hAnsi="Arial"/>
          <w:sz w:val="19"/>
          <w:szCs w:val="19"/>
          <w:color w:val="auto"/>
        </w:rPr>
        <w:t>the</w:t>
      </w:r>
      <w:r>
        <w:rPr>
          <w:rFonts w:ascii="Arial" w:cs="Arial" w:eastAsia="Arial" w:hAnsi="Arial"/>
          <w:sz w:val="19"/>
          <w:szCs w:val="19"/>
          <w:i w:val="1"/>
          <w:iCs w:val="1"/>
          <w:color w:val="auto"/>
        </w:rPr>
        <w:t xml:space="preserve"> GasLog Greece, </w:t>
      </w:r>
      <w:r>
        <w:rPr>
          <w:rFonts w:ascii="Arial" w:cs="Arial" w:eastAsia="Arial" w:hAnsi="Arial"/>
          <w:sz w:val="19"/>
          <w:szCs w:val="19"/>
          <w:color w:val="auto"/>
        </w:rPr>
        <w:t>the</w:t>
      </w:r>
      <w:r>
        <w:rPr>
          <w:rFonts w:ascii="Arial" w:cs="Arial" w:eastAsia="Arial" w:hAnsi="Arial"/>
          <w:sz w:val="19"/>
          <w:szCs w:val="19"/>
          <w:i w:val="1"/>
          <w:iCs w:val="1"/>
          <w:color w:val="auto"/>
        </w:rPr>
        <w:t xml:space="preserve"> Gaslog Glasgow, </w:t>
      </w:r>
      <w:r>
        <w:rPr>
          <w:rFonts w:ascii="Arial" w:cs="Arial" w:eastAsia="Arial" w:hAnsi="Arial"/>
          <w:sz w:val="19"/>
          <w:szCs w:val="19"/>
          <w:color w:val="auto"/>
        </w:rPr>
        <w:t>the</w:t>
      </w:r>
      <w:r>
        <w:rPr>
          <w:rFonts w:ascii="Arial" w:cs="Arial" w:eastAsia="Arial" w:hAnsi="Arial"/>
          <w:sz w:val="19"/>
          <w:szCs w:val="19"/>
          <w:i w:val="1"/>
          <w:iCs w:val="1"/>
          <w:color w:val="auto"/>
        </w:rPr>
        <w:t xml:space="preserve"> GasLog Geneva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GasLog Gibraltar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three newbuildings identified by Hull numbers 2130, 2131 and 2800 will be chartered to MSL. We enter into separate confirmation memorandums for each ship in order to supplement the master time charter and specify the charter term, extension options (if any), hire rate and other provisions applicable to each ship’s charter. For the six vessels acquired from MSL in 2014, the two vessels acquired in 2015 and the </w:t>
      </w:r>
      <w:r>
        <w:rPr>
          <w:rFonts w:ascii="Arial" w:cs="Arial" w:eastAsia="Arial" w:hAnsi="Arial"/>
          <w:sz w:val="19"/>
          <w:szCs w:val="19"/>
          <w:i w:val="1"/>
          <w:iCs w:val="1"/>
          <w:color w:val="auto"/>
        </w:rPr>
        <w:t xml:space="preserve">GasLog Savannah </w:t>
      </w:r>
      <w:r>
        <w:rPr>
          <w:rFonts w:ascii="Arial" w:cs="Arial" w:eastAsia="Arial" w:hAnsi="Arial"/>
          <w:sz w:val="19"/>
          <w:szCs w:val="19"/>
          <w:color w:val="auto"/>
        </w:rPr>
        <w:t>we entered into separate time charters for each vessel.</w:t>
      </w:r>
    </w:p>
    <w:p>
      <w:pPr>
        <w:spacing w:after="0" w:line="76"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 xml:space="preserve">We have entered into maiden voyage time charter agreements and time charter agreements with a subsidiary of Shell, establishing the terms under which the </w:t>
      </w:r>
      <w:r>
        <w:rPr>
          <w:rFonts w:ascii="Arial" w:cs="Arial" w:eastAsia="Arial" w:hAnsi="Arial"/>
          <w:sz w:val="19"/>
          <w:szCs w:val="19"/>
          <w:i w:val="1"/>
          <w:iCs w:val="1"/>
          <w:color w:val="auto"/>
        </w:rPr>
        <w:t>GasLog Seattle</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will be chartered to Shell.</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GasLog Chelsea</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Saratoga,</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Salem,</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Singapore</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Savannah</w:t>
      </w:r>
      <w:r>
        <w:rPr>
          <w:rFonts w:ascii="Arial" w:cs="Arial" w:eastAsia="Arial" w:hAnsi="Arial"/>
          <w:sz w:val="19"/>
          <w:szCs w:val="19"/>
          <w:color w:val="auto"/>
        </w:rPr>
        <w:t xml:space="preserve"> are operating in the Cool Pool and from time to time enter into short-term time charters.</w:t>
      </w:r>
    </w:p>
    <w:p>
      <w:pPr>
        <w:spacing w:after="0" w:line="52"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We have entered into time charter agreements with Total establishing the terms under which Hull No. 2801 will be chartered to Total; and with Centrica establishing the terms under which Hull No. 2212 will be chartered to Centrica.</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7" w:name="page48"/>
    <w:bookmarkEnd w:id="47"/>
    <w:p>
      <w:pPr>
        <w:ind w:left="360"/>
        <w:spacing w:after="0"/>
        <w:rPr>
          <w:sz w:val="20"/>
          <w:szCs w:val="20"/>
          <w:color w:val="auto"/>
        </w:rPr>
      </w:pPr>
      <w:r>
        <w:rPr>
          <w:rFonts w:ascii="Arial" w:cs="Arial" w:eastAsia="Arial" w:hAnsi="Arial"/>
          <w:sz w:val="19"/>
          <w:szCs w:val="19"/>
          <w:color w:val="auto"/>
        </w:rPr>
        <w:t>The following discussion describes the material terms of the time charters for our owned ships.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Term, Extensions and Redelivery</w:t>
      </w:r>
    </w:p>
    <w:p>
      <w:pPr>
        <w:spacing w:after="0" w:line="119"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 xml:space="preserve">The initial terms of the time charters for the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began upon delivery of the ships and will terminate in 2018, 2018, 2018 and 2021, respectively. The charter for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provides for full employment for three years and a subsequent five year seasonal charter under which the ship is employed for seven months and available to accept other charters for five months. The charterer has options to extend the terms of the charters as follows: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Santiago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Sydney</w:t>
      </w:r>
      <w:r>
        <w:rPr>
          <w:rFonts w:ascii="Arial" w:cs="Arial" w:eastAsia="Arial" w:hAnsi="Arial"/>
          <w:sz w:val="17"/>
          <w:szCs w:val="17"/>
          <w:color w:val="auto"/>
        </w:rPr>
        <w:t>, for up to eight years; for the</w:t>
      </w:r>
      <w:r>
        <w:rPr>
          <w:rFonts w:ascii="Arial" w:cs="Arial" w:eastAsia="Arial" w:hAnsi="Arial"/>
          <w:sz w:val="17"/>
          <w:szCs w:val="17"/>
          <w:i w:val="1"/>
          <w:iCs w:val="1"/>
          <w:color w:val="auto"/>
        </w:rPr>
        <w:t xml:space="preserve"> GasLog Skagen </w:t>
      </w:r>
      <w:r>
        <w:rPr>
          <w:rFonts w:ascii="Arial" w:cs="Arial" w:eastAsia="Arial" w:hAnsi="Arial"/>
          <w:sz w:val="17"/>
          <w:szCs w:val="17"/>
          <w:color w:val="auto"/>
        </w:rPr>
        <w:t>for up to 10 years (on the seasonal charter basis); in each case 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specified hire rates. The options to extend have not been exercised by the charterer with respect to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Santiago.</w:t>
      </w:r>
    </w:p>
    <w:p>
      <w:pPr>
        <w:spacing w:after="0" w:line="49" w:lineRule="exact"/>
        <w:rPr>
          <w:sz w:val="20"/>
          <w:szCs w:val="20"/>
          <w:color w:val="auto"/>
        </w:rPr>
      </w:pPr>
    </w:p>
    <w:p>
      <w:pPr>
        <w:ind w:right="280" w:firstLine="357"/>
        <w:spacing w:after="0" w:line="275" w:lineRule="auto"/>
        <w:rPr>
          <w:sz w:val="20"/>
          <w:szCs w:val="20"/>
          <w:color w:val="auto"/>
        </w:rPr>
      </w:pPr>
      <w:r>
        <w:rPr>
          <w:rFonts w:ascii="Arial" w:cs="Arial" w:eastAsia="Arial" w:hAnsi="Arial"/>
          <w:sz w:val="18"/>
          <w:szCs w:val="18"/>
          <w:color w:val="auto"/>
        </w:rPr>
        <w:t xml:space="preserve">The initial term of the time charters for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Shirley Elisabeth</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Alison Victoria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began upon delivery to GasLog following their acquisition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MSL in 2014, and will terminate on various dates in 2019 and 2020. For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Jane Elizabeth, </w:t>
      </w:r>
      <w:r>
        <w:rPr>
          <w:rFonts w:ascii="Arial" w:cs="Arial" w:eastAsia="Arial" w:hAnsi="Arial"/>
          <w:sz w:val="18"/>
          <w:szCs w:val="18"/>
          <w:color w:val="auto"/>
        </w:rPr>
        <w:t>MSL has the option to extend the term of two of the time charters for a period of either three or five years beyond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expiration date. For the other vessels, MSL has the option to extend the term of the time charters for two of the ships for an additional period of either three or five years beyond the initial charter expiration date.</w:t>
      </w:r>
    </w:p>
    <w:p>
      <w:pPr>
        <w:spacing w:after="0" w:line="4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 xml:space="preserve">The initial term of the time charter for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began upon delivery of the ships and will terminate in 2026, 2026, 2023 and 2023 respectively. For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MSL has option to extend the terms of the charters for up to five years and for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MSL has the option to extend the terms of the charters for up to 8 years.</w:t>
      </w:r>
    </w:p>
    <w:p>
      <w:pPr>
        <w:spacing w:after="0" w:line="72" w:lineRule="exact"/>
        <w:rPr>
          <w:sz w:val="20"/>
          <w:szCs w:val="20"/>
          <w:color w:val="auto"/>
        </w:rPr>
      </w:pPr>
    </w:p>
    <w:p>
      <w:pPr>
        <w:jc w:val="both"/>
        <w:ind w:right="100" w:firstLine="357"/>
        <w:spacing w:after="0" w:line="262" w:lineRule="auto"/>
        <w:rPr>
          <w:sz w:val="20"/>
          <w:szCs w:val="20"/>
          <w:color w:val="auto"/>
        </w:rPr>
      </w:pPr>
      <w:r>
        <w:rPr>
          <w:rFonts w:ascii="Arial" w:cs="Arial" w:eastAsia="Arial" w:hAnsi="Arial"/>
          <w:sz w:val="19"/>
          <w:szCs w:val="19"/>
          <w:color w:val="auto"/>
        </w:rPr>
        <w:t>Our time charters to MSL for Hull No. 2130 and Hull No. 2800 will begin three and 14 months, respectively, after the delivery of the vessels in 2018 and for Hull No. 2131 will begin five months after the delivery of the vessel in 2019. The initial charter terms for the ships will terminate for one ship in 2027, one ship in 2028 and one ship in 2029. MSL has options to extend terms of the charters for Hulls No. 2130, 2131 and 2800 for two consecutive periods of three years each, all at specified hire rates.</w:t>
      </w:r>
    </w:p>
    <w:p>
      <w:pPr>
        <w:spacing w:after="0" w:line="72" w:lineRule="exact"/>
        <w:rPr>
          <w:sz w:val="20"/>
          <w:szCs w:val="20"/>
          <w:color w:val="auto"/>
        </w:rPr>
      </w:pPr>
    </w:p>
    <w:p>
      <w:pPr>
        <w:ind w:right="140" w:firstLine="357"/>
        <w:spacing w:after="0" w:line="281"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ships following an initial period during which the ships operated under maiden voyage time charters, the purpose of which was to facilitate completion by Shell of an operational discharge inspection of the ships. The time charters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2020 and 2021, respectively. In each case, Shell has options to extend the charter terms for periods ranging from five to ten years at specified hire rates.</w:t>
      </w:r>
    </w:p>
    <w:p>
      <w:pPr>
        <w:spacing w:after="0" w:line="5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 xml:space="preserve">The initial term of the time charters for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began upon delivery to GasLog and will terminate in 2024 and 2026. MSL will have options to extend the term of the time charter for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and the long-term bareboat charter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which is now owned by Lepta Shipping and leased back to GasLog, for an additional period of either three or five years beyond the initial charter expiration date.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time charter to Total for Hull No. 2801 will begin upon delivery of the vessel in 2018. The initial charter term will terminate in 2025.</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Total has the option to extend the term of the charter by a three-year period at the charterer’s option at a specified hire rate.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time charter to Centrica for Hull No. 2212 will begin upon delivery of the vessel in 2019. The initial charter term will terminate in 2026.</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Centrica has the option to extend the term of the charter by three consecutive periods of two years each at the charterer’s option.</w:t>
      </w:r>
    </w:p>
    <w:p>
      <w:pPr>
        <w:spacing w:after="0" w:line="103" w:lineRule="exact"/>
        <w:rPr>
          <w:sz w:val="20"/>
          <w:szCs w:val="20"/>
          <w:color w:val="auto"/>
        </w:rPr>
      </w:pPr>
    </w:p>
    <w:p>
      <w:pPr>
        <w:ind w:right="620" w:firstLine="357"/>
        <w:spacing w:after="0" w:line="283" w:lineRule="auto"/>
        <w:rPr>
          <w:sz w:val="20"/>
          <w:szCs w:val="20"/>
          <w:color w:val="auto"/>
        </w:rPr>
      </w:pPr>
      <w:r>
        <w:rPr>
          <w:rFonts w:ascii="Arial" w:cs="Arial" w:eastAsia="Arial" w:hAnsi="Arial"/>
          <w:sz w:val="19"/>
          <w:szCs w:val="19"/>
          <w:color w:val="auto"/>
        </w:rPr>
        <w:t xml:space="preserve">The terms and period for fixtures of the </w:t>
      </w:r>
      <w:r>
        <w:rPr>
          <w:rFonts w:ascii="Arial" w:cs="Arial" w:eastAsia="Arial" w:hAnsi="Arial"/>
          <w:sz w:val="19"/>
          <w:szCs w:val="19"/>
          <w:i w:val="1"/>
          <w:iCs w:val="1"/>
          <w:color w:val="auto"/>
        </w:rPr>
        <w:t>GasLog Singapore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Savannah</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Chelsea</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Saratoga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 xml:space="preserve">GasLog Salem </w:t>
      </w:r>
      <w:r>
        <w:rPr>
          <w:rFonts w:ascii="Arial" w:cs="Arial" w:eastAsia="Arial" w:hAnsi="Arial"/>
          <w:sz w:val="19"/>
          <w:szCs w:val="19"/>
          <w:color w:val="auto"/>
        </w:rPr>
        <w:t>vary from charter to charter, as is the nature of trading in the spot market.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8" w:name="page49"/>
    <w:bookmarkEnd w:id="48"/>
    <w:p>
      <w:pPr>
        <w:ind w:right="40" w:firstLine="357"/>
        <w:spacing w:after="0" w:line="262" w:lineRule="auto"/>
        <w:rPr>
          <w:sz w:val="20"/>
          <w:szCs w:val="20"/>
          <w:color w:val="auto"/>
        </w:rPr>
      </w:pPr>
      <w:r>
        <w:rPr>
          <w:rFonts w:ascii="Arial" w:cs="Arial" w:eastAsia="Arial" w:hAnsi="Arial"/>
          <w:sz w:val="19"/>
          <w:szCs w:val="19"/>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Hire Rate Provisions</w:t>
      </w:r>
    </w:p>
    <w:p>
      <w:pPr>
        <w:spacing w:after="0" w:line="119" w:lineRule="exact"/>
        <w:rPr>
          <w:sz w:val="20"/>
          <w:szCs w:val="20"/>
          <w:color w:val="auto"/>
        </w:rPr>
      </w:pPr>
    </w:p>
    <w:p>
      <w:pPr>
        <w:ind w:right="340" w:firstLine="357"/>
        <w:spacing w:after="0" w:line="267" w:lineRule="auto"/>
        <w:rPr>
          <w:sz w:val="20"/>
          <w:szCs w:val="20"/>
          <w:color w:val="auto"/>
        </w:rPr>
      </w:pPr>
      <w:r>
        <w:rPr>
          <w:rFonts w:ascii="Arial" w:cs="Arial" w:eastAsia="Arial" w:hAnsi="Arial"/>
          <w:sz w:val="19"/>
          <w:szCs w:val="19"/>
          <w:color w:val="auto"/>
        </w:rPr>
        <w:t>“Hire rate” refers to the basic payment from the customer for use of the ship. Under all of our time charters, the hire rate is payable to us monthly in advance in U.S. dollars. Depending on the time charter contract, there are three methods by which the daily hire rate for our owned ships is determined:</w:t>
      </w:r>
    </w:p>
    <w:p>
      <w:pPr>
        <w:spacing w:after="0" w:line="41" w:lineRule="exact"/>
        <w:rPr>
          <w:sz w:val="20"/>
          <w:szCs w:val="20"/>
          <w:color w:val="auto"/>
        </w:rPr>
      </w:pPr>
    </w:p>
    <w:p>
      <w:pPr>
        <w:ind w:left="540" w:hanging="168"/>
        <w:spacing w:after="0" w:line="255"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Under the first method, the hire rate includes two components—a capital cost component and an operating cost component. The capital cost component relates to the cost of the ship’s purchase and is a fixed daily amount that is structured to provide a return on our invested capital. Some of the charters provide for the capital cost component to increase by a specified amount during any option period. The operating cost component is a fixed daily amount that increases annually at a fixed percentage. Although the daily amount of the operating cost component is fixed (subject to a specified annual increase), it is intended to correspond to the costs of operating the ship and related expenses. In the event of a material increase or decrease in the actual costs we incur in operating the ship, a clause in the charter provides each party the right in certain circumstances to seek a review and potential adjustment of the operating cost component. Under one of our time charters, the hire rate for an initial period of three years is as discussed above and the subsequent five years are a seasonal charter under which the ship is committed for seven consecutive months at a fixed monthly charter hire (one component) and available to accept other charters for the remaining five months.</w:t>
      </w:r>
    </w:p>
    <w:p>
      <w:pPr>
        <w:spacing w:after="0" w:line="69"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38" w:lineRule="exact"/>
        <w:rPr>
          <w:rFonts w:ascii="Arial" w:cs="Arial" w:eastAsia="Arial" w:hAnsi="Arial"/>
          <w:sz w:val="19"/>
          <w:szCs w:val="19"/>
          <w:color w:val="auto"/>
        </w:rPr>
      </w:pPr>
    </w:p>
    <w:p>
      <w:pPr>
        <w:ind w:left="540" w:right="20" w:hanging="168"/>
        <w:spacing w:after="0" w:line="272"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the third method, the hire rate for an initial period of up to two years, at the charterer’s option, will be set at the prevailing market rate for a comparable ship, subject to a cap and a floor. Following such initial period, the hire rate will be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fully pass-through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68"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The hire rates for each of our ships may be reduced if the ship does not perform to certain of its specifications or if we breach our obligations under the charter. We have had no instances of hire rate reductions since the first two of our owned ships commenced operations in 2010.</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Off-Hire</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When a ship is “off-hire”—or not available for service—a time charterer generally is not required to pay the hire rate, and we remain responsible for all costs, including the cost of any LNG cargo lost as boil-off during such off-hire periods. Our time charters provide an annual allowance period for us to schedule preventative maintenance work on the ship. A ship generally will be deemed off-hire under our time charters if there is a specified time outside of the annual allowance period when the ship is not available for the charterer’s use due to, among other things, operational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9" w:name="page50"/>
    <w:bookmarkEnd w:id="49"/>
    <w:p>
      <w:pPr>
        <w:ind w:right="180"/>
        <w:spacing w:after="0" w:line="262" w:lineRule="auto"/>
        <w:rPr>
          <w:sz w:val="20"/>
          <w:szCs w:val="20"/>
          <w:color w:val="auto"/>
        </w:rPr>
      </w:pPr>
      <w:r>
        <w:rPr>
          <w:rFonts w:ascii="Arial" w:cs="Arial" w:eastAsia="Arial" w:hAnsi="Arial"/>
          <w:sz w:val="19"/>
          <w:szCs w:val="19"/>
          <w:color w:val="auto"/>
        </w:rPr>
        <w:t>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72"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All ships are dry-docked at least once every five years as required by the ship’s classification society for a special survey. Our ships are considered to be off-hire under our time charters during such periods.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Termination and Cancellation</w:t>
      </w:r>
    </w:p>
    <w:p>
      <w:pPr>
        <w:spacing w:after="0" w:line="119" w:lineRule="exact"/>
        <w:rPr>
          <w:sz w:val="20"/>
          <w:szCs w:val="20"/>
          <w:color w:val="auto"/>
        </w:rPr>
      </w:pPr>
    </w:p>
    <w:p>
      <w:pPr>
        <w:ind w:right="140" w:firstLine="357"/>
        <w:spacing w:after="0" w:line="273" w:lineRule="auto"/>
        <w:rPr>
          <w:sz w:val="20"/>
          <w:szCs w:val="20"/>
          <w:color w:val="auto"/>
        </w:rPr>
      </w:pPr>
      <w:r>
        <w:rPr>
          <w:rFonts w:ascii="Arial" w:cs="Arial" w:eastAsia="Arial" w:hAnsi="Arial"/>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our charterers have the option to terminate a charter if the relevant ship is off-hire for any reason other than scheduled dry-docking for a period exceeding 90 consecutive days, or for more than 90 days or 110 days, depending on the charter, in any one-year period. Certain of our charters give the charterer a termination option for shorter periods of off-hire, if such off-hire is due to an uncured breach of our obligations to maintain the applicable ship.</w:t>
      </w:r>
    </w:p>
    <w:p>
      <w:pPr>
        <w:spacing w:after="0" w:line="54"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7"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mirror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Cool Pool</w:t>
      </w:r>
    </w:p>
    <w:p>
      <w:pPr>
        <w:spacing w:after="0" w:line="119"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Five of our vessels are operating as part of the Cool Pool established in October 2015, with Dynagas and Golar. The Cool Pool was established to market certain of each company’s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w:t>
      </w:r>
    </w:p>
    <w:p>
      <w:pPr>
        <w:spacing w:after="0" w:line="62"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As of February 27, 2017, the Cool Pool consists of 18 modern high quality and essentially equivalent vessels powered by fuel efficient TFDE propulsion technology. The three owners’ vessels eligible for participation in the Cool Pool are as follows: GasLog: five vessels; Dynagas: three vessels; and Golar: ten vessels. Each vessel owner continues to be fully responsible for the manning and technical management of its respective vessels.</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The Cool Pool focuses on charters of 12 months’ duration or less. The scheduling of employment opportunities in excess of 12 months will remain the mandate of the respective vessel owner. If a Cool Pool vessel is scheduled by an owner for a charter that exceeds 12 months in duration, such vessel will cease to be part of the Cool Pool.</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0" w:name="page51"/>
    <w:bookmarkEnd w:id="50"/>
    <w:p>
      <w:pPr>
        <w:ind w:right="80" w:firstLine="357"/>
        <w:spacing w:after="0" w:line="313" w:lineRule="auto"/>
        <w:rPr>
          <w:sz w:val="20"/>
          <w:szCs w:val="20"/>
          <w:color w:val="auto"/>
        </w:rPr>
      </w:pPr>
      <w:r>
        <w:rPr>
          <w:rFonts w:ascii="Arial" w:cs="Arial" w:eastAsia="Arial" w:hAnsi="Arial"/>
          <w:sz w:val="17"/>
          <w:szCs w:val="17"/>
          <w:color w:val="auto"/>
        </w:rPr>
        <w:t>Gross pool revenues represent time charter revenues earned by GasLog vessels participating in the pool under charter agreements where GasLog contracts directly with charterers. Revenue is recognised on a monthly basis, when the vessel is made available and services are provided to the charterer during the period, the amount can be estimated reliably and collection of the related revenue is reasonably assured.</w:t>
      </w:r>
    </w:p>
    <w:p>
      <w:pPr>
        <w:spacing w:after="0" w:line="32"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Bareboat Charter</w:t>
      </w:r>
    </w:p>
    <w:p>
      <w:pPr>
        <w:spacing w:after="0" w:line="119"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11 year charter with MSL.</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Shipbuilding Contracts</w:t>
      </w:r>
    </w:p>
    <w:p>
      <w:pPr>
        <w:spacing w:after="0" w:line="125"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We have entered into shipbuilding contracts with Samsung and Hyundai in respect of three and two newbuildings, respectively, which have an aggregate contract price of approximately $1.04 billion. As of December 31, 2016, the outstanding balance in the aggregate was $0.95 billion, which will be paid in installments upon steel cutting, keel laying and launching of the ship, with the largest portion of the purchase price for each ship coming due upon its delivery. All of our obligations under the shipbuilding contracts are payable in U.S. dollars.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2016, our remaining payment obligations under the shipbuilding contracts were as follows:</w:t>
      </w:r>
    </w:p>
    <w:p>
      <w:pPr>
        <w:sectPr>
          <w:pgSz w:w="11900" w:h="16838" w:orient="portrait"/>
          <w:cols w:equalWidth="0" w:num="1">
            <w:col w:w="11400"/>
          </w:cols>
          <w:pgMar w:left="240" w:top="47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Amounts due in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-123825</wp:posOffset>
            </wp:positionV>
            <wp:extent cx="660336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3365" cy="154305"/>
                    </a:xfrm>
                    <a:prstGeom prst="rect">
                      <a:avLst/>
                    </a:prstGeom>
                    <a:noFill/>
                  </pic:spPr>
                </pic:pic>
              </a:graphicData>
            </a:graphic>
          </wp:anchor>
        </w:drawing>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Amounts due in one to three years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-134620</wp:posOffset>
            </wp:positionV>
            <wp:extent cx="660336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33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As of</w:t>
            </w:r>
          </w:p>
        </w:tc>
      </w:tr>
      <w:tr>
        <w:trPr>
          <w:trHeight w:val="199"/>
        </w:trPr>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December 31, 2016</w:t>
            </w:r>
            <w:r>
              <w:rPr>
                <w:rFonts w:ascii="Arial" w:cs="Arial" w:eastAsia="Arial" w:hAnsi="Arial"/>
                <w:sz w:val="8"/>
                <w:szCs w:val="8"/>
                <w:b w:val="1"/>
                <w:bCs w:val="1"/>
                <w:color w:val="auto"/>
                <w:w w:val="89"/>
              </w:rPr>
              <w:t>(1)</w:t>
            </w:r>
          </w:p>
        </w:tc>
      </w:tr>
      <w:tr>
        <w:trPr>
          <w:trHeight w:val="237"/>
        </w:trPr>
        <w:tc>
          <w:tcPr>
            <w:tcW w:w="240" w:type="dxa"/>
            <w:vAlign w:val="bottom"/>
          </w:tcPr>
          <w:p>
            <w:pPr>
              <w:spacing w:after="0"/>
              <w:rPr>
                <w:sz w:val="20"/>
                <w:szCs w:val="20"/>
                <w:color w:val="auto"/>
              </w:rPr>
            </w:pPr>
          </w:p>
        </w:tc>
        <w:tc>
          <w:tcPr>
            <w:tcW w:w="2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8"/>
              </w:rPr>
              <w:t>(in thousands of U.S. dollars)</w:t>
            </w:r>
          </w:p>
        </w:tc>
      </w:tr>
      <w:tr>
        <w:trPr>
          <w:trHeight w:val="243"/>
        </w:trPr>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2380" w:type="dxa"/>
            <w:vAlign w:val="bottom"/>
          </w:tcPr>
          <w:p>
            <w:pPr>
              <w:jc w:val="right"/>
              <w:ind w:right="72"/>
              <w:spacing w:after="0"/>
              <w:rPr>
                <w:sz w:val="20"/>
                <w:szCs w:val="20"/>
                <w:color w:val="auto"/>
              </w:rPr>
            </w:pPr>
            <w:r>
              <w:rPr>
                <w:rFonts w:ascii="Arial" w:cs="Arial" w:eastAsia="Arial" w:hAnsi="Arial"/>
                <w:sz w:val="19"/>
                <w:szCs w:val="19"/>
                <w:color w:val="auto"/>
              </w:rPr>
              <w:t>63,656</w:t>
            </w:r>
          </w:p>
        </w:tc>
      </w:tr>
      <w:tr>
        <w:trPr>
          <w:trHeight w:val="243"/>
        </w:trPr>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72"/>
              <w:spacing w:after="0"/>
              <w:rPr>
                <w:sz w:val="20"/>
                <w:szCs w:val="20"/>
                <w:color w:val="auto"/>
              </w:rPr>
            </w:pPr>
            <w:r>
              <w:rPr>
                <w:rFonts w:ascii="Arial" w:cs="Arial" w:eastAsia="Arial" w:hAnsi="Arial"/>
                <w:sz w:val="19"/>
                <w:szCs w:val="19"/>
                <w:color w:val="auto"/>
              </w:rPr>
              <w:t>883,276</w:t>
            </w:r>
          </w:p>
        </w:tc>
      </w:tr>
      <w:tr>
        <w:trPr>
          <w:trHeight w:val="250"/>
        </w:trPr>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b w:val="1"/>
                <w:bCs w:val="1"/>
                <w:color w:val="auto"/>
              </w:rPr>
              <w:t>$</w:t>
            </w:r>
          </w:p>
        </w:tc>
        <w:tc>
          <w:tcPr>
            <w:tcW w:w="2380" w:type="dxa"/>
            <w:vAlign w:val="bottom"/>
            <w:tcBorders>
              <w:bottom w:val="single" w:sz="8" w:color="auto"/>
            </w:tcBorders>
          </w:tcPr>
          <w:p>
            <w:pPr>
              <w:jc w:val="right"/>
              <w:ind w:right="72"/>
              <w:spacing w:after="0"/>
              <w:rPr>
                <w:sz w:val="20"/>
                <w:szCs w:val="20"/>
                <w:color w:val="auto"/>
              </w:rPr>
            </w:pPr>
            <w:r>
              <w:rPr>
                <w:rFonts w:ascii="Arial" w:cs="Arial" w:eastAsia="Arial" w:hAnsi="Arial"/>
                <w:sz w:val="19"/>
                <w:szCs w:val="19"/>
                <w:b w:val="1"/>
                <w:bCs w:val="1"/>
                <w:color w:val="auto"/>
              </w:rPr>
              <w:t>946,932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3120"/>
          </w:cols>
          <w:pgMar w:left="240" w:top="477" w:right="259" w:bottom="1440" w:gutter="0" w:footer="0" w:header="0"/>
          <w:type w:val="continuous"/>
        </w:sectPr>
      </w:pPr>
    </w:p>
    <w:p>
      <w:pPr>
        <w:spacing w:after="0" w:line="118" w:lineRule="exact"/>
        <w:rPr>
          <w:sz w:val="20"/>
          <w:szCs w:val="20"/>
          <w:color w:val="auto"/>
        </w:rPr>
      </w:pPr>
    </w:p>
    <w:p>
      <w:pPr>
        <w:ind w:left="280" w:hanging="200"/>
        <w:spacing w:after="0"/>
        <w:tabs>
          <w:tab w:leader="none" w:pos="280" w:val="left"/>
        </w:tabs>
        <w:numPr>
          <w:ilvl w:val="0"/>
          <w:numId w:val="37"/>
        </w:numPr>
        <w:rPr>
          <w:rFonts w:ascii="Arial" w:cs="Arial" w:eastAsia="Arial" w:hAnsi="Arial"/>
          <w:sz w:val="9"/>
          <w:szCs w:val="9"/>
          <w:color w:val="auto"/>
        </w:rPr>
      </w:pPr>
      <w:r>
        <w:rPr>
          <w:rFonts w:ascii="Arial" w:cs="Arial" w:eastAsia="Arial" w:hAnsi="Arial"/>
          <w:sz w:val="16"/>
          <w:szCs w:val="16"/>
          <w:color w:val="auto"/>
        </w:rPr>
        <w:t>Amounts do not reflect installments of $10.36 million paid in 2017.</w:t>
      </w:r>
    </w:p>
    <w:p>
      <w:pPr>
        <w:spacing w:after="0" w:line="106"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shipbuilding contracts provide for the five newbuildings to be delivered and ready for immediate operation on various dates in 2018 through 2019. The shipbuilding contracts require Samsung and Hyundai to pay us liquidated damages in the event of certain delays in the delivery of a ship unless such delays are attributable to a force majeure event, and in the event of a prolonged delay we would have the right to cancel the contract and receive a refund of any installment payments previously made on the ship.</w:t>
      </w:r>
    </w:p>
    <w:p>
      <w:pPr>
        <w:spacing w:after="0" w:line="72"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15 business days, Samsung and Hyundai would have the option of cancelling the applicable shipbuilding contract and retaining any installment payments previously funded by us under the contract.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9"/>
          <w:szCs w:val="19"/>
          <w:b w:val="1"/>
          <w:bCs w:val="1"/>
          <w:color w:val="auto"/>
        </w:rPr>
        <w:t>Ship Management Services and Construction Supervision</w:t>
      </w:r>
    </w:p>
    <w:p>
      <w:pPr>
        <w:spacing w:after="0" w:line="125" w:lineRule="exact"/>
        <w:rPr>
          <w:sz w:val="20"/>
          <w:szCs w:val="20"/>
          <w:color w:val="auto"/>
        </w:rPr>
      </w:pPr>
    </w:p>
    <w:p>
      <w:pPr>
        <w:ind w:firstLine="357"/>
        <w:spacing w:after="0" w:line="285" w:lineRule="auto"/>
        <w:rPr>
          <w:sz w:val="20"/>
          <w:szCs w:val="20"/>
          <w:color w:val="auto"/>
        </w:rPr>
      </w:pPr>
      <w:r>
        <w:rPr>
          <w:rFonts w:ascii="Arial" w:cs="Arial" w:eastAsia="Arial" w:hAnsi="Arial"/>
          <w:sz w:val="17"/>
          <w:szCs w:val="17"/>
          <w:color w:val="auto"/>
        </w:rPr>
        <w:t xml:space="preserve">Management of our owned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fleet, through GasLog LNG Services we provide technical ship management services for a fleet of three ships, which consists of one ship we manage on behalf of MSL, the </w:t>
      </w:r>
      <w:r>
        <w:rPr>
          <w:rFonts w:ascii="Arial" w:cs="Arial" w:eastAsia="Arial" w:hAnsi="Arial"/>
          <w:sz w:val="17"/>
          <w:szCs w:val="17"/>
          <w:i w:val="1"/>
          <w:iCs w:val="1"/>
          <w:color w:val="auto"/>
        </w:rPr>
        <w:t>Methane Nile Eagle</w:t>
      </w:r>
      <w:r>
        <w:rPr>
          <w:rFonts w:ascii="Arial" w:cs="Arial" w:eastAsia="Arial" w:hAnsi="Arial"/>
          <w:sz w:val="17"/>
          <w:szCs w:val="17"/>
          <w:color w:val="auto"/>
        </w:rPr>
        <w:t>, a ship in which we have a</w:t>
      </w:r>
    </w:p>
    <w:p>
      <w:pPr>
        <w:spacing w:after="0" w:line="3"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color w:val="auto"/>
        </w:rPr>
        <w:t xml:space="preserve">25.0% ownership interest and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which we lease from Lepta Shipping. During the year ended December 31, 2016, ship management services provided to external customers accounted for approximately 0.40% of our consolidated revenues.</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Construction Supervision</w:t>
      </w:r>
    </w:p>
    <w:p>
      <w:pPr>
        <w:spacing w:after="0" w:line="119"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 xml:space="preserve">We supervise and manage the construction of our newbuildings through GasLog LNG Services.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the three LNG carriers in Shell’s owned fleet and the </w:t>
      </w:r>
      <w:r>
        <w:rPr>
          <w:rFonts w:ascii="Arial" w:cs="Arial" w:eastAsia="Arial" w:hAnsi="Arial"/>
          <w:sz w:val="19"/>
          <w:szCs w:val="19"/>
          <w:i w:val="1"/>
          <w:iCs w:val="1"/>
          <w:color w:val="auto"/>
        </w:rPr>
        <w:t>Methane Nile Eagle</w:t>
      </w:r>
      <w:r>
        <w:rPr>
          <w:rFonts w:ascii="Arial" w:cs="Arial" w:eastAsia="Arial" w:hAnsi="Arial"/>
          <w:sz w:val="19"/>
          <w:szCs w:val="19"/>
          <w:color w:val="auto"/>
        </w:rPr>
        <w:t>, all of which were constructed at Samsung.</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Technical and Operational Management</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 xml:space="preserve">Pursuant to ship management agreements, through GasLog LNG Services we manage the day-to-day aspects of ship operations, including crewing, training, employing armed guards for transport in certain high-risk areas, insurance, maintenance and repair, procurement of supplies and equipment, regulatory and classification compliance and HSSE management and reporting, as well as dry-docking under certain charters, for our owned fleet (with the exception of the </w:t>
      </w:r>
      <w:r>
        <w:rPr>
          <w:rFonts w:ascii="Arial" w:cs="Arial" w:eastAsia="Arial" w:hAnsi="Arial"/>
          <w:sz w:val="19"/>
          <w:szCs w:val="19"/>
          <w:i w:val="1"/>
          <w:iCs w:val="1"/>
          <w:color w:val="auto"/>
        </w:rPr>
        <w:t>Solaris</w:t>
      </w:r>
      <w:r>
        <w:rPr>
          <w:rFonts w:ascii="Arial" w:cs="Arial" w:eastAsia="Arial" w:hAnsi="Arial"/>
          <w:sz w:val="19"/>
          <w:szCs w:val="19"/>
          <w:color w:val="auto"/>
        </w:rPr>
        <w:t>) and for the three ships in our managed fleet not owned by us. We utilize certain third-party sub-contractors and suppliers in carrying out our technical management responsibilities. In the case of ships owned by Shell, Egypt LNG and Lepta Shipping, the crewing and other operational costs are fully passed-through to the ship owner, and for our technical management services the customers pay us a management fee per ship per month.</w:t>
      </w:r>
    </w:p>
    <w:p>
      <w:pPr>
        <w:spacing w:after="0" w:line="77"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In connection with our ship management services, we also enter into consultant service agreements pursuant to which we provide specialized services relating to the management of LNG carriers. These services include the development and installation of a ship’s ship management system, which includes installing onboard hardware and software systems and providing related training to the ship’s personnel.</w:t>
      </w:r>
    </w:p>
    <w:p>
      <w:pPr>
        <w:spacing w:after="0" w:line="49"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terms of our ship management agreements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 Under our ship management agreements with Shell, in some circumstances Shell would be obligated to reimburse us for certain crew support and severance costs incurred as a result of a termination of the ship management agreement by Shell.</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 xml:space="preserve">We operate in markets that are highly competitive and based primarily on supply and demand. Generally, competition for LNG time charters is based primarily on price, ship availability, size, age, technical specifications and condition, LNG shipping experience, quality and efficiency of ship operations, shipping industry relationships and reputation for customer service, and technical ability and reputation for operation of highly specialized ships. In addition, through the </w:t>
      </w:r>
      <w:r>
        <w:rPr>
          <w:rFonts w:ascii="Arial" w:cs="Arial" w:eastAsia="Arial" w:hAnsi="Arial"/>
          <w:sz w:val="19"/>
          <w:szCs w:val="19"/>
          <w:i w:val="1"/>
          <w:iCs w:val="1"/>
          <w:color w:val="auto"/>
        </w:rPr>
        <w:t>GasLog Singapore</w:t>
      </w:r>
      <w:r>
        <w:rPr>
          <w:rFonts w:ascii="Arial" w:cs="Arial" w:eastAsia="Arial" w:hAnsi="Arial"/>
          <w:sz w:val="19"/>
          <w:szCs w:val="19"/>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52" w:name="page53"/>
    <w:bookmarkEnd w:id="52"/>
    <w:p>
      <w:pPr>
        <w:ind w:right="380"/>
        <w:spacing w:after="0" w:line="283"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GasLog Chelsea</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Savannah</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Saratoga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Salem</w:t>
      </w:r>
      <w:r>
        <w:rPr>
          <w:rFonts w:ascii="Arial" w:cs="Arial" w:eastAsia="Arial" w:hAnsi="Arial"/>
          <w:sz w:val="19"/>
          <w:szCs w:val="19"/>
          <w:color w:val="auto"/>
        </w:rPr>
        <w:t xml:space="preserve"> we operate in the spot market that covers short-term charters of one year or less.</w:t>
      </w:r>
    </w:p>
    <w:p>
      <w:pPr>
        <w:spacing w:after="0" w:line="52"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Although we believe that we are one of the few independent owners that focus on newly-built, technically advanced LNG carriers and provide in-house technical management of the fleet, other independent shipping companies also own and operate, and in some cases manage, LNG carriers and have new ships under construction. There are other ship owners and managers who may also attempt to participate in the LNG market in the future. We believe that our strategy of focusing on charter contracts with initial terms of five to ten years, as well as the scale of our technical ship management operations, differentiates us to some extent from other independent owners.</w:t>
      </w:r>
    </w:p>
    <w:p>
      <w:pPr>
        <w:spacing w:after="0" w:line="62" w:lineRule="exact"/>
        <w:rPr>
          <w:sz w:val="20"/>
          <w:szCs w:val="20"/>
          <w:color w:val="auto"/>
        </w:rPr>
      </w:pPr>
    </w:p>
    <w:p>
      <w:pPr>
        <w:ind w:right="120" w:firstLine="357"/>
        <w:spacing w:after="0" w:line="313" w:lineRule="auto"/>
        <w:rPr>
          <w:sz w:val="20"/>
          <w:szCs w:val="20"/>
          <w:color w:val="auto"/>
        </w:rPr>
      </w:pPr>
      <w:r>
        <w:rPr>
          <w:rFonts w:ascii="Arial" w:cs="Arial" w:eastAsia="Arial" w:hAnsi="Arial"/>
          <w:sz w:val="17"/>
          <w:szCs w:val="17"/>
          <w:color w:val="auto"/>
        </w:rPr>
        <w:t>In addition to independent owners, some of the major oil and gas producers own LNG carriers and in the recent past they have contracted for the construction of new LNG carriers. National gas and shipping companies also have large fleets of LNG carriers that have expanded and may continue to expand. Some of these companies may compete with independent owners by using their fleets to carry LNG for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Seagoing and Shore-Based Employees</w:t>
      </w:r>
    </w:p>
    <w:p>
      <w:pPr>
        <w:spacing w:after="0" w:line="112"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As of December 31, 2016 we had 173 full-time employees and contractors based in our offices in Greece, Monaco, London, New York, Singapore or the newbuildings site in South Korea. In addition to our shore-based employees and contractors, we had approximately 1,340 seafaring staff serving on our owned and managed ships. These seafarers are retained through crewing agencies based in Ukraine, the Philippines and Spain or, in the case of Greek seafarers, through direct hire. As we take delivery of our newbuildings, we expect to retain a significant number of additional seafarers qualified to man and operate our new ships, as well as additional shore-based personnel. We intend to focus our seafaring hiring efforts in the Ukrainian, Philippine and Spanish markets, where we have crewing agency agreements in place, and in Greece.</w:t>
      </w:r>
    </w:p>
    <w:p>
      <w:pPr>
        <w:spacing w:after="0" w:line="4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regard attracting and retaining motivated, well-qualified seagoing and shore-based personnel as a top priority, and we offer our people competitive compensation packages and training and development opportunities. In addition, we provide intensive onboard training for our officers and crews to instill a culture of the highest operational and safety standards. As a result, we have historically enjoyed high retention rates. In 2016, our retention rate was 95% for senior seagoing officers, 98% for other seagoing officers and 99% for shore staff.</w:t>
      </w:r>
    </w:p>
    <w:p>
      <w:pPr>
        <w:spacing w:after="0" w:line="62" w:lineRule="exact"/>
        <w:rPr>
          <w:sz w:val="20"/>
          <w:szCs w:val="20"/>
          <w:color w:val="auto"/>
        </w:rPr>
      </w:pPr>
    </w:p>
    <w:p>
      <w:pPr>
        <w:ind w:right="280" w:firstLine="357"/>
        <w:spacing w:after="0" w:line="259" w:lineRule="auto"/>
        <w:rPr>
          <w:sz w:val="20"/>
          <w:szCs w:val="20"/>
          <w:color w:val="auto"/>
        </w:rPr>
      </w:pPr>
      <w:r>
        <w:rPr>
          <w:rFonts w:ascii="Arial" w:cs="Arial" w:eastAsia="Arial" w:hAnsi="Arial"/>
          <w:sz w:val="19"/>
          <w:szCs w:val="19"/>
          <w:color w:val="auto"/>
        </w:rPr>
        <w:t>Although we have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 expect that the impact of cost increases would be mitigated to some extent by certain provisions in our time charters, including automatic periodic adjustment provisions and cost review provisions.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Classification, Inspection and Maintenance</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7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To ensure each ship is maintained in accordance with classification society standards and for maintenance of the class certificate, regular and extraordinary surveys of hull and machinery,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3" w:name="page54"/>
    <w:bookmarkEnd w:id="53"/>
    <w:p>
      <w:pPr>
        <w:jc w:val="both"/>
        <w:ind w:right="80"/>
        <w:spacing w:after="0" w:line="313" w:lineRule="auto"/>
        <w:rPr>
          <w:sz w:val="20"/>
          <w:szCs w:val="20"/>
          <w:color w:val="auto"/>
        </w:rPr>
      </w:pPr>
      <w:r>
        <w:rPr>
          <w:rFonts w:ascii="Arial" w:cs="Arial" w:eastAsia="Arial" w:hAnsi="Arial"/>
          <w:sz w:val="17"/>
          <w:szCs w:val="17"/>
          <w:color w:val="auto"/>
        </w:rPr>
        <w:t>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32"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Most insurance underwriters make it a condition for insurance coverage that a ship be certified as “in class” by a classification society that is a member of the International Association of Classification Societies. All but one of our delivered ships is certified by the American Bureau of Shipping, or “ABS”; the other delivered ship is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77"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lists the years in which we expect to carry out the next or initial dry-dockings and special surveys for our owned fleet and the bareboat vessel as of December 31, 2016:</w:t>
      </w:r>
    </w:p>
    <w:p>
      <w:pPr>
        <w:spacing w:after="0" w:line="16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Dry-docking and</w:t>
            </w:r>
          </w:p>
        </w:tc>
      </w:tr>
      <w:tr>
        <w:trPr>
          <w:trHeight w:val="199"/>
        </w:trPr>
        <w:tc>
          <w:tcPr>
            <w:tcW w:w="8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Ship Name</w:t>
            </w:r>
          </w:p>
        </w:tc>
        <w:tc>
          <w:tcPr>
            <w:tcW w:w="28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Special Survey</w:t>
            </w:r>
          </w:p>
        </w:tc>
      </w:tr>
      <w:tr>
        <w:trPr>
          <w:trHeight w:val="237"/>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Shanghai</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2017</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GasLog Skagen</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2018</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Seattle</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2018</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GasLog Santiago</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2018</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Sydney</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2018</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Solaris</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2019</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Methane Lydon Volney</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2019</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GasLog Saratoga</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2019</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Savannah</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Methane Shirley Elisabeth</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Methane Heather Sally</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Methane Julia Louise</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Chelsea</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Methane Alison Victoria</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Singapore</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Methane Becki Anne</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Salem</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2020</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Methane Rita Andrea</w:t>
            </w:r>
            <w:r>
              <w:rPr>
                <w:rFonts w:ascii="Arial" w:cs="Arial" w:eastAsia="Arial" w:hAnsi="Arial"/>
                <w:sz w:val="10"/>
                <w:szCs w:val="10"/>
                <w:i w:val="1"/>
                <w:iCs w:val="1"/>
                <w:color w:val="auto"/>
              </w:rPr>
              <w:t>(*)</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Methane Jane Elizabeth</w:t>
            </w:r>
            <w:r>
              <w:rPr>
                <w:rFonts w:ascii="Arial" w:cs="Arial" w:eastAsia="Arial" w:hAnsi="Arial"/>
                <w:sz w:val="10"/>
                <w:szCs w:val="10"/>
                <w:i w:val="1"/>
                <w:iCs w:val="1"/>
                <w:color w:val="auto"/>
              </w:rPr>
              <w:t>(*)</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GasLog Greece</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Glasgow</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GasLog Geneva</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GasLog Gibraltar</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2021</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Hull No. 2130</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2023</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Hull No. 2800</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2023</w:t>
            </w:r>
          </w:p>
        </w:tc>
      </w:tr>
      <w:tr>
        <w:trPr>
          <w:trHeight w:val="243"/>
        </w:trPr>
        <w:tc>
          <w:tcPr>
            <w:tcW w:w="8620" w:type="dxa"/>
            <w:vAlign w:val="bottom"/>
          </w:tcPr>
          <w:p>
            <w:pPr>
              <w:spacing w:after="0"/>
              <w:rPr>
                <w:sz w:val="20"/>
                <w:szCs w:val="20"/>
                <w:color w:val="auto"/>
              </w:rPr>
            </w:pPr>
            <w:r>
              <w:rPr>
                <w:rFonts w:ascii="Arial" w:cs="Arial" w:eastAsia="Arial" w:hAnsi="Arial"/>
                <w:sz w:val="19"/>
                <w:szCs w:val="19"/>
                <w:i w:val="1"/>
                <w:iCs w:val="1"/>
                <w:color w:val="auto"/>
              </w:rPr>
              <w:t>Hull No. 2801</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2023</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Hull No. 2131</w:t>
            </w:r>
          </w:p>
        </w:tc>
        <w:tc>
          <w:tcPr>
            <w:tcW w:w="178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4"/>
              </w:rPr>
              <w:t>2024</w:t>
            </w:r>
          </w:p>
        </w:tc>
      </w:tr>
      <w:tr>
        <w:trPr>
          <w:trHeight w:val="247"/>
        </w:trPr>
        <w:tc>
          <w:tcPr>
            <w:tcW w:w="8620" w:type="dxa"/>
            <w:vAlign w:val="bottom"/>
          </w:tcPr>
          <w:p>
            <w:pPr>
              <w:spacing w:after="0"/>
              <w:rPr>
                <w:sz w:val="20"/>
                <w:szCs w:val="20"/>
                <w:color w:val="auto"/>
              </w:rPr>
            </w:pPr>
            <w:r>
              <w:rPr>
                <w:rFonts w:ascii="Arial" w:cs="Arial" w:eastAsia="Arial" w:hAnsi="Arial"/>
                <w:sz w:val="19"/>
                <w:szCs w:val="19"/>
                <w:i w:val="1"/>
                <w:iCs w:val="1"/>
                <w:color w:val="auto"/>
              </w:rPr>
              <w:t>Hull No. 2212</w:t>
            </w:r>
          </w:p>
        </w:tc>
        <w:tc>
          <w:tcPr>
            <w:tcW w:w="17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0" w:lineRule="exact"/>
        <w:rPr>
          <w:sz w:val="20"/>
          <w:szCs w:val="20"/>
          <w:color w:val="auto"/>
        </w:rPr>
      </w:pPr>
    </w:p>
    <w:p>
      <w:pPr>
        <w:ind w:left="280" w:hanging="200"/>
        <w:spacing w:after="0"/>
        <w:tabs>
          <w:tab w:leader="none" w:pos="280" w:val="left"/>
        </w:tabs>
        <w:numPr>
          <w:ilvl w:val="0"/>
          <w:numId w:val="38"/>
        </w:numPr>
        <w:rPr>
          <w:rFonts w:ascii="Arial" w:cs="Arial" w:eastAsia="Arial" w:hAnsi="Arial"/>
          <w:sz w:val="9"/>
          <w:szCs w:val="9"/>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carried out their initial dry-dockings in our fleet in April 2016 and March 2016, respectively.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t>Risk of Loss, Insurance and Risk Management</w:t>
      </w:r>
    </w:p>
    <w:p>
      <w:pPr>
        <w:spacing w:after="0" w:line="125" w:lineRule="exact"/>
        <w:rPr>
          <w:sz w:val="20"/>
          <w:szCs w:val="20"/>
          <w:color w:val="auto"/>
        </w:rPr>
      </w:pPr>
    </w:p>
    <w:p>
      <w:pPr>
        <w:ind w:right="180" w:firstLine="357"/>
        <w:spacing w:after="0" w:line="281"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57"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We maintain hull and machinery insurance on all our owned ships against marine and war risks in amounts that we believe to be prudent to cover such risks, as well as loss of hire insurance against loss of income as a result of a ship being off-hire or otherwise suffering a loss of operational time for events falling under our hull and machinery insurance. In addition, we maintain protection and indemnity insurance on all our owned ships up to the maximum insurable limit available at any given time. We also maintain ship manager insurance in respect of our managed fleet.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Hull &amp; Machinery Marine Risks Insurance and Hull &amp; Machinery War Risks Insurance</w:t>
      </w:r>
    </w:p>
    <w:p>
      <w:pPr>
        <w:spacing w:after="0" w:line="106"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owned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of Hire Insurance/Delay Insurance</w:t>
      </w:r>
    </w:p>
    <w:p>
      <w:pPr>
        <w:spacing w:after="0" w:line="119"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for a maximum of 180 days. The number of deductible days for the ships in our fleet is 14 days per ship. In addition to the loss of hire insurance, we also have in place delay insurance which, like loss of hire, covers all of our owned vessels for time lost due to events falling under the terms of our hull and machinery insurance, plus additional protection and indemnity related incidents. The policy has a deductible of two days with a maximum of 12 days (which brings it in line with the loss of hire deductible of 14 days) and a daily rate per vessel of $40,000 for our wholly owned vessels or the hire rate agreed as per the loss of hire insurance policy for the Partnership’s vessels.</w:t>
      </w:r>
    </w:p>
    <w:p>
      <w:pPr>
        <w:spacing w:after="0" w:line="77"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Protection and Indemnity Insurance</w:t>
      </w:r>
    </w:p>
    <w:p>
      <w:pPr>
        <w:spacing w:after="0" w:line="119" w:lineRule="exact"/>
        <w:rPr>
          <w:sz w:val="20"/>
          <w:szCs w:val="20"/>
          <w:color w:val="auto"/>
        </w:rPr>
      </w:pPr>
    </w:p>
    <w:p>
      <w:pPr>
        <w:ind w:right="260" w:firstLine="357"/>
        <w:spacing w:after="0" w:line="259" w:lineRule="auto"/>
        <w:rPr>
          <w:sz w:val="20"/>
          <w:szCs w:val="20"/>
          <w:color w:val="auto"/>
        </w:rPr>
      </w:pPr>
      <w:r>
        <w:rPr>
          <w:rFonts w:ascii="Arial" w:cs="Arial" w:eastAsia="Arial" w:hAnsi="Arial"/>
          <w:sz w:val="19"/>
          <w:szCs w:val="19"/>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 w:name="page56"/>
    <w:bookmarkEnd w:id="55"/>
    <w:p>
      <w:pPr>
        <w:ind w:right="280" w:firstLine="357"/>
        <w:spacing w:after="0" w:line="262" w:lineRule="auto"/>
        <w:rPr>
          <w:sz w:val="20"/>
          <w:szCs w:val="20"/>
          <w:color w:val="auto"/>
        </w:rPr>
      </w:pPr>
      <w:r>
        <w:rPr>
          <w:rFonts w:ascii="Arial" w:cs="Arial" w:eastAsia="Arial" w:hAnsi="Arial"/>
          <w:sz w:val="19"/>
          <w:szCs w:val="19"/>
          <w:color w:val="auto"/>
        </w:rPr>
        <w:t>Our protection and indemnity insurance covering our owned ships is provided by P&amp;I associations that are members of the International Group of Protection and Indemnity Clubs, or “International Group”. The thirteen P&amp;I associations that comprise the International Group insure approximately 90.0% of the world’s commercial tonnage and have entered into a pooling agreement to reinsure each association’s liabilities. Insurance provided by a P&amp;I association is a form of mutual indemnity insurance.</w:t>
      </w:r>
    </w:p>
    <w:p>
      <w:pPr>
        <w:spacing w:after="0" w:line="72" w:lineRule="exact"/>
        <w:rPr>
          <w:sz w:val="20"/>
          <w:szCs w:val="20"/>
          <w:color w:val="auto"/>
        </w:rPr>
      </w:pPr>
    </w:p>
    <w:p>
      <w:pPr>
        <w:jc w:val="both"/>
        <w:ind w:right="220" w:firstLine="357"/>
        <w:spacing w:after="0" w:line="344" w:lineRule="auto"/>
        <w:rPr>
          <w:sz w:val="20"/>
          <w:szCs w:val="20"/>
          <w:color w:val="auto"/>
        </w:rPr>
      </w:pPr>
      <w:r>
        <w:rPr>
          <w:rFonts w:ascii="Arial" w:cs="Arial" w:eastAsia="Arial" w:hAnsi="Arial"/>
          <w:sz w:val="17"/>
          <w:szCs w:val="17"/>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7"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Safety Performance</w:t>
      </w:r>
    </w:p>
    <w:p>
      <w:pPr>
        <w:spacing w:after="0" w:line="112"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We provide intensive onboard training for our officers and crews to instill a culture of the highest operational and safety standards. During 2016, GasLog’s fleet experienced one lost time injury.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Permits and Authorizations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and Other Regulation</w:t>
      </w:r>
    </w:p>
    <w:p>
      <w:pPr>
        <w:spacing w:after="0" w:line="125" w:lineRule="exact"/>
        <w:rPr>
          <w:sz w:val="20"/>
          <w:szCs w:val="20"/>
          <w:color w:val="auto"/>
        </w:rPr>
      </w:pPr>
    </w:p>
    <w:p>
      <w:pPr>
        <w:ind w:right="180" w:firstLine="357"/>
        <w:spacing w:after="0" w:line="256" w:lineRule="auto"/>
        <w:rPr>
          <w:sz w:val="20"/>
          <w:szCs w:val="20"/>
          <w:color w:val="auto"/>
        </w:rPr>
      </w:pPr>
      <w:r>
        <w:rPr>
          <w:rFonts w:ascii="Arial" w:cs="Arial" w:eastAsia="Arial" w:hAnsi="Arial"/>
          <w:sz w:val="19"/>
          <w:szCs w:val="19"/>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77"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stricter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i w:val="1"/>
          <w:iCs w:val="1"/>
          <w:color w:val="auto"/>
        </w:rPr>
        <w:t>International Maritime Regulations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The IMO, the United Nations agency for maritime safety and the prevention of pollution by ships, has adopted several international conventions that regulate the international shipping industry, including the SOLAS Convention, the International Convention on Civil Liability for Oil Pollution Damage, the International Convention on Civil Liability for Bunker Oil Pollution Damage, and the MARPOL Convention. Ships that transport gas, including LNG carriers, are also subject to regulations under amendments to SOLAS implementing the International Code for Construction and Equipment of Ships Carrying Liquefied Gases in Bulk, or the “IGC Code”, and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Through GasLog LNG Services, we have developed a safety management system for our ships that meets these requirements. The IGC Code prescribes design and construction standards for ships involved in the transport of gas. Compliance with the IGC Code must be evidenced by a Certificate of Fitness for the Carriage of Liquefied Gases of Bulk. Each of our ships is in compliance with the IGC Code and each of our newbuilding contracts requires that the ship receive certification that it is in compliance with applicable regulations before it is delivered.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74"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are being phased in between 2012 and 2020, and by establishing new tiers of nitrogen oxide emission standards for new marine diesel engines, depending on their date of installation. Additionally, more stringent emission standards could apply in coastal areas designated as Emission Control Areas, or “ECAs”. For example, “Tier III” emission standards apply in North American and U.S. Caribbean Sea ECAs to all marine diesel engines installed on a ship constructed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72" w:lineRule="exact"/>
        <w:rPr>
          <w:sz w:val="20"/>
          <w:szCs w:val="20"/>
          <w:color w:val="auto"/>
        </w:rPr>
      </w:pPr>
    </w:p>
    <w:p>
      <w:pPr>
        <w:ind w:right="80" w:firstLine="357"/>
        <w:spacing w:after="0" w:line="275" w:lineRule="auto"/>
        <w:rPr>
          <w:sz w:val="20"/>
          <w:szCs w:val="20"/>
          <w:color w:val="auto"/>
        </w:rPr>
      </w:pPr>
      <w:r>
        <w:rPr>
          <w:rFonts w:ascii="Arial" w:cs="Arial" w:eastAsia="Arial" w:hAnsi="Arial"/>
          <w:sz w:val="18"/>
          <w:szCs w:val="18"/>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7" w:name="page58"/>
    <w:bookmarkEnd w:id="57"/>
    <w:p>
      <w:pPr>
        <w:ind w:right="240" w:firstLine="357"/>
        <w:spacing w:after="0" w:line="259" w:lineRule="auto"/>
        <w:rPr>
          <w:sz w:val="20"/>
          <w:szCs w:val="20"/>
          <w:color w:val="auto"/>
        </w:rPr>
      </w:pPr>
      <w:r>
        <w:rPr>
          <w:rFonts w:ascii="Arial" w:cs="Arial" w:eastAsia="Arial" w:hAnsi="Arial"/>
          <w:sz w:val="19"/>
          <w:szCs w:val="19"/>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w:t>
      </w:r>
    </w:p>
    <w:p>
      <w:pPr>
        <w:spacing w:after="0" w:line="77"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States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Oil Pollution Act and CERCLA</w:t>
      </w:r>
    </w:p>
    <w:p>
      <w:pPr>
        <w:spacing w:after="0" w:line="119"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Because our ships could trade with the United States or its territories or possessions and/or operate in U.S. waters, our operations could be impacted by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OPA currently limits the liability of responsible parties with respect to ships over 3,000 gross tons to the greater of $2,000 per gross ton or $17,088,000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72"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pacing w:after="0" w:line="46"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OPA also requires owners and operators of ships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we intend to obtain such certificates in the future for each of our vessels, if required to have them.</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Clean Water Act</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8" w:name="page59"/>
    <w:bookmarkEnd w:id="58"/>
    <w:p>
      <w:pPr>
        <w:ind w:right="20"/>
        <w:spacing w:after="0" w:line="267" w:lineRule="auto"/>
        <w:rPr>
          <w:sz w:val="20"/>
          <w:szCs w:val="20"/>
          <w:color w:val="auto"/>
        </w:rPr>
      </w:pPr>
      <w:r>
        <w:rPr>
          <w:rFonts w:ascii="Arial" w:cs="Arial" w:eastAsia="Arial" w:hAnsi="Arial"/>
          <w:sz w:val="19"/>
          <w:szCs w:val="19"/>
          <w:color w:val="auto"/>
        </w:rPr>
        <w:t>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68"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VGP that includes numeric effluent limits for ballast water expressed as the maximum concentration of living organisms in ballast water. These VGP requirements also are the subject of litigation by certain environmental groups seeking more stringent ballast water requirements. In addition, the VGP also imposes a variety of changes for non-ballast water discharges including more stringent Best Management Practices for discharges of oil-to-sea interfaces in an effort to reduce the toxicity of oil leaked into U.S. water. We have submitted NOIs for all of our delivered ships and intend to submit NOIs for our ships in the future, where required, and do not believe that the costs associated with obtaining and complying with the VGP will have a significant impact on our operations.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Clean Air Act</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tri-fuel diesel electric LNG carriers have the ability to burn natural gas as fuel to power the ship, which can significantly reduce relevant emissions compared with steam-powered ships.</w:t>
      </w:r>
    </w:p>
    <w:p>
      <w:pPr>
        <w:spacing w:after="0" w:line="67" w:lineRule="exact"/>
        <w:rPr>
          <w:sz w:val="20"/>
          <w:szCs w:val="20"/>
          <w:color w:val="auto"/>
        </w:rPr>
      </w:pPr>
    </w:p>
    <w:p>
      <w:pPr>
        <w:ind w:right="80" w:firstLine="357"/>
        <w:spacing w:after="0" w:line="271" w:lineRule="auto"/>
        <w:rPr>
          <w:sz w:val="20"/>
          <w:szCs w:val="20"/>
          <w:color w:val="auto"/>
        </w:rPr>
      </w:pPr>
      <w:r>
        <w:rPr>
          <w:rFonts w:ascii="Arial" w:cs="Arial" w:eastAsia="Arial" w:hAnsi="Arial"/>
          <w:sz w:val="18"/>
          <w:szCs w:val="18"/>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0.10%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Environmental Initiatives</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9" w:name="page60"/>
    <w:bookmarkEnd w:id="59"/>
    <w:p>
      <w:pPr>
        <w:spacing w:after="0" w:line="258" w:lineRule="auto"/>
        <w:rPr>
          <w:sz w:val="20"/>
          <w:szCs w:val="20"/>
          <w:color w:val="auto"/>
        </w:rPr>
      </w:pPr>
      <w:r>
        <w:rPr>
          <w:rFonts w:ascii="Arial" w:cs="Arial" w:eastAsia="Arial" w:hAnsi="Arial"/>
          <w:sz w:val="19"/>
          <w:szCs w:val="19"/>
          <w:color w:val="auto"/>
        </w:rPr>
        <w:t>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(none of which have received full approval by the Coast Guard to date)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76" w:lineRule="exact"/>
        <w:rPr>
          <w:sz w:val="20"/>
          <w:szCs w:val="20"/>
          <w:color w:val="auto"/>
        </w:rPr>
      </w:pPr>
    </w:p>
    <w:p>
      <w:pPr>
        <w:ind w:right="140" w:firstLine="357"/>
        <w:spacing w:after="0" w:line="257" w:lineRule="auto"/>
        <w:rPr>
          <w:sz w:val="20"/>
          <w:szCs w:val="20"/>
          <w:color w:val="auto"/>
        </w:rPr>
      </w:pPr>
      <w:r>
        <w:rPr>
          <w:rFonts w:ascii="Arial" w:cs="Arial" w:eastAsia="Arial" w:hAnsi="Arial"/>
          <w:sz w:val="19"/>
          <w:szCs w:val="19"/>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earlier in 2016, and the convention will become effective on September 8, 2017. While we believe that our delivered ships comply with existing requirements, when these new ballast water treatment requirements are instituted, the cost of compliance could increase for ocean carriers. It is difficult to accurately predict the overall impact of such a requirement on our operations.</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HNS Fund which comes into play when the insurance is insufficient to satisfy a claim or does not cover the incident. To date, the HNS Convention has not been ratified by a sufficient number of countries to enter into force.</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Greenhouse Gas Regulations</w:t>
      </w:r>
    </w:p>
    <w:p>
      <w:pPr>
        <w:spacing w:after="0" w:line="106"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impossible to predict the likelihood that such a standard might be adopted or its potential impact on our operations at this time.</w:t>
      </w:r>
    </w:p>
    <w:p>
      <w:pPr>
        <w:spacing w:after="0" w:line="76"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The European Union has indicated that it intends to propose an expansion of the existing European Union emissions trading scheme to include emissions of greenhouse gases from marine ships. Requirements to monitor, report and verify carbon dioxide emissions from vessels calling to EU ports are under contemplation for adoption by the European Parliament. In the United States, the EPA has issued a finding that greenhouse gases endanger the public health and safety and has adopted regulations under the CAA to limit greenhouse gas emissions from certain mobile sources and large stationary sources. Although the mobile source emissions do not apply to greenhouse gas emissions from ships, the EPA is considering a petition from the California Attorney General and environmental groups to regulate greenhouse gas emissions from ocean-going ships. Any passage of climate control legislation or other regulatory initiatives by the IMO, the European Union, the United States or other countries where we operate, or any new treaty adopted at the international level, that restrict emissions of greenhouse gases could require us to make significant financial expenditures that we cannot predict with certainty at this time.</w:t>
      </w:r>
    </w:p>
    <w:p>
      <w:pPr>
        <w:spacing w:after="0" w:line="71" w:lineRule="exact"/>
        <w:rPr>
          <w:sz w:val="20"/>
          <w:szCs w:val="20"/>
          <w:color w:val="auto"/>
        </w:rPr>
      </w:pPr>
    </w:p>
    <w:p>
      <w:pPr>
        <w:ind w:right="220" w:firstLine="357"/>
        <w:spacing w:after="0" w:line="312" w:lineRule="auto"/>
        <w:rPr>
          <w:sz w:val="20"/>
          <w:szCs w:val="20"/>
          <w:color w:val="auto"/>
        </w:rPr>
      </w:pPr>
      <w:r>
        <w:rPr>
          <w:rFonts w:ascii="Arial" w:cs="Arial" w:eastAsia="Arial" w:hAnsi="Arial"/>
          <w:sz w:val="18"/>
          <w:szCs w:val="18"/>
          <w:color w:val="auto"/>
        </w:rPr>
        <w:t>We believe that LNG carriers, which have the inherent ability to burn natural gas to power the ship, and in particular LNG carriers like ours that utilize fuel-efficient diesel electric propulsion, can be considered among the cleanest of large ships in terms of emissions.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b w:val="1"/>
          <w:bCs w:val="1"/>
          <w:i w:val="1"/>
          <w:iCs w:val="1"/>
          <w:color w:val="auto"/>
        </w:rPr>
        <w:t>Ship Security Regulations</w:t>
      </w:r>
    </w:p>
    <w:p>
      <w:pPr>
        <w:spacing w:after="0" w:line="119"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64" w:lineRule="exact"/>
        <w:rPr>
          <w:sz w:val="20"/>
          <w:szCs w:val="20"/>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on-board installation of automatic information systems to enhance ship-to-ship and ship-to-shore communications;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on-board installation of ship security alert systems;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development of ship security plans;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compliance with flag state security certification requirements.</w:t>
      </w:r>
    </w:p>
    <w:p>
      <w:pPr>
        <w:spacing w:after="0" w:line="133"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Organizational Structure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GasLog is a holding company incorporated in Bermuda. As of February 27, 2017, it has 42 subsidiaries which are incorporated in the British Virgin Islands, Monaco, Bermuda, the Marshall Islands, the United States, Singapore, Cyprus and England and Wales. Of our subsidiaries, 27 either own vessels in our fleet or are parties to contracts to obtain newbuild vessels. Of our subsidiaries, 31 are wholly owned by us and 11 are 27.57% owned by us. A list of our subsidiaries is set forth in Exhibit 8.1 to this annual report.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Property, Plant and Equipment</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Prospects—B. Liquidity and Capital Resources —Credit Facilities”.</w:t>
      </w:r>
    </w:p>
    <w:p>
      <w:pPr>
        <w:spacing w:after="0" w:line="7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We occupy office space at 7 Rue du Gabian, MC 98000, Monaco, which is provided pursuant to a lease agreement between our subsidiary, GasLog Monaco S.A.M., and a third-party property owner. We also occupy office space at: (i) 69 Akti Miaouli, Piraeus, GR 185 37, Greece, which we lease through our subsidiary GasLog LNG Services from an entity controlled by Ceres Shipping; the lease agreement is disclosed and filed with the Greek authorities, and has been entered into on market rates; (ii) at 81 Kings Road, London SW3 4NX, United Kingdom, which we lease through our subsidiary GasLog Services UK Ltd.; (iii) at ~24-02B Asia Square Tower 2, Singapore, which we lease through our subsidiary, GasLog Asia PTE. Ltd.; and (iv) at 885 Third Avenue, New York, New York 10022, United States, which we lease through our subsidiary, GasLog Services U.S. Inc.</w:t>
      </w:r>
    </w:p>
    <w:p>
      <w:pPr>
        <w:spacing w:after="0" w:line="7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For more information about the contractual arrangements for our office space in Piraeus, see “Item 7. Major Shareholders and Related Party Transactions—B. Related Party Transactions”.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4.A. UNRESOLVED STAFF COMMENTS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5" w:right="31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color w:val="auto"/>
        </w:rPr>
        <w:t>ITEM 5. OPERATING AND FINANCIAL REVIEW AND PROSPECTS</w:t>
      </w:r>
    </w:p>
    <w:p>
      <w:pPr>
        <w:spacing w:after="0" w:line="125"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77"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We are an international owner, operator and manager of LNG carriers. Our wholly owned fleet consists of 18 LNG carriers, including 13 ships in operation, three LNG carriers on order at Samsung and two LNG carriers on order at Hyundai. GasLog is also the general and controlling partner in GasLog Partners, which owns nine LNG carriers, and GasLog has leased back one vessel sold to Lepta Shipping in February 2016, for a period of up to 20 years. We currently manage and operate 24 LNG carriers including 12 of our wholly owned vessels in operation (one is managed by a subsidiary of Shell), the nine ships contributed or sold to the Partnership, the bareboat vessel, one ship owned by MSL and one additional LNG carrier in which we have a 25.0% interest. We are also supervising the construction of our newbuildings. We have secured multi-year and seasonal time charter contracts for eight of our operating ships, the nine ships owned by the Partnership, the bareboat vessel and our five newbuildings on order, while five of our ships are operating in the spot/short-term market. As of December 31, 2016 these contracts are expected to provide total contracted revenue of $3.6 billion during their initial terms, which expire between 2018 and 2029.</w:t>
      </w:r>
    </w:p>
    <w:p>
      <w:pPr>
        <w:spacing w:after="0" w:line="56"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 xml:space="preserve">We also have a 25.0% interest in an additional ship, 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9"/>
          <w:szCs w:val="19"/>
          <w:i w:val="1"/>
          <w:iCs w:val="1"/>
          <w:color w:val="auto"/>
        </w:rPr>
        <w:t>Methane Nile Eagle.</w:t>
      </w:r>
    </w:p>
    <w:p>
      <w:pPr>
        <w:spacing w:after="0" w:line="68" w:lineRule="exact"/>
        <w:rPr>
          <w:sz w:val="20"/>
          <w:szCs w:val="20"/>
          <w:color w:val="auto"/>
        </w:rPr>
      </w:pPr>
    </w:p>
    <w:p>
      <w:pPr>
        <w:ind w:right="180" w:firstLine="357"/>
        <w:spacing w:after="0" w:line="302" w:lineRule="auto"/>
        <w:rPr>
          <w:sz w:val="20"/>
          <w:szCs w:val="20"/>
          <w:color w:val="auto"/>
        </w:rPr>
      </w:pPr>
      <w:r>
        <w:rPr>
          <w:rFonts w:ascii="Arial" w:cs="Arial" w:eastAsia="Arial" w:hAnsi="Arial"/>
          <w:sz w:val="17"/>
          <w:szCs w:val="17"/>
          <w:color w:val="auto"/>
        </w:rPr>
        <w:t>We generate revenues by chartering our ships to customers on multi-year time charters, seasonal time charters and spot/short-term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(the “CODM”) being the Chief Executive Officer, reviews the Group’s operating results on a consolidated basis as one operating segment.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Known Trends</w:t>
      </w:r>
    </w:p>
    <w:p>
      <w:pPr>
        <w:spacing w:after="0" w:line="125" w:lineRule="exact"/>
        <w:rPr>
          <w:sz w:val="20"/>
          <w:szCs w:val="20"/>
          <w:color w:val="auto"/>
        </w:rPr>
      </w:pPr>
    </w:p>
    <w:p>
      <w:pPr>
        <w:ind w:right="120" w:firstLine="357"/>
        <w:spacing w:after="0" w:line="313" w:lineRule="auto"/>
        <w:rPr>
          <w:sz w:val="20"/>
          <w:szCs w:val="20"/>
          <w:color w:val="auto"/>
        </w:rPr>
      </w:pPr>
      <w:r>
        <w:rPr>
          <w:rFonts w:ascii="Arial" w:cs="Arial" w:eastAsia="Arial" w:hAnsi="Arial"/>
          <w:sz w:val="17"/>
          <w:szCs w:val="17"/>
          <w:color w:val="auto"/>
        </w:rPr>
        <w:t>As referenced in the Risk Factors above, global crude oil prices have been depressed since 2014. This has in turn applied downward pressure on natural gas prices and led to a narrowing of the gap in pricing in different geographic regions, which has adversely affected the length of voyages in the spot LNG shipping market and the spot rates and medium term charter rates for charters which commence in the near future.</w:t>
      </w:r>
    </w:p>
    <w:p>
      <w:pPr>
        <w:spacing w:after="0" w:line="3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In the shorter-term shipping market in the fourth quarter 2016, brokers reported that spot rates in the Atlantic Basin increased to approximately $45,000 per day, with one end of year fixture reported above $50,000. The catalyst was greater ton-mile demand with many cargoes going from the U.S. to Asia through the Panama Canal. Spot charter terms have also improved with round trip economics now seen on some short term voyages. In the Pacific Basin, reported rates were lower at around $38,000 per day than the Atlantic, largely due to the greater availability of vessels during the period.</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During the fourth quarter of 2016, U.S. natural gas prices increased 30% to $4 per million British thermal units (“mmbtu”). However, Northeast Asian LNG prices rose by 60% to approximately $10 per mmbtu due to a cold start to winter in key demand centers such as Japan, China and Korea. Destination flexibility allowed offtakers to send more LNG cargos to Asia, which increased ton-mile demand. For 2016 in total, there were approximately 275 short term fixtures, an increase of more than 50% over 2015. Whilst it is too early to predict a sustained recovery we believe that fundamentals continue to point to a recovery, through 2017 and beyond.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ind w:right="20" w:firstLine="357"/>
        <w:spacing w:after="0" w:line="289" w:lineRule="auto"/>
        <w:rPr>
          <w:sz w:val="20"/>
          <w:szCs w:val="20"/>
          <w:color w:val="auto"/>
        </w:rPr>
      </w:pPr>
      <w:r>
        <w:rPr>
          <w:rFonts w:ascii="Arial" w:cs="Arial" w:eastAsia="Arial" w:hAnsi="Arial"/>
          <w:sz w:val="17"/>
          <w:szCs w:val="17"/>
          <w:color w:val="auto"/>
        </w:rPr>
        <w:t>In the longer term, there remain uncertainties in the legacy of several years of low oil prices: oil may undermine natural gas as a fuel for power generation, although natural gas may in turn become more attractive than coal, nuclear and renewables. Amidst this uncertainty, some production companies have announced delays or cancellations of previously-announced LNG projects that, unless offset by new projects coming on stream, could adversely affect demand for LNG charters over the next few years. And although there is broad market consensus that LNG ship demand is expected to outstrip ship supply over the next few years, delays to start up or unexpected downtime of LNG supply projects may reduce demand and increase supply. Reduced demand for LNG or LNG shipping, or any reduction or limitation in LNG production capacity, could have a material adverse effect on our ability to secure future time charters at attractive rates and durations upon expiration or early termination of our current charter arrangements, for any ships for which we have not yet secured charters or for any new ships we acquire, which could harm our business, financial condition, results of operations and cash flows, including cash available for dividends to shareholders.</w:t>
      </w:r>
    </w:p>
    <w:p>
      <w:pPr>
        <w:spacing w:after="0" w:line="56" w:lineRule="exact"/>
        <w:rPr>
          <w:sz w:val="20"/>
          <w:szCs w:val="20"/>
          <w:color w:val="auto"/>
        </w:rPr>
      </w:pPr>
    </w:p>
    <w:p>
      <w:pPr>
        <w:ind w:right="180" w:firstLine="357"/>
        <w:spacing w:after="0" w:line="256" w:lineRule="auto"/>
        <w:rPr>
          <w:sz w:val="20"/>
          <w:szCs w:val="20"/>
          <w:color w:val="auto"/>
        </w:rPr>
      </w:pPr>
      <w:r>
        <w:rPr>
          <w:rFonts w:ascii="Arial" w:cs="Arial" w:eastAsia="Arial" w:hAnsi="Arial"/>
          <w:sz w:val="19"/>
          <w:szCs w:val="19"/>
          <w:color w:val="auto"/>
        </w:rPr>
        <w:t>Depending on prevailing LNG charter market conditions, we may have difficulty in securing renewed or new charters at attractive rates and durations on ships when their multi-year charters expire. Such a failure could adversely affect our future liquidity, results of operations and cash flows, including cash available for dividends to shareholders, as well as our ability to meet certain of our debt covenants. A sustained decline in charter rates could also adversely affect the market value of our ships, on which certain of the ratios and financial covenants we are required to comply with are based. However, in 2017, we expect projects coming onstream will add approximately 25 million tonnes (annualized, mtpa) of new liquefaction capacity in both Australia and the U.S., and a further ~100 mtpa from 2018 to 2020. Although much of the shipping required to transport this additional volume has been contracted and is currently under construction, encouraging levels of tendering activity are being noted and we continue to see a future shortfall of vessels that will be required for the Australian and U.S. projects that have taken final investment decision (“FID”).</w:t>
      </w:r>
    </w:p>
    <w:p>
      <w:pPr>
        <w:spacing w:after="0" w:line="77"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In the fourth quarter 2016, there were several announcements which highlighted continued growth of LNG supply and shipping demand. BP committed to purchase 100% of the LNG produced by ENI’s Coral South Floating LNG (“FLNG”) facility. The facility is expected to be installed offshore Mozambique and to have a capacity of approximately 3.3 million tonnes per annum (“mtpa”). This commitment allowed ENI to authorize development of the project. BP also announced an investment of approximately $1 billion to develop gas reserves offshore Mauritania and Senegal and to create a new LNG hub in Africa. PETRONAS’ 1.2 mtpa Malaysian FLNG facility was one of eight LNG liquefaction projects that successfully came online in 2016 (others include Sabine Pass, Australia Pacific, Gladstone and Gorgon). Total announced a $207 million investment in Tellurian’s Driftwood LNG project. Finally, the rising LNG supply in the quarter was slightly offset by a supply outage at Chevron’s Gorgon facility where Train 1 was shut down for maintenance.</w:t>
      </w:r>
    </w:p>
    <w:p>
      <w:pPr>
        <w:spacing w:after="0" w:line="80"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During the quarter, there were also several announcements for new FSRUs. These projects continue the trend of new and existing importing nations selecting FSRUs, which are typically quicker to market and more flexible than land-based terminals.</w:t>
      </w:r>
    </w:p>
    <w:p>
      <w:pPr>
        <w:spacing w:after="0" w:line="52" w:lineRule="exact"/>
        <w:rPr>
          <w:sz w:val="20"/>
          <w:szCs w:val="20"/>
          <w:color w:val="auto"/>
        </w:rPr>
      </w:pPr>
    </w:p>
    <w:p>
      <w:pPr>
        <w:ind w:right="360" w:firstLine="357"/>
        <w:spacing w:after="0" w:line="257" w:lineRule="auto"/>
        <w:rPr>
          <w:sz w:val="20"/>
          <w:szCs w:val="20"/>
          <w:color w:val="auto"/>
        </w:rPr>
      </w:pPr>
      <w:r>
        <w:rPr>
          <w:rFonts w:ascii="Arial" w:cs="Arial" w:eastAsia="Arial" w:hAnsi="Arial"/>
          <w:sz w:val="19"/>
          <w:szCs w:val="19"/>
          <w:color w:val="auto"/>
        </w:rPr>
        <w:t>Global Energy Infrastructure Limited signed a 20-year FSRU charter for its LNG import project in Port Qasim, Pakistan. This will be the third FSRU in Port Qasim, demonstrating the growing demand in the region. The CI-GNL (Ivory Coast LNG) consortium led by Total was awarded the rights to build and operate a 3 mtpa FSRU in the Ivory Coast. The Brazilian gas-to-power Porto de Sergipe Project took FID. In connection with the FID, the project’s sponsor entered into a 25-year FSRU charter agreement. Also in the quarter, Turkey chartered its first FSRU, the GDF Suez Neptune, from the French utility company Engie. There were seven new FSRU awards during the year, a significant increase on previous years, demonstrating the growing demand for offshore re-gasification infrastructure. This compares to around 20 existing FSRU projects in operation around the world today.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A.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Factors Affecting Our Results of Operations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believe the principal factors that will affect our future results of operations include:</w:t>
      </w:r>
    </w:p>
    <w:p>
      <w:pPr>
        <w:spacing w:after="0" w:line="106"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number of LNG carriers in our owned and managed fleets;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timely delivery of our ships under construction;</w:t>
      </w:r>
    </w:p>
    <w:p>
      <w:pPr>
        <w:spacing w:after="0" w:line="105"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our ability to maintain good working relationships with our existing customers and our ability to increase the number of our customers through the development of new working relationships;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performance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supply-demand relationship for LNG shipping services;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our ability to successfully re-employ the ships we own, including our LNG carriers on order, at economically attractive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effective and efficient technical management of the ships under our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our ability to obtain acceptable debt financing in respect of our capital commitments;</w:t>
      </w:r>
    </w:p>
    <w:p>
      <w:pPr>
        <w:spacing w:after="0" w:line="105" w:lineRule="exact"/>
        <w:rPr>
          <w:rFonts w:ascii="Arial" w:cs="Arial" w:eastAsia="Arial" w:hAnsi="Arial"/>
          <w:sz w:val="19"/>
          <w:szCs w:val="19"/>
          <w:color w:val="auto"/>
        </w:rPr>
      </w:pPr>
    </w:p>
    <w:p>
      <w:pPr>
        <w:ind w:left="540" w:right="460" w:hanging="168"/>
        <w:spacing w:after="0" w:line="283"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our ability to obtain and maintain regulatory approvals and to satisfy technical, health, safety and compliance standards that meet our customers’ requirements; and</w:t>
      </w:r>
    </w:p>
    <w:p>
      <w:pPr>
        <w:spacing w:after="0" w:line="38" w:lineRule="exact"/>
        <w:rPr>
          <w:rFonts w:ascii="Arial" w:cs="Arial" w:eastAsia="Arial" w:hAnsi="Arial"/>
          <w:sz w:val="19"/>
          <w:szCs w:val="19"/>
          <w:color w:val="auto"/>
        </w:rPr>
      </w:pPr>
    </w:p>
    <w:p>
      <w:pPr>
        <w:ind w:left="540" w:right="260" w:hanging="168"/>
        <w:spacing w:after="0" w:line="267"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economic, regulatory, political and governmental conditions that affect shipping and the LNG industry, which include changes in the number of new LNG importing countries and regions, as well as structural LNG market changes impacting LNG supply that may allow greater flexibility and competition of other energy sources with global LNG use.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 to the general factors discussed above, we believe certain specific factors have impacted, or will impact, our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These factors include:</w:t>
      </w:r>
    </w:p>
    <w:p>
      <w:pPr>
        <w:spacing w:after="0" w:line="90" w:lineRule="exact"/>
        <w:rPr>
          <w:sz w:val="20"/>
          <w:szCs w:val="20"/>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hire rate earned by our owned ships;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unscheduled off-hire days;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fees we receive for construction supervision and technical ship management services;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level of our ship operating expenses, including crewing costs, insurance and maintenance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our access to capital required to acquire additional ships and/or to implement our business strategy;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our level of debt, the related interest expense and the timing of required payments of principal;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mark-to-market changes in interest rate swaps and foreign currency fluctuations;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level of our general and administrative expenses, including salaries and costs of consultants.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Principal Components of Revenues and Expenses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06"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t>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cost increases. See “Item 4. Information on the Company—B. Business Overview—Ship Time Charters—Hire Rate Provisions” for a more detailed discussion of the hire rate provisions of our charter contracts.</w:t>
      </w:r>
    </w:p>
    <w:p>
      <w:pPr>
        <w:spacing w:after="0" w:line="62" w:lineRule="exact"/>
        <w:rPr>
          <w:sz w:val="20"/>
          <w:szCs w:val="20"/>
          <w:color w:val="auto"/>
        </w:rPr>
      </w:pPr>
    </w:p>
    <w:p>
      <w:pPr>
        <w:ind w:right="200" w:firstLine="357"/>
        <w:spacing w:after="0" w:line="259" w:lineRule="auto"/>
        <w:rPr>
          <w:sz w:val="20"/>
          <w:szCs w:val="20"/>
          <w:color w:val="auto"/>
        </w:rPr>
      </w:pPr>
      <w:r>
        <w:rPr>
          <w:rFonts w:ascii="Arial" w:cs="Arial" w:eastAsia="Arial" w:hAnsi="Arial"/>
          <w:sz w:val="19"/>
          <w:szCs w:val="19"/>
          <w:color w:val="auto"/>
        </w:rPr>
        <w:t>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77" w:lineRule="exact"/>
        <w:rPr>
          <w:sz w:val="20"/>
          <w:szCs w:val="20"/>
          <w:color w:val="auto"/>
        </w:rPr>
      </w:pPr>
    </w:p>
    <w:p>
      <w:pPr>
        <w:ind w:firstLine="357"/>
        <w:spacing w:after="0" w:line="284" w:lineRule="auto"/>
        <w:rPr>
          <w:sz w:val="20"/>
          <w:szCs w:val="20"/>
          <w:color w:val="auto"/>
        </w:rPr>
      </w:pPr>
      <w:r>
        <w:rPr>
          <w:rFonts w:ascii="Arial" w:cs="Arial" w:eastAsia="Arial" w:hAnsi="Arial"/>
          <w:sz w:val="17"/>
          <w:szCs w:val="17"/>
          <w:color w:val="auto"/>
        </w:rPr>
        <w:t xml:space="preserve">The table below provides additional information about our contracted charter revenues based on contracts in effect as of December 31, 2016 for (a) the eight ships in our wholly owned fleet, the nine ships in the GasLog Partners’ fleet and the bareboat vessel for which we have secured time charters and (b) our five newbuildings on order. Other than the assumptions reflected in the footnotes to the table, including our assumption that our newbuildings are delivered on schedule, the table does not reflect events occurring after December 31, 2016. The table reflects only our contracted charter revenues for the ships in our owned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7"/>
          <w:szCs w:val="17"/>
          <w:i w:val="1"/>
          <w:iCs w:val="1"/>
          <w:color w:val="auto"/>
        </w:rPr>
        <w:t>GasLog Singapore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Chelsea</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Savannah</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Saratoga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Salem </w:t>
      </w:r>
      <w:r>
        <w:rPr>
          <w:rFonts w:ascii="Arial" w:cs="Arial" w:eastAsia="Arial" w:hAnsi="Arial"/>
          <w:sz w:val="17"/>
          <w:szCs w:val="17"/>
          <w:color w:val="auto"/>
        </w:rPr>
        <w:t>that are operating in the Cool Pool, any additional ships we may acquire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future, nor does it reflect the options under our time charters that permit our charterers to extend the time charter terms for successive multi-year periods. The entry into time charter contracts for the </w:t>
      </w:r>
      <w:r>
        <w:rPr>
          <w:rFonts w:ascii="Arial" w:cs="Arial" w:eastAsia="Arial" w:hAnsi="Arial"/>
          <w:sz w:val="17"/>
          <w:szCs w:val="17"/>
          <w:i w:val="1"/>
          <w:iCs w:val="1"/>
          <w:color w:val="auto"/>
        </w:rPr>
        <w:t>GasLog Singapore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Chelsea</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Savannah</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Saratoga,</w:t>
      </w:r>
      <w:r>
        <w:rPr>
          <w:rFonts w:ascii="Arial" w:cs="Arial" w:eastAsia="Arial" w:hAnsi="Arial"/>
          <w:sz w:val="17"/>
          <w:szCs w:val="17"/>
          <w:color w:val="auto"/>
        </w:rPr>
        <w:t xml:space="preserve"> the </w:t>
      </w:r>
      <w:r>
        <w:rPr>
          <w:rFonts w:ascii="Arial" w:cs="Arial" w:eastAsia="Arial" w:hAnsi="Arial"/>
          <w:sz w:val="17"/>
          <w:szCs w:val="17"/>
          <w:i w:val="1"/>
          <w:iCs w:val="1"/>
          <w:color w:val="auto"/>
        </w:rPr>
        <w:t xml:space="preserve">GasLog Salem </w:t>
      </w:r>
      <w:r>
        <w:rPr>
          <w:rFonts w:ascii="Arial" w:cs="Arial" w:eastAsia="Arial" w:hAnsi="Arial"/>
          <w:sz w:val="17"/>
          <w:szCs w:val="17"/>
          <w:color w:val="auto"/>
        </w:rPr>
        <w:t>and any additional ships we may acquire or the exercise of options extending the terms of our existing charters, would result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below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9"/>
          <w:szCs w:val="19"/>
          <w:b w:val="1"/>
          <w:bCs w:val="1"/>
          <w:color w:val="auto"/>
        </w:rPr>
        <w:t>Contracted Charter Revenues and Days from Time Charters as of December 31, 2016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6"/>
          </w:tcPr>
          <w:p>
            <w:pPr>
              <w:jc w:val="right"/>
              <w:ind w:right="901"/>
              <w:spacing w:after="0"/>
              <w:rPr>
                <w:sz w:val="20"/>
                <w:szCs w:val="20"/>
                <w:color w:val="auto"/>
              </w:rPr>
            </w:pPr>
            <w:r>
              <w:rPr>
                <w:rFonts w:ascii="Arial" w:cs="Arial" w:eastAsia="Arial" w:hAnsi="Arial"/>
                <w:sz w:val="16"/>
                <w:szCs w:val="16"/>
                <w:b w:val="1"/>
                <w:bCs w:val="1"/>
                <w:color w:val="auto"/>
                <w:w w:val="99"/>
              </w:rPr>
              <w:t>For the Year Ending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9"/>
        </w:trPr>
        <w:tc>
          <w:tcPr>
            <w:tcW w:w="4540" w:type="dxa"/>
            <w:vAlign w:val="bottom"/>
          </w:tcPr>
          <w:p>
            <w:pPr>
              <w:spacing w:after="0"/>
              <w:rPr>
                <w:sz w:val="14"/>
                <w:szCs w:val="14"/>
                <w:color w:val="auto"/>
              </w:rPr>
            </w:pPr>
          </w:p>
        </w:tc>
        <w:tc>
          <w:tcPr>
            <w:tcW w:w="84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2021-2029</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41"/>
              <w:spacing w:after="0" w:line="169" w:lineRule="exact"/>
              <w:rPr>
                <w:sz w:val="20"/>
                <w:szCs w:val="20"/>
                <w:color w:val="auto"/>
              </w:rPr>
            </w:pPr>
            <w:r>
              <w:rPr>
                <w:rFonts w:ascii="Arial" w:cs="Arial" w:eastAsia="Arial" w:hAnsi="Arial"/>
                <w:sz w:val="16"/>
                <w:szCs w:val="16"/>
                <w:b w:val="1"/>
                <w:bCs w:val="1"/>
                <w:color w:val="auto"/>
              </w:rPr>
              <w:t>Total</w:t>
            </w:r>
          </w:p>
        </w:tc>
      </w:tr>
      <w:tr>
        <w:trPr>
          <w:trHeight w:val="237"/>
        </w:trPr>
        <w:tc>
          <w:tcPr>
            <w:tcW w:w="4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7"/>
          </w:tcPr>
          <w:p>
            <w:pPr>
              <w:jc w:val="right"/>
              <w:ind w:right="161"/>
              <w:spacing w:after="0"/>
              <w:rPr>
                <w:sz w:val="20"/>
                <w:szCs w:val="20"/>
                <w:color w:val="auto"/>
              </w:rPr>
            </w:pPr>
            <w:r>
              <w:rPr>
                <w:rFonts w:ascii="Arial" w:cs="Arial" w:eastAsia="Arial" w:hAnsi="Arial"/>
                <w:sz w:val="16"/>
                <w:szCs w:val="16"/>
                <w:b w:val="1"/>
                <w:bCs w:val="1"/>
                <w:color w:val="auto"/>
                <w:w w:val="96"/>
              </w:rPr>
              <w:t>(in millions of U.S. dollars, except days and percentages)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4540" w:type="dxa"/>
            <w:vAlign w:val="bottom"/>
            <w:shd w:val="clear" w:color="auto" w:fill="E5FFFF"/>
          </w:tcPr>
          <w:p>
            <w:pPr>
              <w:spacing w:after="0"/>
              <w:rPr>
                <w:sz w:val="20"/>
                <w:szCs w:val="20"/>
                <w:color w:val="auto"/>
              </w:rPr>
            </w:pPr>
            <w:r>
              <w:rPr>
                <w:rFonts w:ascii="Arial" w:cs="Arial" w:eastAsia="Arial" w:hAnsi="Arial"/>
                <w:sz w:val="19"/>
                <w:szCs w:val="19"/>
                <w:color w:val="auto"/>
              </w:rPr>
              <w:t>Contracted time charter revenues</w:t>
            </w:r>
            <w:r>
              <w:rPr>
                <w:rFonts w:ascii="Arial" w:cs="Arial" w:eastAsia="Arial" w:hAnsi="Arial"/>
                <w:sz w:val="10"/>
                <w:szCs w:val="10"/>
                <w:color w:val="auto"/>
              </w:rPr>
              <w:t>(1)</w:t>
            </w:r>
          </w:p>
        </w:tc>
        <w:tc>
          <w:tcPr>
            <w:tcW w:w="84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w w:val="86"/>
              </w:rPr>
              <w:t>$ 474.70</w:t>
            </w:r>
          </w:p>
        </w:tc>
        <w:tc>
          <w:tcPr>
            <w:tcW w:w="116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$ 465.83</w:t>
            </w:r>
          </w:p>
        </w:tc>
        <w:tc>
          <w:tcPr>
            <w:tcW w:w="114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$ 486.50</w:t>
            </w:r>
          </w:p>
        </w:tc>
        <w:tc>
          <w:tcPr>
            <w:tcW w:w="114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$ 444.43</w:t>
            </w:r>
          </w:p>
        </w:tc>
        <w:tc>
          <w:tcPr>
            <w:tcW w:w="130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$ 1,699.98</w:t>
            </w:r>
          </w:p>
        </w:tc>
        <w:tc>
          <w:tcPr>
            <w:tcW w:w="130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$ 3,571.44</w:t>
            </w:r>
          </w:p>
        </w:tc>
      </w:tr>
      <w:tr>
        <w:trPr>
          <w:trHeight w:val="243"/>
        </w:trPr>
        <w:tc>
          <w:tcPr>
            <w:tcW w:w="4540" w:type="dxa"/>
            <w:vAlign w:val="bottom"/>
          </w:tcPr>
          <w:p>
            <w:pPr>
              <w:spacing w:after="0"/>
              <w:rPr>
                <w:sz w:val="20"/>
                <w:szCs w:val="20"/>
                <w:color w:val="auto"/>
              </w:rPr>
            </w:pPr>
            <w:r>
              <w:rPr>
                <w:rFonts w:ascii="Arial" w:cs="Arial" w:eastAsia="Arial" w:hAnsi="Arial"/>
                <w:sz w:val="19"/>
                <w:szCs w:val="19"/>
                <w:color w:val="auto"/>
              </w:rPr>
              <w:t>Total contracted days</w:t>
            </w:r>
            <w:r>
              <w:rPr>
                <w:rFonts w:ascii="Arial" w:cs="Arial" w:eastAsia="Arial" w:hAnsi="Arial"/>
                <w:sz w:val="10"/>
                <w:szCs w:val="10"/>
                <w:color w:val="auto"/>
              </w:rPr>
              <w:t>(1)</w:t>
            </w:r>
          </w:p>
        </w:tc>
        <w:tc>
          <w:tcPr>
            <w:tcW w:w="840" w:type="dxa"/>
            <w:vAlign w:val="bottom"/>
          </w:tcPr>
          <w:p>
            <w:pPr>
              <w:jc w:val="right"/>
              <w:ind w:right="86"/>
              <w:spacing w:after="0"/>
              <w:rPr>
                <w:sz w:val="20"/>
                <w:szCs w:val="20"/>
                <w:color w:val="auto"/>
              </w:rPr>
            </w:pPr>
            <w:r>
              <w:rPr>
                <w:rFonts w:ascii="Arial" w:cs="Arial" w:eastAsia="Arial" w:hAnsi="Arial"/>
                <w:sz w:val="19"/>
                <w:szCs w:val="19"/>
                <w:color w:val="auto"/>
              </w:rPr>
              <w:t>6,387</w:t>
            </w:r>
          </w:p>
        </w:tc>
        <w:tc>
          <w:tcPr>
            <w:tcW w:w="1160" w:type="dxa"/>
            <w:vAlign w:val="bottom"/>
            <w:gridSpan w:val="2"/>
          </w:tcPr>
          <w:p>
            <w:pPr>
              <w:jc w:val="right"/>
              <w:ind w:right="101"/>
              <w:spacing w:after="0"/>
              <w:rPr>
                <w:sz w:val="20"/>
                <w:szCs w:val="20"/>
                <w:color w:val="auto"/>
              </w:rPr>
            </w:pPr>
            <w:r>
              <w:rPr>
                <w:rFonts w:ascii="Arial" w:cs="Arial" w:eastAsia="Arial" w:hAnsi="Arial"/>
                <w:sz w:val="19"/>
                <w:szCs w:val="19"/>
                <w:color w:val="auto"/>
              </w:rPr>
              <w:t>6,258</w:t>
            </w:r>
          </w:p>
        </w:tc>
        <w:tc>
          <w:tcPr>
            <w:tcW w:w="1140" w:type="dxa"/>
            <w:vAlign w:val="bottom"/>
            <w:gridSpan w:val="2"/>
          </w:tcPr>
          <w:p>
            <w:pPr>
              <w:jc w:val="right"/>
              <w:ind w:right="101"/>
              <w:spacing w:after="0"/>
              <w:rPr>
                <w:sz w:val="20"/>
                <w:szCs w:val="20"/>
                <w:color w:val="auto"/>
              </w:rPr>
            </w:pPr>
            <w:r>
              <w:rPr>
                <w:rFonts w:ascii="Arial" w:cs="Arial" w:eastAsia="Arial" w:hAnsi="Arial"/>
                <w:sz w:val="19"/>
                <w:szCs w:val="19"/>
                <w:color w:val="auto"/>
              </w:rPr>
              <w:t>6,463</w:t>
            </w:r>
          </w:p>
        </w:tc>
        <w:tc>
          <w:tcPr>
            <w:tcW w:w="1140" w:type="dxa"/>
            <w:vAlign w:val="bottom"/>
            <w:gridSpan w:val="2"/>
          </w:tcPr>
          <w:p>
            <w:pPr>
              <w:jc w:val="right"/>
              <w:ind w:right="81"/>
              <w:spacing w:after="0"/>
              <w:rPr>
                <w:sz w:val="20"/>
                <w:szCs w:val="20"/>
                <w:color w:val="auto"/>
              </w:rPr>
            </w:pPr>
            <w:r>
              <w:rPr>
                <w:rFonts w:ascii="Arial" w:cs="Arial" w:eastAsia="Arial" w:hAnsi="Arial"/>
                <w:sz w:val="19"/>
                <w:szCs w:val="19"/>
                <w:color w:val="auto"/>
              </w:rPr>
              <w:t>5,738</w:t>
            </w:r>
          </w:p>
        </w:tc>
        <w:tc>
          <w:tcPr>
            <w:tcW w:w="1300" w:type="dxa"/>
            <w:vAlign w:val="bottom"/>
            <w:gridSpan w:val="2"/>
          </w:tcPr>
          <w:p>
            <w:pPr>
              <w:jc w:val="right"/>
              <w:ind w:right="101"/>
              <w:spacing w:after="0"/>
              <w:rPr>
                <w:sz w:val="20"/>
                <w:szCs w:val="20"/>
                <w:color w:val="auto"/>
              </w:rPr>
            </w:pPr>
            <w:r>
              <w:rPr>
                <w:rFonts w:ascii="Arial" w:cs="Arial" w:eastAsia="Arial" w:hAnsi="Arial"/>
                <w:sz w:val="19"/>
                <w:szCs w:val="19"/>
                <w:color w:val="auto"/>
              </w:rPr>
              <w:t>20,805</w:t>
            </w:r>
          </w:p>
        </w:tc>
        <w:tc>
          <w:tcPr>
            <w:tcW w:w="1300" w:type="dxa"/>
            <w:vAlign w:val="bottom"/>
            <w:gridSpan w:val="2"/>
          </w:tcPr>
          <w:p>
            <w:pPr>
              <w:jc w:val="right"/>
              <w:ind w:right="101"/>
              <w:spacing w:after="0"/>
              <w:rPr>
                <w:sz w:val="20"/>
                <w:szCs w:val="20"/>
                <w:color w:val="auto"/>
              </w:rPr>
            </w:pPr>
            <w:r>
              <w:rPr>
                <w:rFonts w:ascii="Arial" w:cs="Arial" w:eastAsia="Arial" w:hAnsi="Arial"/>
                <w:sz w:val="19"/>
                <w:szCs w:val="19"/>
                <w:color w:val="auto"/>
              </w:rPr>
              <w:t>45,651</w:t>
            </w:r>
          </w:p>
        </w:tc>
      </w:tr>
      <w:tr>
        <w:trPr>
          <w:trHeight w:val="243"/>
        </w:trPr>
        <w:tc>
          <w:tcPr>
            <w:tcW w:w="4540" w:type="dxa"/>
            <w:vAlign w:val="bottom"/>
            <w:shd w:val="clear" w:color="auto" w:fill="E5FFFF"/>
          </w:tcPr>
          <w:p>
            <w:pPr>
              <w:spacing w:after="0"/>
              <w:rPr>
                <w:sz w:val="20"/>
                <w:szCs w:val="20"/>
                <w:color w:val="auto"/>
              </w:rPr>
            </w:pPr>
            <w:r>
              <w:rPr>
                <w:rFonts w:ascii="Arial" w:cs="Arial" w:eastAsia="Arial" w:hAnsi="Arial"/>
                <w:sz w:val="19"/>
                <w:szCs w:val="19"/>
                <w:color w:val="auto"/>
              </w:rPr>
              <w:t>Total available days</w:t>
            </w:r>
            <w:r>
              <w:rPr>
                <w:rFonts w:ascii="Arial" w:cs="Arial" w:eastAsia="Arial" w:hAnsi="Arial"/>
                <w:sz w:val="10"/>
                <w:szCs w:val="10"/>
                <w:color w:val="auto"/>
              </w:rPr>
              <w:t>(2)</w:t>
            </w:r>
          </w:p>
        </w:tc>
        <w:tc>
          <w:tcPr>
            <w:tcW w:w="84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8,365</w:t>
            </w:r>
          </w:p>
        </w:tc>
        <w:tc>
          <w:tcPr>
            <w:tcW w:w="116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9,216</w:t>
            </w:r>
          </w:p>
        </w:tc>
        <w:tc>
          <w:tcPr>
            <w:tcW w:w="114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9,918</w:t>
            </w:r>
          </w:p>
        </w:tc>
        <w:tc>
          <w:tcPr>
            <w:tcW w:w="114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9,978</w:t>
            </w:r>
          </w:p>
        </w:tc>
        <w:tc>
          <w:tcPr>
            <w:tcW w:w="130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90,625</w:t>
            </w:r>
          </w:p>
        </w:tc>
        <w:tc>
          <w:tcPr>
            <w:tcW w:w="130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128,102</w:t>
            </w:r>
          </w:p>
        </w:tc>
      </w:tr>
      <w:tr>
        <w:trPr>
          <w:trHeight w:val="243"/>
        </w:trPr>
        <w:tc>
          <w:tcPr>
            <w:tcW w:w="4540" w:type="dxa"/>
            <w:vAlign w:val="bottom"/>
          </w:tcPr>
          <w:p>
            <w:pPr>
              <w:spacing w:after="0"/>
              <w:rPr>
                <w:sz w:val="20"/>
                <w:szCs w:val="20"/>
                <w:color w:val="auto"/>
              </w:rPr>
            </w:pPr>
            <w:r>
              <w:rPr>
                <w:rFonts w:ascii="Arial" w:cs="Arial" w:eastAsia="Arial" w:hAnsi="Arial"/>
                <w:sz w:val="19"/>
                <w:szCs w:val="19"/>
                <w:color w:val="auto"/>
              </w:rPr>
              <w:t>Total unfixed days</w:t>
            </w:r>
            <w:r>
              <w:rPr>
                <w:rFonts w:ascii="Arial" w:cs="Arial" w:eastAsia="Arial" w:hAnsi="Arial"/>
                <w:sz w:val="10"/>
                <w:szCs w:val="10"/>
                <w:color w:val="auto"/>
              </w:rPr>
              <w:t>(3)</w:t>
            </w:r>
          </w:p>
        </w:tc>
        <w:tc>
          <w:tcPr>
            <w:tcW w:w="840" w:type="dxa"/>
            <w:vAlign w:val="bottom"/>
          </w:tcPr>
          <w:p>
            <w:pPr>
              <w:jc w:val="right"/>
              <w:ind w:right="86"/>
              <w:spacing w:after="0"/>
              <w:rPr>
                <w:sz w:val="20"/>
                <w:szCs w:val="20"/>
                <w:color w:val="auto"/>
              </w:rPr>
            </w:pPr>
            <w:r>
              <w:rPr>
                <w:rFonts w:ascii="Arial" w:cs="Arial" w:eastAsia="Arial" w:hAnsi="Arial"/>
                <w:sz w:val="19"/>
                <w:szCs w:val="19"/>
                <w:color w:val="auto"/>
              </w:rPr>
              <w:t>1,978</w:t>
            </w:r>
          </w:p>
        </w:tc>
        <w:tc>
          <w:tcPr>
            <w:tcW w:w="1160" w:type="dxa"/>
            <w:vAlign w:val="bottom"/>
            <w:gridSpan w:val="2"/>
          </w:tcPr>
          <w:p>
            <w:pPr>
              <w:jc w:val="right"/>
              <w:ind w:right="101"/>
              <w:spacing w:after="0"/>
              <w:rPr>
                <w:sz w:val="20"/>
                <w:szCs w:val="20"/>
                <w:color w:val="auto"/>
              </w:rPr>
            </w:pPr>
            <w:r>
              <w:rPr>
                <w:rFonts w:ascii="Arial" w:cs="Arial" w:eastAsia="Arial" w:hAnsi="Arial"/>
                <w:sz w:val="19"/>
                <w:szCs w:val="19"/>
                <w:color w:val="auto"/>
              </w:rPr>
              <w:t>2,958</w:t>
            </w:r>
          </w:p>
        </w:tc>
        <w:tc>
          <w:tcPr>
            <w:tcW w:w="1140" w:type="dxa"/>
            <w:vAlign w:val="bottom"/>
            <w:gridSpan w:val="2"/>
          </w:tcPr>
          <w:p>
            <w:pPr>
              <w:jc w:val="right"/>
              <w:ind w:right="101"/>
              <w:spacing w:after="0"/>
              <w:rPr>
                <w:sz w:val="20"/>
                <w:szCs w:val="20"/>
                <w:color w:val="auto"/>
              </w:rPr>
            </w:pPr>
            <w:r>
              <w:rPr>
                <w:rFonts w:ascii="Arial" w:cs="Arial" w:eastAsia="Arial" w:hAnsi="Arial"/>
                <w:sz w:val="19"/>
                <w:szCs w:val="19"/>
                <w:color w:val="auto"/>
              </w:rPr>
              <w:t>3,455</w:t>
            </w:r>
          </w:p>
        </w:tc>
        <w:tc>
          <w:tcPr>
            <w:tcW w:w="1140" w:type="dxa"/>
            <w:vAlign w:val="bottom"/>
            <w:gridSpan w:val="2"/>
          </w:tcPr>
          <w:p>
            <w:pPr>
              <w:jc w:val="right"/>
              <w:ind w:right="81"/>
              <w:spacing w:after="0"/>
              <w:rPr>
                <w:sz w:val="20"/>
                <w:szCs w:val="20"/>
                <w:color w:val="auto"/>
              </w:rPr>
            </w:pPr>
            <w:r>
              <w:rPr>
                <w:rFonts w:ascii="Arial" w:cs="Arial" w:eastAsia="Arial" w:hAnsi="Arial"/>
                <w:sz w:val="19"/>
                <w:szCs w:val="19"/>
                <w:color w:val="auto"/>
              </w:rPr>
              <w:t>4,240</w:t>
            </w:r>
          </w:p>
        </w:tc>
        <w:tc>
          <w:tcPr>
            <w:tcW w:w="1300" w:type="dxa"/>
            <w:vAlign w:val="bottom"/>
            <w:gridSpan w:val="2"/>
          </w:tcPr>
          <w:p>
            <w:pPr>
              <w:jc w:val="right"/>
              <w:ind w:right="101"/>
              <w:spacing w:after="0"/>
              <w:rPr>
                <w:sz w:val="20"/>
                <w:szCs w:val="20"/>
                <w:color w:val="auto"/>
              </w:rPr>
            </w:pPr>
            <w:r>
              <w:rPr>
                <w:rFonts w:ascii="Arial" w:cs="Arial" w:eastAsia="Arial" w:hAnsi="Arial"/>
                <w:sz w:val="19"/>
                <w:szCs w:val="19"/>
                <w:color w:val="auto"/>
              </w:rPr>
              <w:t>69,820</w:t>
            </w:r>
          </w:p>
        </w:tc>
        <w:tc>
          <w:tcPr>
            <w:tcW w:w="1300" w:type="dxa"/>
            <w:vAlign w:val="bottom"/>
            <w:gridSpan w:val="2"/>
          </w:tcPr>
          <w:p>
            <w:pPr>
              <w:jc w:val="right"/>
              <w:ind w:right="101"/>
              <w:spacing w:after="0"/>
              <w:rPr>
                <w:sz w:val="20"/>
                <w:szCs w:val="20"/>
                <w:color w:val="auto"/>
              </w:rPr>
            </w:pPr>
            <w:r>
              <w:rPr>
                <w:rFonts w:ascii="Arial" w:cs="Arial" w:eastAsia="Arial" w:hAnsi="Arial"/>
                <w:sz w:val="19"/>
                <w:szCs w:val="19"/>
                <w:color w:val="auto"/>
              </w:rPr>
              <w:t>82,451</w:t>
            </w:r>
          </w:p>
        </w:tc>
      </w:tr>
      <w:tr>
        <w:trPr>
          <w:trHeight w:val="216"/>
        </w:trPr>
        <w:tc>
          <w:tcPr>
            <w:tcW w:w="45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Percentage of total contracted days/total available</w:t>
            </w:r>
          </w:p>
        </w:tc>
        <w:tc>
          <w:tcPr>
            <w:tcW w:w="8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r>
      <w:tr>
        <w:trPr>
          <w:trHeight w:val="243"/>
        </w:trPr>
        <w:tc>
          <w:tcPr>
            <w:tcW w:w="45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days</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76.35%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67.90%</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65.16%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57.51%</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22.96%</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35.64%</w:t>
            </w:r>
          </w:p>
        </w:tc>
      </w:tr>
    </w:tbl>
    <w:p>
      <w:pPr>
        <w:spacing w:after="0" w:line="304" w:lineRule="exact"/>
        <w:rPr>
          <w:sz w:val="20"/>
          <w:szCs w:val="20"/>
          <w:color w:val="auto"/>
        </w:rPr>
      </w:pPr>
    </w:p>
    <w:p>
      <w:pPr>
        <w:ind w:left="280" w:right="20" w:hanging="200"/>
        <w:spacing w:after="0" w:line="233" w:lineRule="auto"/>
        <w:tabs>
          <w:tab w:leader="none" w:pos="280" w:val="left"/>
        </w:tabs>
        <w:numPr>
          <w:ilvl w:val="0"/>
          <w:numId w:val="42"/>
        </w:numPr>
        <w:rPr>
          <w:rFonts w:ascii="Arial" w:cs="Arial" w:eastAsia="Arial" w:hAnsi="Arial"/>
          <w:sz w:val="9"/>
          <w:szCs w:val="9"/>
          <w:color w:val="auto"/>
        </w:rPr>
      </w:pPr>
      <w:r>
        <w:rPr>
          <w:rFonts w:ascii="Arial" w:cs="Arial" w:eastAsia="Arial" w:hAnsi="Arial"/>
          <w:sz w:val="16"/>
          <w:szCs w:val="16"/>
          <w:color w:val="auto"/>
        </w:rPr>
        <w:t xml:space="preserve">Reflects time charter revenues and contracted days for eight of our wholly owned ships, the nine ships owned by the Partnership, the bareboat vessel, and our five newbuildings on order for which we have secured time charters. Does not include charter revenues for the vessels operating in the spot/short-term market under the Cool Pool agreement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in which we hold a 25.0%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70" w:lineRule="exact"/>
        <w:rPr>
          <w:rFonts w:ascii="Arial" w:cs="Arial" w:eastAsia="Arial" w:hAnsi="Arial"/>
          <w:sz w:val="9"/>
          <w:szCs w:val="9"/>
          <w:color w:val="auto"/>
        </w:rPr>
      </w:pPr>
    </w:p>
    <w:p>
      <w:pPr>
        <w:ind w:left="280" w:hanging="200"/>
        <w:spacing w:after="0" w:line="251" w:lineRule="auto"/>
        <w:tabs>
          <w:tab w:leader="none" w:pos="280" w:val="left"/>
        </w:tabs>
        <w:numPr>
          <w:ilvl w:val="0"/>
          <w:numId w:val="42"/>
        </w:numPr>
        <w:rPr>
          <w:rFonts w:ascii="Arial" w:cs="Arial" w:eastAsia="Arial" w:hAnsi="Arial"/>
          <w:sz w:val="9"/>
          <w:szCs w:val="9"/>
          <w:color w:val="auto"/>
        </w:rPr>
      </w:pPr>
      <w:r>
        <w:rPr>
          <w:rFonts w:ascii="Arial" w:cs="Arial" w:eastAsia="Arial" w:hAnsi="Arial"/>
          <w:sz w:val="16"/>
          <w:szCs w:val="16"/>
          <w:color w:val="auto"/>
        </w:rPr>
        <w:t>Available days represent total calendar days after deducting 30 off-hire days when the ship undergoes scheduled dry-docking. The available days for the vessels operating in the spot/short-term market are included.</w:t>
      </w:r>
    </w:p>
    <w:p>
      <w:pPr>
        <w:spacing w:after="0" w:line="60" w:lineRule="exact"/>
        <w:rPr>
          <w:rFonts w:ascii="Arial" w:cs="Arial" w:eastAsia="Arial" w:hAnsi="Arial"/>
          <w:sz w:val="9"/>
          <w:szCs w:val="9"/>
          <w:color w:val="auto"/>
        </w:rPr>
      </w:pPr>
    </w:p>
    <w:p>
      <w:pPr>
        <w:ind w:left="280" w:right="20" w:hanging="200"/>
        <w:spacing w:after="0" w:line="251" w:lineRule="auto"/>
        <w:tabs>
          <w:tab w:leader="none" w:pos="280" w:val="left"/>
        </w:tabs>
        <w:numPr>
          <w:ilvl w:val="0"/>
          <w:numId w:val="42"/>
        </w:numPr>
        <w:rPr>
          <w:rFonts w:ascii="Arial" w:cs="Arial" w:eastAsia="Arial" w:hAnsi="Arial"/>
          <w:sz w:val="9"/>
          <w:szCs w:val="9"/>
          <w:color w:val="auto"/>
        </w:rPr>
      </w:pPr>
      <w:r>
        <w:rPr>
          <w:rFonts w:ascii="Arial" w:cs="Arial" w:eastAsia="Arial" w:hAnsi="Arial"/>
          <w:sz w:val="16"/>
          <w:szCs w:val="16"/>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81"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77"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Revenue from ship management and ship construction project supervision contracts is recognized in the statement of profit or loss when earned and when it is probable that future economic benefits will flow to us and such benefits can be measured reliably.</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Vessel Operating and Supervision Costs</w:t>
      </w:r>
    </w:p>
    <w:p>
      <w:pPr>
        <w:spacing w:after="0" w:line="10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Our charters contain provisions that significantly reduce our exposure to increases in operating costs, including review provisions and cost pass-through provisions. Ship operating expenses are recognized as expenses when incurred.</w:t>
      </w:r>
    </w:p>
    <w:p>
      <w:pPr>
        <w:spacing w:after="0" w:line="62" w:lineRule="exact"/>
        <w:rPr>
          <w:sz w:val="20"/>
          <w:szCs w:val="20"/>
          <w:color w:val="auto"/>
        </w:rPr>
      </w:pPr>
    </w:p>
    <w:p>
      <w:pPr>
        <w:ind w:right="340" w:firstLine="357"/>
        <w:spacing w:after="0" w:line="259" w:lineRule="auto"/>
        <w:rPr>
          <w:sz w:val="20"/>
          <w:szCs w:val="20"/>
          <w:color w:val="auto"/>
        </w:rPr>
      </w:pPr>
      <w:r>
        <w:rPr>
          <w:rFonts w:ascii="Arial" w:cs="Arial" w:eastAsia="Arial" w:hAnsi="Arial"/>
          <w:sz w:val="19"/>
          <w:szCs w:val="19"/>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inter-segment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77"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Vessel operating and supervision costs of GasLog LNG Services include staff costs, such as salaries, social security and training for the technical management team and project specialists, and project-related expenses.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6" w:name="page67"/>
    <w:bookmarkEnd w:id="66"/>
    <w:p>
      <w:pPr>
        <w:spacing w:after="0"/>
        <w:rPr>
          <w:sz w:val="20"/>
          <w:szCs w:val="20"/>
          <w:color w:val="auto"/>
        </w:rPr>
      </w:pPr>
      <w:r>
        <w:rPr>
          <w:rFonts w:ascii="Arial" w:cs="Arial" w:eastAsia="Arial" w:hAnsi="Arial"/>
          <w:sz w:val="19"/>
          <w:szCs w:val="19"/>
          <w:b w:val="1"/>
          <w:bCs w:val="1"/>
          <w:i w:val="1"/>
          <w:iCs w:val="1"/>
          <w:color w:val="auto"/>
        </w:rPr>
        <w:t>Voyage Expenses and Commissions</w:t>
      </w:r>
    </w:p>
    <w:p>
      <w:pPr>
        <w:spacing w:after="0" w:line="119"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68" w:lineRule="exact"/>
        <w:rPr>
          <w:sz w:val="20"/>
          <w:szCs w:val="20"/>
          <w:color w:val="auto"/>
        </w:rPr>
      </w:pPr>
    </w:p>
    <w:p>
      <w:pPr>
        <w:ind w:right="440" w:firstLine="357"/>
        <w:spacing w:after="0" w:line="267" w:lineRule="auto"/>
        <w:rPr>
          <w:sz w:val="20"/>
          <w:szCs w:val="20"/>
          <w:color w:val="auto"/>
        </w:rPr>
      </w:pPr>
      <w:r>
        <w:rPr>
          <w:rFonts w:ascii="Arial" w:cs="Arial" w:eastAsia="Arial" w:hAnsi="Arial"/>
          <w:sz w:val="19"/>
          <w:szCs w:val="19"/>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68"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Furthermore, in relation to the vessels participating in the Cool Pool, 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w:t>
      </w:r>
    </w:p>
    <w:p>
      <w:pPr>
        <w:spacing w:after="0" w:line="77" w:lineRule="exact"/>
        <w:rPr>
          <w:sz w:val="20"/>
          <w:szCs w:val="20"/>
          <w:color w:val="auto"/>
        </w:rPr>
      </w:pPr>
    </w:p>
    <w:p>
      <w:pPr>
        <w:ind w:right="80" w:firstLine="357"/>
        <w:spacing w:after="0" w:line="275" w:lineRule="auto"/>
        <w:rPr>
          <w:sz w:val="20"/>
          <w:szCs w:val="20"/>
          <w:color w:val="auto"/>
        </w:rPr>
      </w:pPr>
      <w:r>
        <w:rPr>
          <w:rFonts w:ascii="Arial" w:cs="Arial" w:eastAsia="Arial" w:hAnsi="Arial"/>
          <w:sz w:val="18"/>
          <w:szCs w:val="18"/>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unless we determine to dry-dock the ships at an earlier date. In the event a ship is dry-docked at an earlier date, the unamortized dry-docking component is written off immediately.</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19"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General and administrative expenses consist principally of personnel costs for administrative and support staff, board of directors fees, expense recognized in connection with share-based compensation, rent, utilities, travel expenses, legal expenses, other professional services and consultants, training for crew familiarization and other advisor costs.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Costs</w:t>
      </w:r>
    </w:p>
    <w:p>
      <w:pPr>
        <w:spacing w:after="0" w:line="119"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For a description of our credit facilities, including our loan agreements, see “Item 5. Operating and Financial Review and Prospects—B. Liquidity and Capital Resources—Credit Facilities”.</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67" w:name="page68"/>
    <w:bookmarkEnd w:id="67"/>
    <w:p>
      <w:pPr>
        <w:jc w:val="both"/>
        <w:ind w:right="120" w:firstLine="357"/>
        <w:spacing w:after="0" w:line="267" w:lineRule="auto"/>
        <w:rPr>
          <w:sz w:val="20"/>
          <w:szCs w:val="20"/>
          <w:color w:val="auto"/>
        </w:rPr>
      </w:pPr>
      <w:r>
        <w:rPr>
          <w:rFonts w:ascii="Arial" w:cs="Arial" w:eastAsia="Arial" w:hAnsi="Arial"/>
          <w:sz w:val="19"/>
          <w:szCs w:val="19"/>
          <w:color w:val="auto"/>
        </w:rPr>
        <w:t>Interest expense and the amortization of loan issuance costs that relate directly to a specific loan to finance a LNG carrier under construction and are incurred during the construction period are capitalized as part of the cost of the ship. Otherwise, interest expense and amortization of loan issuance costs are expensed as incurred.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Income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Interest income is recognized on an accrual basis.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Gain/(Loss) on Interest Rate Swaps</w:t>
      </w:r>
    </w:p>
    <w:p>
      <w:pPr>
        <w:spacing w:after="0" w:line="119" w:lineRule="exact"/>
        <w:rPr>
          <w:sz w:val="20"/>
          <w:szCs w:val="20"/>
          <w:color w:val="auto"/>
        </w:rPr>
      </w:pPr>
    </w:p>
    <w:p>
      <w:pPr>
        <w:jc w:val="both"/>
        <w:ind w:right="280" w:firstLine="357"/>
        <w:spacing w:after="0" w:line="281" w:lineRule="auto"/>
        <w:rPr>
          <w:sz w:val="20"/>
          <w:szCs w:val="20"/>
          <w:color w:val="auto"/>
        </w:rPr>
      </w:pPr>
      <w:r>
        <w:rPr>
          <w:rFonts w:ascii="Arial" w:cs="Arial" w:eastAsia="Arial" w:hAnsi="Arial"/>
          <w:sz w:val="18"/>
          <w:szCs w:val="18"/>
          <w:color w:val="auto"/>
        </w:rPr>
        <w:t>Any gain or loss derived from the fair value of the swaps at their inception, the ineffective portion of changes in the fair value of the swaps that meet hedge accounting criteria, net interest on interest rate swaps held for trading, the movement in the fair value of the interest rate swaps that have not been designated as hedges and the amortization of the cumulative unrealized loss for the interest rate swaps that hedge accounting was discontinued are presented as gain or loss on interest rate swaps in our consolidated statements of profit or loss.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 of Profit of Associate</w:t>
      </w:r>
    </w:p>
    <w:p>
      <w:pPr>
        <w:spacing w:after="0" w:line="119"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 xml:space="preserve">The share of profit of associate consists of our share of profits from our 25.0% ownership interest in Egypt LNG, a Bermuda exempted company whose principal asset is the LNG carrier </w:t>
      </w:r>
      <w:r>
        <w:rPr>
          <w:rFonts w:ascii="Arial" w:cs="Arial" w:eastAsia="Arial" w:hAnsi="Arial"/>
          <w:sz w:val="19"/>
          <w:szCs w:val="19"/>
          <w:i w:val="1"/>
          <w:iCs w:val="1"/>
          <w:color w:val="auto"/>
        </w:rPr>
        <w:t>Methane Nile Eagle.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Ended December 31, 2015 Compared to Year Ended December 31, 2016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w w:val="87"/>
              </w:rPr>
              <w:t>Year ended December 31,</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5"/>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4"/>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w w:val="91"/>
              </w:rPr>
              <w:t>Change</w:t>
            </w:r>
          </w:p>
        </w:tc>
      </w:tr>
      <w:tr>
        <w:trPr>
          <w:trHeight w:val="223"/>
        </w:trPr>
        <w:tc>
          <w:tcPr>
            <w:tcW w:w="20" w:type="dxa"/>
            <w:vAlign w:val="bottom"/>
          </w:tcPr>
          <w:p>
            <w:pPr>
              <w:spacing w:after="0"/>
              <w:rPr>
                <w:sz w:val="19"/>
                <w:szCs w:val="19"/>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Amounts are in thousands of U.S. Dollars</w:t>
            </w:r>
          </w:p>
        </w:tc>
        <w:tc>
          <w:tcPr>
            <w:tcW w:w="18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r>
      <w:tr>
        <w:trPr>
          <w:trHeight w:val="243"/>
        </w:trPr>
        <w:tc>
          <w:tcPr>
            <w:tcW w:w="7880" w:type="dxa"/>
            <w:vAlign w:val="bottom"/>
            <w:gridSpan w:val="2"/>
          </w:tcPr>
          <w:p>
            <w:pPr>
              <w:spacing w:after="0"/>
              <w:rPr>
                <w:sz w:val="20"/>
                <w:szCs w:val="20"/>
                <w:color w:val="auto"/>
              </w:rPr>
            </w:pPr>
            <w:r>
              <w:rPr>
                <w:rFonts w:ascii="Arial" w:cs="Arial" w:eastAsia="Arial" w:hAnsi="Arial"/>
                <w:sz w:val="19"/>
                <w:szCs w:val="19"/>
                <w:color w:val="auto"/>
              </w:rPr>
              <w:t>Revenues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415,078</w:t>
            </w:r>
          </w:p>
        </w:tc>
        <w:tc>
          <w:tcPr>
            <w:tcW w:w="4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466,059</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ind w:right="4"/>
              <w:spacing w:after="0"/>
              <w:rPr>
                <w:sz w:val="20"/>
                <w:szCs w:val="20"/>
                <w:color w:val="auto"/>
              </w:rPr>
            </w:pPr>
            <w:r>
              <w:rPr>
                <w:rFonts w:ascii="Arial" w:cs="Arial" w:eastAsia="Arial" w:hAnsi="Arial"/>
                <w:sz w:val="19"/>
                <w:szCs w:val="19"/>
                <w:color w:val="auto"/>
              </w:rPr>
              <w:t>50,981</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Vessel operating and supervision costs</w:t>
            </w: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(98,552)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(112,632)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(14,080)</w:t>
            </w:r>
          </w:p>
        </w:tc>
      </w:tr>
      <w:tr>
        <w:trPr>
          <w:trHeight w:val="243"/>
        </w:trPr>
        <w:tc>
          <w:tcPr>
            <w:tcW w:w="7880" w:type="dxa"/>
            <w:vAlign w:val="bottom"/>
            <w:gridSpan w:val="2"/>
          </w:tcPr>
          <w:p>
            <w:pPr>
              <w:spacing w:after="0"/>
              <w:rPr>
                <w:sz w:val="20"/>
                <w:szCs w:val="20"/>
                <w:color w:val="auto"/>
              </w:rPr>
            </w:pPr>
            <w:r>
              <w:rPr>
                <w:rFonts w:ascii="Arial" w:cs="Arial" w:eastAsia="Arial" w:hAnsi="Arial"/>
                <w:sz w:val="19"/>
                <w:szCs w:val="19"/>
                <w:color w:val="auto"/>
              </w:rPr>
              <w:t>Voyage expenses and commissions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(14,290)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(15,184)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(894)</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Depreciation</w:t>
            </w: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(106,641)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(122,957)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(16,316)</w:t>
            </w:r>
          </w:p>
        </w:tc>
      </w:tr>
      <w:tr>
        <w:trPr>
          <w:trHeight w:val="250"/>
        </w:trPr>
        <w:tc>
          <w:tcPr>
            <w:tcW w:w="7880" w:type="dxa"/>
            <w:vAlign w:val="bottom"/>
            <w:gridSpan w:val="2"/>
          </w:tcPr>
          <w:p>
            <w:pPr>
              <w:spacing w:after="0"/>
              <w:rPr>
                <w:sz w:val="20"/>
                <w:szCs w:val="20"/>
                <w:color w:val="auto"/>
              </w:rPr>
            </w:pPr>
            <w:r>
              <w:rPr>
                <w:rFonts w:ascii="Arial" w:cs="Arial" w:eastAsia="Arial" w:hAnsi="Arial"/>
                <w:sz w:val="19"/>
                <w:szCs w:val="19"/>
                <w:color w:val="auto"/>
              </w:rPr>
              <w:t>General and administrative expenses.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(41,282)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(38,642)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2,640</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from operations</w:t>
            </w: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154,313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176,644</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b w:val="1"/>
                <w:bCs w:val="1"/>
                <w:color w:val="auto"/>
              </w:rPr>
              <w:t>22,331</w:t>
            </w:r>
          </w:p>
        </w:tc>
      </w:tr>
      <w:tr>
        <w:trPr>
          <w:trHeight w:val="250"/>
        </w:trPr>
        <w:tc>
          <w:tcPr>
            <w:tcW w:w="7880" w:type="dxa"/>
            <w:vAlign w:val="bottom"/>
            <w:gridSpan w:val="2"/>
          </w:tcPr>
          <w:p>
            <w:pPr>
              <w:spacing w:after="0"/>
              <w:rPr>
                <w:sz w:val="20"/>
                <w:szCs w:val="20"/>
                <w:color w:val="auto"/>
              </w:rPr>
            </w:pPr>
            <w:r>
              <w:rPr>
                <w:rFonts w:ascii="Arial" w:cs="Arial" w:eastAsia="Arial" w:hAnsi="Arial"/>
                <w:sz w:val="19"/>
                <w:szCs w:val="19"/>
                <w:color w:val="auto"/>
              </w:rPr>
              <w:t>Financial costs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(91,956)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98"/>
              </w:rPr>
              <w:t>(137,316)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(45,360)</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Financial income</w:t>
            </w: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293</w:t>
            </w:r>
          </w:p>
        </w:tc>
      </w:tr>
      <w:tr>
        <w:trPr>
          <w:trHeight w:val="243"/>
        </w:trPr>
        <w:tc>
          <w:tcPr>
            <w:tcW w:w="7880" w:type="dxa"/>
            <w:vAlign w:val="bottom"/>
            <w:gridSpan w:val="2"/>
          </w:tcPr>
          <w:p>
            <w:pPr>
              <w:spacing w:after="0"/>
              <w:rPr>
                <w:sz w:val="20"/>
                <w:szCs w:val="20"/>
                <w:color w:val="auto"/>
              </w:rPr>
            </w:pPr>
            <w:r>
              <w:rPr>
                <w:rFonts w:ascii="Arial" w:cs="Arial" w:eastAsia="Arial" w:hAnsi="Arial"/>
                <w:sz w:val="19"/>
                <w:szCs w:val="19"/>
                <w:color w:val="auto"/>
              </w:rPr>
              <w:t>Loss on swaps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(10,332)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(13,419)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(3,087)</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Share of profit of associate</w:t>
            </w: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1,216</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1,422</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206</w:t>
            </w:r>
          </w:p>
        </w:tc>
      </w:tr>
      <w:tr>
        <w:trPr>
          <w:trHeight w:val="257"/>
        </w:trPr>
        <w:tc>
          <w:tcPr>
            <w:tcW w:w="7880" w:type="dxa"/>
            <w:vAlign w:val="bottom"/>
            <w:gridSpan w:val="2"/>
          </w:tcPr>
          <w:p>
            <w:pPr>
              <w:spacing w:after="0"/>
              <w:rPr>
                <w:sz w:val="20"/>
                <w:szCs w:val="20"/>
                <w:color w:val="auto"/>
              </w:rPr>
            </w:pPr>
            <w:r>
              <w:rPr>
                <w:rFonts w:ascii="Arial" w:cs="Arial" w:eastAsia="Arial" w:hAnsi="Arial"/>
                <w:sz w:val="19"/>
                <w:szCs w:val="19"/>
                <w:b w:val="1"/>
                <w:bCs w:val="1"/>
                <w:color w:val="auto"/>
              </w:rPr>
              <w:t>Total other expenses, net</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8"/>
              </w:rPr>
              <w:t>(100,645)</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8"/>
              </w:rPr>
              <w:t>(148,593)</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(47,948)</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for the year</w:t>
            </w: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53,668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28,051</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(25,617)</w:t>
            </w:r>
          </w:p>
        </w:tc>
      </w:tr>
      <w:tr>
        <w:trPr>
          <w:trHeight w:val="20"/>
        </w:trPr>
        <w:tc>
          <w:tcPr>
            <w:tcW w:w="7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7880" w:type="dxa"/>
            <w:vAlign w:val="bottom"/>
            <w:gridSpan w:val="2"/>
          </w:tcPr>
          <w:p>
            <w:pPr>
              <w:spacing w:after="0"/>
              <w:rPr>
                <w:sz w:val="20"/>
                <w:szCs w:val="20"/>
                <w:color w:val="auto"/>
              </w:rPr>
            </w:pPr>
            <w:r>
              <w:rPr>
                <w:rFonts w:ascii="Arial" w:cs="Arial" w:eastAsia="Arial" w:hAnsi="Arial"/>
                <w:sz w:val="19"/>
                <w:szCs w:val="19"/>
                <w:color w:val="auto"/>
              </w:rPr>
              <w:t>Non-controlling interest</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42,839</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49,537</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6,698</w:t>
            </w:r>
          </w:p>
        </w:tc>
      </w:tr>
      <w:tr>
        <w:trPr>
          <w:trHeight w:val="243"/>
        </w:trPr>
        <w:tc>
          <w:tcPr>
            <w:tcW w:w="20" w:type="dxa"/>
            <w:vAlign w:val="bottom"/>
          </w:tcPr>
          <w:p>
            <w:pPr>
              <w:spacing w:after="0"/>
              <w:rPr>
                <w:sz w:val="21"/>
                <w:szCs w:val="21"/>
                <w:color w:val="auto"/>
              </w:rPr>
            </w:pPr>
          </w:p>
        </w:tc>
        <w:tc>
          <w:tcPr>
            <w:tcW w:w="78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Profit/(loss) attributable to owners of the Group</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10,829</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b w:val="1"/>
                <w:bCs w:val="1"/>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(21,486)</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75"/>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(32,315)</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During the year ended December 31, 2016, we had an average of 20.7 ships operating in our owned and bareboat fleet (including ships owned by the Partnership), having 7,439 operating days and an average of 23.6 ships operating under our technical management (including 19.7 of our owned and bareboat ships). During the year ended December 31, 2015, we had an average of 18.2 ships operating in our owned fleet having 6,097 operating days and an average of 21.7 ships operating under our technical management (including 17.2 of our owned ships).</w:t>
      </w:r>
    </w:p>
    <w:p>
      <w:pPr>
        <w:spacing w:after="0" w:line="57"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b w:val="1"/>
          <w:bCs w:val="1"/>
          <w:i w:val="1"/>
          <w:iCs w:val="1"/>
          <w:color w:val="auto"/>
        </w:rPr>
        <w:t xml:space="preserve">Revenues: </w:t>
      </w:r>
      <w:r>
        <w:rPr>
          <w:rFonts w:ascii="Arial" w:cs="Arial" w:eastAsia="Arial" w:hAnsi="Arial"/>
          <w:sz w:val="19"/>
          <w:szCs w:val="19"/>
          <w:color w:val="auto"/>
        </w:rPr>
        <w:t>Revenues increased by 12.28%, or $50.98 million, from $415.08 million during the year ended December 31, 2015 to $466.06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during the year ended December 31, 2016.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8" w:name="page69"/>
    <w:bookmarkEnd w:id="68"/>
    <w:p>
      <w:pPr>
        <w:ind w:right="40"/>
        <w:spacing w:after="0" w:line="288" w:lineRule="auto"/>
        <w:rPr>
          <w:sz w:val="20"/>
          <w:szCs w:val="20"/>
          <w:color w:val="auto"/>
        </w:rPr>
      </w:pPr>
      <w:r>
        <w:rPr>
          <w:rFonts w:ascii="Arial" w:cs="Arial" w:eastAsia="Arial" w:hAnsi="Arial"/>
          <w:sz w:val="17"/>
          <w:szCs w:val="17"/>
          <w:color w:val="auto"/>
        </w:rPr>
        <w:t xml:space="preserve">increase is mainly attributable to an increase in revenues of $66.08 million due to the full operation of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Julia Louise </w:t>
      </w:r>
      <w:r>
        <w:rPr>
          <w:rFonts w:ascii="Arial" w:cs="Arial" w:eastAsia="Arial" w:hAnsi="Arial"/>
          <w:sz w:val="17"/>
          <w:szCs w:val="17"/>
          <w:color w:val="auto"/>
        </w:rPr>
        <w:t>which were both acquired from BG Group on March 31, 2015 and the deliveries of the</w:t>
      </w:r>
      <w:r>
        <w:rPr>
          <w:rFonts w:ascii="Arial" w:cs="Arial" w:eastAsia="Arial" w:hAnsi="Arial"/>
          <w:sz w:val="17"/>
          <w:szCs w:val="17"/>
          <w:i w:val="1"/>
          <w:iCs w:val="1"/>
          <w:color w:val="auto"/>
        </w:rPr>
        <w:t xml:space="preserve"> GasLog 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Glasgow</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Gibraltar </w:t>
      </w:r>
      <w:r>
        <w:rPr>
          <w:rFonts w:ascii="Arial" w:cs="Arial" w:eastAsia="Arial" w:hAnsi="Arial"/>
          <w:sz w:val="17"/>
          <w:szCs w:val="17"/>
          <w:color w:val="auto"/>
        </w:rPr>
        <w:t>on March 29, 2016, June 30, 2016, September 30, 2016 and October 31, 2016, respectively. These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and deliveries resulted in an increase in operating days. There was also an increase in revenues of $8.97 million caused mainly by the fewer off-hire days due to scheduled dry-dockings of our vessels in 2016 as compared to 2015. These increases in revenues were partially offset by a decrease of $24.68 million due to the expiration of two charter party agreements in 2016 and a decrease of $1.25 million in earnings from our vessels operating in the spot market, mitigated by a net increase of $2.62 million in revenues from the remaining vessels. The daily hire rate for the year ended December 31, 2015 was $67,650 as compared to $62,400 for the year ended December 31, 2016 affected by the decline in the spot market. There was also a decrease of $0.76 million in revenues from technical management services mainly due to the decrease in the average number of the managed vessels owned by third parties following the acquisition of the two vessels from BG Group.</w:t>
      </w:r>
    </w:p>
    <w:p>
      <w:pPr>
        <w:spacing w:after="0" w:line="58"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b w:val="1"/>
          <w:bCs w:val="1"/>
          <w:i w:val="1"/>
          <w:iCs w:val="1"/>
          <w:color w:val="auto"/>
        </w:rPr>
        <w:t xml:space="preserve">Vessel Operating and Supervision Costs: </w:t>
      </w:r>
      <w:r>
        <w:rPr>
          <w:rFonts w:ascii="Arial" w:cs="Arial" w:eastAsia="Arial" w:hAnsi="Arial"/>
          <w:sz w:val="18"/>
          <w:szCs w:val="18"/>
          <w:color w:val="auto"/>
        </w:rPr>
        <w:t>Vessel operating and supervision costs increased by 14.29%, or $14.08 million, from $98.55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2015, to $112.63 million during the year ended December 31, 2016. The increase is primarily attributable to the increase in our fleet in the year ended December 31, 2016 compared to 2015, as described above, combined with an increase in scheduled technical maintenance expenses such as scheduled main engine overhaulings, various planned repairs, as well as other regulatory periodical certifications, partially offset by decreased vessels’ tax and crew social contributions. As a result, the average daily operating cost per vessel increased from $14,847 per day in 2015 to $15,253 per day in 2016.</w:t>
      </w:r>
    </w:p>
    <w:p>
      <w:pPr>
        <w:spacing w:after="0" w:line="63"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b w:val="1"/>
          <w:bCs w:val="1"/>
          <w:i w:val="1"/>
          <w:iCs w:val="1"/>
          <w:color w:val="auto"/>
        </w:rPr>
        <w:t xml:space="preserve">Voyage Expenses and Commissions: </w:t>
      </w:r>
      <w:r>
        <w:rPr>
          <w:rFonts w:ascii="Arial" w:cs="Arial" w:eastAsia="Arial" w:hAnsi="Arial"/>
          <w:sz w:val="19"/>
          <w:szCs w:val="19"/>
          <w:color w:val="auto"/>
        </w:rPr>
        <w:t>Voyage and commission expenses increased by 6.23%, or $0.89 million, from $14.29 million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 ended December 31, 2015, to $15.18 million during the year ended December 31, 2016. The increase was mainly attributable to the increased operating days in the year ended December 31, 2016 affecting the commissions on revenue.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15.30%, or $16.32 million, from $106.64 million during the year ended December 31, 2015,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$122.96 million during the year ended December 31, 2016. The increase in depreciation resulted mainly from the increase in the average number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of vessels in our fleet in the year ended December 31, 2016, compared to 2015.</w:t>
      </w:r>
    </w:p>
    <w:p>
      <w:pPr>
        <w:spacing w:after="0" w:line="103" w:lineRule="exact"/>
        <w:rPr>
          <w:sz w:val="20"/>
          <w:szCs w:val="20"/>
          <w:color w:val="auto"/>
        </w:rPr>
      </w:pPr>
    </w:p>
    <w:p>
      <w:pPr>
        <w:ind w:right="260" w:firstLine="357"/>
        <w:spacing w:after="0" w:line="259" w:lineRule="auto"/>
        <w:rPr>
          <w:sz w:val="20"/>
          <w:szCs w:val="20"/>
          <w:color w:val="auto"/>
        </w:rPr>
      </w:pPr>
      <w:r>
        <w:rPr>
          <w:rFonts w:ascii="Arial" w:cs="Arial" w:eastAsia="Arial" w:hAnsi="Arial"/>
          <w:sz w:val="19"/>
          <w:szCs w:val="19"/>
          <w:b w:val="1"/>
          <w:bCs w:val="1"/>
          <w:i w:val="1"/>
          <w:iCs w:val="1"/>
          <w:color w:val="auto"/>
        </w:rPr>
        <w:t xml:space="preserve">General and Administrative Expenses: </w:t>
      </w:r>
      <w:r>
        <w:rPr>
          <w:rFonts w:ascii="Arial" w:cs="Arial" w:eastAsia="Arial" w:hAnsi="Arial"/>
          <w:sz w:val="19"/>
          <w:szCs w:val="19"/>
          <w:color w:val="auto"/>
        </w:rPr>
        <w:t>General and administrative expenses decreased by 6.40%, or $2.64 million, from $41.28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year ended December 31, 2015, to $38.64 million during the year ended December 31, 2016. The decrease is mainly attributable to a decrease of $4.21 million in legal fees and other professional services relating mainly to consultancy fees recorded in 2015, which was partially offset by an increase of $1.00 million in non-cash share-based compensation expense and an increase of $0.55 million in net foreign exchange losses.</w:t>
      </w:r>
    </w:p>
    <w:p>
      <w:pPr>
        <w:spacing w:after="0" w:line="77"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b w:val="1"/>
          <w:bCs w:val="1"/>
          <w:i w:val="1"/>
          <w:iCs w:val="1"/>
          <w:color w:val="auto"/>
        </w:rPr>
        <w:t xml:space="preserve">Financial Costs: </w:t>
      </w:r>
      <w:r>
        <w:rPr>
          <w:rFonts w:ascii="Arial" w:cs="Arial" w:eastAsia="Arial" w:hAnsi="Arial"/>
          <w:sz w:val="19"/>
          <w:szCs w:val="19"/>
          <w:color w:val="auto"/>
        </w:rPr>
        <w:t>Financial costs increased by 49.33%, or $45.36 million, from $91.96 million during the year ended December 31, 2015,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$137.32 million during the year ended December 31, 2016. The increase is attributable to (a) an increase of $23.79 million in the amortization of deferred loan fees, mainly driven by (i) a write-off of $18.21 million of unamortized loan fees associated with the six legacy facilities that were refinanced by the Legacy Facility Refinancing, (ii) a $1.84 million write-off of unamortized bond fees and premium as a result of the re-purchase and cancellation of NOK 588 million of bonds in June 2016, (iii) an increase of $2.51 million in the refinanced loan facilities and Bonds and (iv) an increase of $1.23 million in the facilities drawn during 2016, (b) an increase of $8.63 million in interest expense on loans, Bonds and cash flow hedges, (c) an increase of $9.37 million due to finance lease charges in 2016, (d) a loss of $2.12 million arising upon the re-purchase of the NOK 588 million of bonds at a premium in June 2016 and (e) an increase of $1.45 million in other financial costs. During the year ended December 31, 2016, we had an average of $2,452.88 million of outstanding indebtedness, with a weighted average interest rate of 3.54%, while during the year ended December 31, 2015, we had an average of $2,362.58 million of outstanding indebtedness having an aggregate weighted average interest rate of 3.32%. These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weighted average interest rates include interest expense on loans and cash flow hedges and interest expense on Bonds and CCSs.</w:t>
      </w:r>
    </w:p>
    <w:p>
      <w:pPr>
        <w:spacing w:after="0" w:line="119"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b w:val="1"/>
          <w:bCs w:val="1"/>
          <w:i w:val="1"/>
          <w:iCs w:val="1"/>
          <w:color w:val="auto"/>
        </w:rPr>
        <w:t xml:space="preserve">Loss on Swaps: </w:t>
      </w:r>
      <w:r>
        <w:rPr>
          <w:rFonts w:ascii="Arial" w:cs="Arial" w:eastAsia="Arial" w:hAnsi="Arial"/>
          <w:sz w:val="18"/>
          <w:szCs w:val="18"/>
          <w:color w:val="auto"/>
        </w:rPr>
        <w:t>Loss on swaps increased by 29.91%, or $3.09 million, from $10.33 million for the year ended December 31, 2015, to $13.42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The increase in loss is mainly attributable to an increase of $22.22 million in loss that was reclassified from equity to the statement of profit or loss related to the interest rate swaps which were terminated in 2016, offset by a decrease of $18.68 million in loss from mark-to-market valuation of our interest rate swaps carried at fair value through profit or loss, which reflected a gain of $18.53 million for the year ended December 31, 2016 as compared to a loss of $0.15 million for the year ended December 31, 2015 and a decrease of $0.47 million in realized loss from interest rate swaps held for trading.</w:t>
      </w:r>
    </w:p>
    <w:p>
      <w:pPr>
        <w:spacing w:after="0" w:line="63"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b w:val="1"/>
          <w:bCs w:val="1"/>
          <w:i w:val="1"/>
          <w:iCs w:val="1"/>
          <w:color w:val="auto"/>
        </w:rPr>
        <w:t xml:space="preserve">Profit for the Year: </w:t>
      </w:r>
      <w:r>
        <w:rPr>
          <w:rFonts w:ascii="Arial" w:cs="Arial" w:eastAsia="Arial" w:hAnsi="Arial"/>
          <w:sz w:val="19"/>
          <w:szCs w:val="19"/>
          <w:color w:val="auto"/>
        </w:rPr>
        <w:t>Profit decreased by 47.74%, or $25.62 million, from $53.67 million for the year ended December 31, 2015, to $28.05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for the year ended December 31, 2016 as a result of the aforementioned factors.</w:t>
      </w:r>
    </w:p>
    <w:p>
      <w:pPr>
        <w:spacing w:after="0" w:line="52"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b w:val="1"/>
          <w:bCs w:val="1"/>
          <w:i w:val="1"/>
          <w:iCs w:val="1"/>
          <w:color w:val="auto"/>
        </w:rPr>
        <w:t xml:space="preserve">Profit/(Loss) Attributable to Owners of the Group: </w:t>
      </w:r>
      <w:r>
        <w:rPr>
          <w:rFonts w:ascii="Arial" w:cs="Arial" w:eastAsia="Arial" w:hAnsi="Arial"/>
          <w:sz w:val="19"/>
          <w:szCs w:val="19"/>
          <w:color w:val="auto"/>
        </w:rPr>
        <w:t>Profit attributable to owners of the Group decreased by $32.32 million, from a profit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$10.83 million for the year ended December 31, 2015, to a loss of $21.49 million for the year ended December 31, 2016. The decrease in profit attributable to owners of the Group was a result of the aforementioned factors and was also affected by the increase in profit attributable to the non-controlling interest (non-controlling unitholders of GasLog Partners) pursuant to the dropdowns of three vessels to GasLog Partners in July 2015 and one more vessel in November 2016.</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Year Ended December 31, 2014 Compared to Year Ended December 31, 2015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4"/>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w w:val="91"/>
              </w:rPr>
              <w:t>Change</w:t>
            </w:r>
          </w:p>
        </w:tc>
      </w:tr>
      <w:tr>
        <w:trPr>
          <w:trHeight w:val="223"/>
        </w:trPr>
        <w:tc>
          <w:tcPr>
            <w:tcW w:w="20" w:type="dxa"/>
            <w:vAlign w:val="bottom"/>
          </w:tcPr>
          <w:p>
            <w:pPr>
              <w:spacing w:after="0"/>
              <w:rPr>
                <w:sz w:val="19"/>
                <w:szCs w:val="19"/>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Amounts are in thousands of U.S. Dollars</w:t>
            </w:r>
          </w:p>
        </w:tc>
        <w:tc>
          <w:tcPr>
            <w:tcW w:w="16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9"/>
                <w:szCs w:val="19"/>
                <w:color w:val="auto"/>
              </w:rPr>
              <w:t>Revenues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tcPr>
          <w:p>
            <w:pPr>
              <w:jc w:val="right"/>
              <w:spacing w:after="0"/>
              <w:rPr>
                <w:sz w:val="20"/>
                <w:szCs w:val="20"/>
                <w:color w:val="auto"/>
              </w:rPr>
            </w:pPr>
            <w:r>
              <w:rPr>
                <w:rFonts w:ascii="Arial" w:cs="Arial" w:eastAsia="Arial" w:hAnsi="Arial"/>
                <w:sz w:val="19"/>
                <w:szCs w:val="19"/>
                <w:color w:val="auto"/>
                <w:w w:val="93"/>
              </w:rPr>
              <w:t>328,679</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415,078</w:t>
            </w:r>
          </w:p>
        </w:tc>
        <w:tc>
          <w:tcPr>
            <w:tcW w:w="4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86,399</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Vessel operating and supervision costs</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(70,732)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(98,552)</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(27,820)</w:t>
            </w:r>
          </w:p>
        </w:tc>
      </w:tr>
      <w:tr>
        <w:trPr>
          <w:trHeight w:val="243"/>
        </w:trPr>
        <w:tc>
          <w:tcPr>
            <w:tcW w:w="8000" w:type="dxa"/>
            <w:vAlign w:val="bottom"/>
            <w:gridSpan w:val="2"/>
          </w:tcPr>
          <w:p>
            <w:pPr>
              <w:spacing w:after="0"/>
              <w:rPr>
                <w:sz w:val="20"/>
                <w:szCs w:val="20"/>
                <w:color w:val="auto"/>
              </w:rPr>
            </w:pPr>
            <w:r>
              <w:rPr>
                <w:rFonts w:ascii="Arial" w:cs="Arial" w:eastAsia="Arial" w:hAnsi="Arial"/>
                <w:sz w:val="19"/>
                <w:szCs w:val="19"/>
                <w:color w:val="auto"/>
              </w:rPr>
              <w:t>Voyage expenses and commissions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(7,738)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(14,290)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(6,552)</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Depreciation</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(70,695)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(106,641)</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(35,946)</w:t>
            </w:r>
          </w:p>
        </w:tc>
      </w:tr>
      <w:tr>
        <w:trPr>
          <w:trHeight w:val="250"/>
        </w:trPr>
        <w:tc>
          <w:tcPr>
            <w:tcW w:w="8000" w:type="dxa"/>
            <w:vAlign w:val="bottom"/>
            <w:gridSpan w:val="2"/>
          </w:tcPr>
          <w:p>
            <w:pPr>
              <w:spacing w:after="0"/>
              <w:rPr>
                <w:sz w:val="20"/>
                <w:szCs w:val="20"/>
                <w:color w:val="auto"/>
              </w:rPr>
            </w:pPr>
            <w:r>
              <w:rPr>
                <w:rFonts w:ascii="Arial" w:cs="Arial" w:eastAsia="Arial" w:hAnsi="Arial"/>
                <w:sz w:val="19"/>
                <w:szCs w:val="19"/>
                <w:color w:val="auto"/>
              </w:rPr>
              <w:t>General and administrative expenses</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(34,154)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(41,282)</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(7,128)</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from operations</w:t>
            </w: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3"/>
              </w:rPr>
              <w:t>145,360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154,313</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8,953</w:t>
            </w:r>
          </w:p>
        </w:tc>
      </w:tr>
      <w:tr>
        <w:trPr>
          <w:trHeight w:val="250"/>
        </w:trPr>
        <w:tc>
          <w:tcPr>
            <w:tcW w:w="8000" w:type="dxa"/>
            <w:vAlign w:val="bottom"/>
            <w:gridSpan w:val="2"/>
          </w:tcPr>
          <w:p>
            <w:pPr>
              <w:spacing w:after="0"/>
              <w:rPr>
                <w:sz w:val="20"/>
                <w:szCs w:val="20"/>
                <w:color w:val="auto"/>
              </w:rPr>
            </w:pPr>
            <w:r>
              <w:rPr>
                <w:rFonts w:ascii="Arial" w:cs="Arial" w:eastAsia="Arial" w:hAnsi="Arial"/>
                <w:sz w:val="19"/>
                <w:szCs w:val="19"/>
                <w:color w:val="auto"/>
              </w:rPr>
              <w:t>Financial costs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(71,579)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(91,956)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w w:val="98"/>
              </w:rPr>
              <w:t>(20,377)</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Financial income</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427</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w:t>
            </w:r>
          </w:p>
        </w:tc>
      </w:tr>
      <w:tr>
        <w:trPr>
          <w:trHeight w:val="243"/>
        </w:trPr>
        <w:tc>
          <w:tcPr>
            <w:tcW w:w="8000" w:type="dxa"/>
            <w:vAlign w:val="bottom"/>
            <w:gridSpan w:val="2"/>
          </w:tcPr>
          <w:p>
            <w:pPr>
              <w:spacing w:after="0"/>
              <w:rPr>
                <w:sz w:val="20"/>
                <w:szCs w:val="20"/>
                <w:color w:val="auto"/>
              </w:rPr>
            </w:pPr>
            <w:r>
              <w:rPr>
                <w:rFonts w:ascii="Arial" w:cs="Arial" w:eastAsia="Arial" w:hAnsi="Arial"/>
                <w:sz w:val="19"/>
                <w:szCs w:val="19"/>
                <w:color w:val="auto"/>
              </w:rPr>
              <w:t>Loss on swaps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(24,787)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(10,332)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14,455</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Share of profit of associate</w:t>
            </w: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1,497</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1,216</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(281)</w:t>
            </w:r>
          </w:p>
        </w:tc>
      </w:tr>
      <w:tr>
        <w:trPr>
          <w:trHeight w:val="257"/>
        </w:trPr>
        <w:tc>
          <w:tcPr>
            <w:tcW w:w="8000" w:type="dxa"/>
            <w:vAlign w:val="bottom"/>
            <w:gridSpan w:val="2"/>
          </w:tcPr>
          <w:p>
            <w:pPr>
              <w:spacing w:after="0"/>
              <w:rPr>
                <w:sz w:val="20"/>
                <w:szCs w:val="20"/>
                <w:color w:val="auto"/>
              </w:rPr>
            </w:pPr>
            <w:r>
              <w:rPr>
                <w:rFonts w:ascii="Arial" w:cs="Arial" w:eastAsia="Arial" w:hAnsi="Arial"/>
                <w:sz w:val="19"/>
                <w:szCs w:val="19"/>
                <w:b w:val="1"/>
                <w:bCs w:val="1"/>
                <w:color w:val="auto"/>
              </w:rPr>
              <w:t>Total other expenses, net</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(94,595)</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(100,645)</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(6,050)</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for the year</w:t>
            </w: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50,765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53,668</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2,903</w:t>
            </w:r>
          </w:p>
        </w:tc>
      </w:tr>
      <w:tr>
        <w:trPr>
          <w:trHeight w:val="20"/>
        </w:trPr>
        <w:tc>
          <w:tcPr>
            <w:tcW w:w="80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8000" w:type="dxa"/>
            <w:vAlign w:val="bottom"/>
            <w:gridSpan w:val="2"/>
          </w:tcPr>
          <w:p>
            <w:pPr>
              <w:spacing w:after="0"/>
              <w:rPr>
                <w:sz w:val="20"/>
                <w:szCs w:val="20"/>
                <w:color w:val="auto"/>
              </w:rPr>
            </w:pPr>
            <w:r>
              <w:rPr>
                <w:rFonts w:ascii="Arial" w:cs="Arial" w:eastAsia="Arial" w:hAnsi="Arial"/>
                <w:sz w:val="19"/>
                <w:szCs w:val="19"/>
                <w:color w:val="auto"/>
              </w:rPr>
              <w:t>Non-controlling interest</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8,604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42,839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34,235</w:t>
            </w:r>
          </w:p>
        </w:tc>
      </w:tr>
      <w:tr>
        <w:trPr>
          <w:trHeight w:val="243"/>
        </w:trPr>
        <w:tc>
          <w:tcPr>
            <w:tcW w:w="20" w:type="dxa"/>
            <w:vAlign w:val="bottom"/>
          </w:tcPr>
          <w:p>
            <w:pPr>
              <w:spacing w:after="0"/>
              <w:rPr>
                <w:sz w:val="21"/>
                <w:szCs w:val="21"/>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attributable to owners of the Group</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42,161</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b w:val="1"/>
                <w:bCs w:val="1"/>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10,829</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b w:val="1"/>
                <w:bCs w:val="1"/>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8"/>
              </w:rPr>
              <w:t>(31,332)</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During the year ended December 31, 2015, we had an average of 18.2 ships operating in our owned fleet having 6,097 operating days and an average of 21.7 ships operating under our technical management (including 17.2 of our owned ships). During the year ended December 31, 2014, we had an average of 12.4 ships operating in our owned fleet having 4,392 operating days and an average of 20.0 ships operating under our technical management (including our 11.9 owned ships).</w:t>
      </w:r>
    </w:p>
    <w:p>
      <w:pPr>
        <w:spacing w:after="0" w:line="7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b w:val="1"/>
          <w:bCs w:val="1"/>
          <w:i w:val="1"/>
          <w:iCs w:val="1"/>
          <w:color w:val="auto"/>
        </w:rPr>
        <w:t xml:space="preserve">Revenues: </w:t>
      </w:r>
      <w:r>
        <w:rPr>
          <w:rFonts w:ascii="Arial" w:cs="Arial" w:eastAsia="Arial" w:hAnsi="Arial"/>
          <w:sz w:val="19"/>
          <w:szCs w:val="19"/>
          <w:color w:val="auto"/>
        </w:rPr>
        <w:t>Revenues increased by 26.29%, or $86.40 million, from $328.68 million during the year ended December 31, 2014 to $415.08</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million during the year ended December 31, 2015. The increase is mainly attributable to an increase in revenues by $122.02 million due to the full operation of the </w:t>
      </w:r>
      <w:r>
        <w:rPr>
          <w:rFonts w:ascii="Arial" w:cs="Arial" w:eastAsia="Arial" w:hAnsi="Arial"/>
          <w:sz w:val="19"/>
          <w:szCs w:val="19"/>
          <w:i w:val="1"/>
          <w:iCs w:val="1"/>
          <w:color w:val="auto"/>
        </w:rPr>
        <w:t>Methane Rita Andrea</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 Jane Elizabeth</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 Lydon Volney</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 Shirley Elisabeth</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Heather Sally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Methane Alison Victoria </w:t>
      </w:r>
      <w:r>
        <w:rPr>
          <w:rFonts w:ascii="Arial" w:cs="Arial" w:eastAsia="Arial" w:hAnsi="Arial"/>
          <w:sz w:val="19"/>
          <w:szCs w:val="19"/>
          <w:color w:val="auto"/>
        </w:rPr>
        <w:t>which were acquired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0" w:name="page71"/>
    <w:bookmarkEnd w:id="70"/>
    <w:p>
      <w:pPr>
        <w:spacing w:after="0" w:line="271" w:lineRule="auto"/>
        <w:rPr>
          <w:sz w:val="20"/>
          <w:szCs w:val="20"/>
          <w:color w:val="auto"/>
        </w:rPr>
      </w:pPr>
      <w:r>
        <w:rPr>
          <w:rFonts w:ascii="Arial" w:cs="Arial" w:eastAsia="Arial" w:hAnsi="Arial"/>
          <w:sz w:val="18"/>
          <w:szCs w:val="18"/>
          <w:color w:val="auto"/>
        </w:rPr>
        <w:t xml:space="preserve">from BG Group in April 2014 and June 2014,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were both acquired from BG Group on March 31, 2015 and the deliveries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on June 30, 2014, December 16, 2014 and April 30, 2015, respectively. These acquisitions and deliveries resulted in an increase in operating days. The increase in revenues was partially offset by a decrease of $13.61 million in earnings of a vessel operating in the spot market and a decrease of $6.71 million in revenues from all other vessels, as well as a decrease in revenues of $10.20 million caused mainly by the off-hire days due to the dry-dockings of our vessels in 2015, as opposed to only one in 2014. The daily hire rate for the year ended December 31, 2014 was $73,081 as compared to $67,650 for the year ended December 31, 2015 affected by the decline in the spot market. There was also a decrease of $5.10 million in revenues from technical management services mainly due to the decrease in the average number of the managed vessels owned by third parties following the acquisition of the eight vessels from BG Group and the termination of a project with another customer.</w:t>
      </w:r>
    </w:p>
    <w:p>
      <w:pPr>
        <w:spacing w:after="0" w:line="71"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b w:val="1"/>
          <w:bCs w:val="1"/>
          <w:i w:val="1"/>
          <w:iCs w:val="1"/>
          <w:color w:val="auto"/>
        </w:rPr>
        <w:t xml:space="preserve">Vessel Operating and Supervision Costs: </w:t>
      </w:r>
      <w:r>
        <w:rPr>
          <w:rFonts w:ascii="Arial" w:cs="Arial" w:eastAsia="Arial" w:hAnsi="Arial"/>
          <w:sz w:val="19"/>
          <w:szCs w:val="19"/>
          <w:color w:val="auto"/>
        </w:rPr>
        <w:t>Vessel operating and supervision costs increased by 39.33%, or $27.82 million, from $70.73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year ended December 31, 2014, to $98.55 million during the year ended December 31, 2015. The increase is primarily attributable to the increase in our fleet in the year ended December 31, 2015 compared to 2014, as described above and increased technical maintenance expenses mainly due to repairs undertaken during eight dry-dockings in 2015, as opposed to only one in 2014, partially offset by the decreased average daily operating cost per vessel from $15,649 per day in 2014 to $14,847 per day in 2015, reflecting the favorable movement of the EUR/USD exchange rate affecting mainly crew wages.</w:t>
      </w:r>
    </w:p>
    <w:p>
      <w:pPr>
        <w:spacing w:after="0" w:line="76"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Voyage Expenses and Commissions: </w:t>
      </w:r>
      <w:r>
        <w:rPr>
          <w:rFonts w:ascii="Arial" w:cs="Arial" w:eastAsia="Arial" w:hAnsi="Arial"/>
          <w:sz w:val="19"/>
          <w:szCs w:val="19"/>
          <w:color w:val="auto"/>
        </w:rPr>
        <w:t>Voyage and commission expenses increased by 84.63%, or $6.55 million, from $7.74 million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 ended December 31, 2014, to $14.29 million during the year ended December 31, 2015. The increase was mainly attributable to the increased operating days in the year ended December 31, 2015 affecting the commissions on revenue and increased voyage expenses from the vessels operating in the spot market.</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50.83%, or $35.94 million, from $70.70 million during the year ended December 31, 2014,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$106.64 million during the year ended December 31, 2015. The increase in depreciation resulted mainly from the increase in the average number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of vessels in our fleet in the year ended December 31, 2015, compared to 2014.</w:t>
      </w:r>
    </w:p>
    <w:p>
      <w:pPr>
        <w:spacing w:after="0" w:line="103"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b w:val="1"/>
          <w:bCs w:val="1"/>
          <w:i w:val="1"/>
          <w:iCs w:val="1"/>
          <w:color w:val="auto"/>
        </w:rPr>
        <w:t xml:space="preserve">General and Administrative Expenses: </w:t>
      </w:r>
      <w:r>
        <w:rPr>
          <w:rFonts w:ascii="Arial" w:cs="Arial" w:eastAsia="Arial" w:hAnsi="Arial"/>
          <w:sz w:val="19"/>
          <w:szCs w:val="19"/>
          <w:color w:val="auto"/>
        </w:rPr>
        <w:t>General and administrative expenses increased by 20.88%, or $7.13 million, from $34.15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year ended December 31, 2014, to $41.28 million during the year ended December 31, 2015. The increase is mainly attributable to a $3.44 million increase in legal fees and other professional services including those related to the Partnership’s listing requirements, an increase of $0.93 million in personnel related expenses related to the growth of the Group, an increase of $1.02 million in share-based compensation expense, an increase of $0.51 million in board of directors’ fees, an increase of $0.40 million in rent and utilities related to the new offices in London, New York and Singapore and an increase of $0.96 million in net foreign exchange losses. The above increases were partially offset by a decrease of $0.13 million in various other expenses.</w:t>
      </w:r>
    </w:p>
    <w:p>
      <w:pPr>
        <w:spacing w:after="0" w:line="77"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b w:val="1"/>
          <w:bCs w:val="1"/>
          <w:i w:val="1"/>
          <w:iCs w:val="1"/>
          <w:color w:val="auto"/>
        </w:rPr>
        <w:t xml:space="preserve">Financial Costs: </w:t>
      </w:r>
      <w:r>
        <w:rPr>
          <w:rFonts w:ascii="Arial" w:cs="Arial" w:eastAsia="Arial" w:hAnsi="Arial"/>
          <w:sz w:val="17"/>
          <w:szCs w:val="17"/>
          <w:color w:val="auto"/>
        </w:rPr>
        <w:t>Financial costs increased by 28.47%, or $20.38 million, from $71.58 million during the year ended December 31, 2014,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$91.96 million during the year ended December 31, 2015. The increase is mainly attributable to an increase of $26.31 million in interest expense on loans, Bonds and realized loss on cash flow hedges. During the year ended December 31, 2015, we had an average of $2,362.58 million of outstanding indebtedness, including the Bonds, having an aggregate weighted average interest rate of 3.32%, and during the year ended December 31, 2014, we had an average of $1,613.50 million of outstanding indebtedness with a weighted average interest rate of 3.26%. These weighted average interest rates include interest expense on loans and cash flow hedges and interest expense on Bonds and CCSs.</w:t>
      </w:r>
    </w:p>
    <w:p>
      <w:pPr>
        <w:spacing w:after="0" w:line="3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b w:val="1"/>
          <w:bCs w:val="1"/>
          <w:i w:val="1"/>
          <w:iCs w:val="1"/>
          <w:color w:val="auto"/>
        </w:rPr>
        <w:t xml:space="preserve">Loss on Swaps: </w:t>
      </w:r>
      <w:r>
        <w:rPr>
          <w:rFonts w:ascii="Arial" w:cs="Arial" w:eastAsia="Arial" w:hAnsi="Arial"/>
          <w:sz w:val="19"/>
          <w:szCs w:val="19"/>
          <w:color w:val="auto"/>
        </w:rPr>
        <w:t>Loss on swaps decreased by $14.46 million, from $24.79 million for the year ended December 31, 2014, to $10.33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the year ended December 31, 2015. The decrease in loss is mainly attributable to a decrease of $7.72 million in loss from mark-to-market valuation of our interest rate swaps carried at fair value through profit or loss, which reflected a loss of</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1" w:name="page72"/>
    <w:bookmarkEnd w:id="71"/>
    <w:p>
      <w:pPr>
        <w:ind w:right="40"/>
        <w:spacing w:after="0" w:line="297" w:lineRule="auto"/>
        <w:rPr>
          <w:sz w:val="20"/>
          <w:szCs w:val="20"/>
          <w:color w:val="auto"/>
        </w:rPr>
      </w:pPr>
      <w:r>
        <w:rPr>
          <w:rFonts w:ascii="Arial" w:cs="Arial" w:eastAsia="Arial" w:hAnsi="Arial"/>
          <w:sz w:val="17"/>
          <w:szCs w:val="17"/>
          <w:color w:val="auto"/>
        </w:rPr>
        <w:t>$0.15 million for the year ended December 31, 2015 as compared to a loss of $7.87 million for the year ended December 31, 2014, a decrease of $1.41 million in realized loss from interest rate swaps held for trading and a decrease of $5.35 million in loss that was reclassified from equity to the statement of profit or loss related to the interest rate swaps for which hedge accounting was discontinued. In 2015, the loss derived from the fact that the LIBOR yield curve, which was used to calculate the present value of the estimated future cash flows, was lower than the agreed fixed interest rates resulting in an increase in derivative liabilities from interest rate swaps held for trading as compared to December 31, 2014.</w:t>
      </w:r>
    </w:p>
    <w:p>
      <w:pPr>
        <w:spacing w:after="0" w:line="46"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b w:val="1"/>
          <w:bCs w:val="1"/>
          <w:i w:val="1"/>
          <w:iCs w:val="1"/>
          <w:color w:val="auto"/>
        </w:rPr>
        <w:t xml:space="preserve">Profit for the Year: </w:t>
      </w:r>
      <w:r>
        <w:rPr>
          <w:rFonts w:ascii="Arial" w:cs="Arial" w:eastAsia="Arial" w:hAnsi="Arial"/>
          <w:sz w:val="19"/>
          <w:szCs w:val="19"/>
          <w:color w:val="auto"/>
        </w:rPr>
        <w:t>Profit increased by 5.71%, or $2.90 million, from $50.77 million for the year ended December 31, 2014, to $53.67</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for the year ended December 31, 2015 as a result of the aforementioned factors.</w:t>
      </w:r>
    </w:p>
    <w:p>
      <w:pPr>
        <w:spacing w:after="0" w:line="5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b w:val="1"/>
          <w:bCs w:val="1"/>
          <w:i w:val="1"/>
          <w:iCs w:val="1"/>
          <w:color w:val="auto"/>
        </w:rPr>
        <w:t xml:space="preserve">Profit Attributable to Owners of the Group: </w:t>
      </w:r>
      <w:r>
        <w:rPr>
          <w:rFonts w:ascii="Arial" w:cs="Arial" w:eastAsia="Arial" w:hAnsi="Arial"/>
          <w:sz w:val="18"/>
          <w:szCs w:val="18"/>
          <w:color w:val="auto"/>
        </w:rPr>
        <w:t>Profit attributable to owners of the Group decreased by 74.31%, or $31.33 million, from $42.16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2014, to $10.83 million for the year ended December 31, 2015. The decrease in profit attributable to owners of the Group was affected by the increase in profit attributable to the non-controlling interest (non-controlling unitholders of GasLog Partners) which reflects GasLog Partners having been operational for the full financial year in 2015 following its IPO in May 2014.</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w:t>
      </w:r>
    </w:p>
    <w:p>
      <w:pPr>
        <w:spacing w:after="0" w:line="11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the year ended December 31, 2016, we received 94.97% of our revenues from Shell, 4.98% of our revenues from various charterers in the spot/short-term market and 0.05% of our revenues from Egypt LNG. For the year ended December 31, 2015, we received 83.14% of our revenues from BG Group, 11.76% of our revenues from Shell, 4.96% of our revenues from the spot/short-term market and 0.14% of our revenues from Egypt LNG. BG Group was acquired by Shell on February 15, 2016.</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125" w:lineRule="exact"/>
        <w:rPr>
          <w:sz w:val="20"/>
          <w:szCs w:val="20"/>
          <w:color w:val="auto"/>
        </w:rPr>
      </w:pPr>
    </w:p>
    <w:p>
      <w:pPr>
        <w:ind w:right="200" w:firstLine="357"/>
        <w:spacing w:after="0" w:line="289" w:lineRule="auto"/>
        <w:rPr>
          <w:sz w:val="20"/>
          <w:szCs w:val="20"/>
          <w:color w:val="auto"/>
        </w:rPr>
      </w:pPr>
      <w:r>
        <w:rPr>
          <w:rFonts w:ascii="Arial" w:cs="Arial" w:eastAsia="Arial" w:hAnsi="Arial"/>
          <w:sz w:val="18"/>
          <w:szCs w:val="18"/>
          <w:color w:val="auto"/>
        </w:rPr>
        <w:t>Since our owned ships are mainly employed under multi-year, fixed-rate charter arrangements, seasonal trends do not materially impact the revenues earned by our vessels during the year. Seasonality also does not have a significant impact on revenues earned by our management services, as we provide technical ship management and ship construction supervision services under fixed-rate agreements.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Additionally, our business is not subject to seasonal borrowing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Liquidity and Capital Resources</w:t>
      </w:r>
    </w:p>
    <w:p>
      <w:pPr>
        <w:spacing w:after="0" w:line="125"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As of December 31, 2016, GasLog has financed its capital requirements with contributions from its pre-IPO shareholders, proceeds from our IPO and the GasLog Partners’ IPO, proceeds from the 2014, 2015 and 2016 follow-on equity offerings and the private placements, operating cash flows and long-term financings including bank loans and bond offerings. Our primary liquidity needs are to fund our ship-operating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 if any.</w:t>
      </w:r>
    </w:p>
    <w:p>
      <w:pPr>
        <w:spacing w:after="0" w:line="63" w:lineRule="exact"/>
        <w:rPr>
          <w:sz w:val="20"/>
          <w:szCs w:val="20"/>
          <w:color w:val="auto"/>
        </w:rPr>
      </w:pPr>
    </w:p>
    <w:p>
      <w:pPr>
        <w:jc w:val="both"/>
        <w:ind w:right="280" w:firstLine="357"/>
        <w:spacing w:after="0" w:line="262" w:lineRule="auto"/>
        <w:rPr>
          <w:sz w:val="20"/>
          <w:szCs w:val="20"/>
          <w:color w:val="auto"/>
        </w:rPr>
      </w:pPr>
      <w:r>
        <w:rPr>
          <w:rFonts w:ascii="Arial" w:cs="Arial" w:eastAsia="Arial" w:hAnsi="Arial"/>
          <w:sz w:val="19"/>
          <w:szCs w:val="19"/>
          <w:color w:val="auto"/>
        </w:rPr>
        <w:t>We anticipate that our primary sources of funds will be available cash, cash from operations and borrowings under existing and new loan agreements. We may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72"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Our funding and treasury activities are intended to balance investment returns in order to maintain appropriate liquidity. Cash and cash equivalents are held primarily in U.S. dollars. We have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72" w:name="page73"/>
    <w:bookmarkEnd w:id="72"/>
    <w:p>
      <w:pPr>
        <w:ind w:right="40"/>
        <w:spacing w:after="0" w:line="267" w:lineRule="auto"/>
        <w:rPr>
          <w:sz w:val="20"/>
          <w:szCs w:val="20"/>
          <w:color w:val="auto"/>
        </w:rPr>
      </w:pPr>
      <w:r>
        <w:rPr>
          <w:rFonts w:ascii="Arial" w:cs="Arial" w:eastAsia="Arial" w:hAnsi="Arial"/>
          <w:sz w:val="19"/>
          <w:szCs w:val="19"/>
          <w:color w:val="auto"/>
        </w:rPr>
        <w:t>entered into six CCSs to exchange interest payments and principal on maturity on the same terms as the Bonds and designated the CCSs as hedges of the variability of the USD functional currency equivalent cash flows on the Bonds. Refer to Note 25 to our audited consolidated financial statements included elsewhere in this annual report for details on our swap arrangements.</w:t>
      </w:r>
    </w:p>
    <w:p>
      <w:pPr>
        <w:spacing w:after="0" w:line="68"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As of December 31, 2016, we had $227.02 million of cash and cash equivalents, of which $58.25 million was held in time deposits and $0.84 million was held in ship management client accounts. The funds in the ship management client accounts were held on behalf of customers of GasLog LNG Services in order to cover obligations of third party vessels under management. Moreover, as of December 31, 2016, we had $18.0 million held in time deposits with an initial duration of more than three months but less than a year that have been classified as short-term investments.</w:t>
      </w:r>
    </w:p>
    <w:p>
      <w:pPr>
        <w:spacing w:after="0" w:line="77"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 xml:space="preserve">As of December 31, 2016, we had an aggregate of $2.65 billion of indebtedness outstanding under our credit agreements and Bonds, of which $147.45 million was repayable within one year, and a $220.40 million finance lease liability related to the sale and leaseback of the </w:t>
      </w:r>
      <w:r>
        <w:rPr>
          <w:rFonts w:ascii="Arial" w:cs="Arial" w:eastAsia="Arial" w:hAnsi="Arial"/>
          <w:sz w:val="19"/>
          <w:szCs w:val="19"/>
          <w:i w:val="1"/>
          <w:iCs w:val="1"/>
          <w:color w:val="auto"/>
        </w:rPr>
        <w:t>Methane Julia</w:t>
      </w:r>
      <w:r>
        <w:rPr>
          <w:rFonts w:ascii="Arial" w:cs="Arial" w:eastAsia="Arial" w:hAnsi="Arial"/>
          <w:sz w:val="19"/>
          <w:szCs w:val="19"/>
          <w:color w:val="auto"/>
        </w:rPr>
        <w:t xml:space="preserve"> </w:t>
      </w:r>
      <w:r>
        <w:rPr>
          <w:rFonts w:ascii="Arial" w:cs="Arial" w:eastAsia="Arial" w:hAnsi="Arial"/>
          <w:sz w:val="19"/>
          <w:szCs w:val="19"/>
          <w:i w:val="1"/>
          <w:iCs w:val="1"/>
          <w:color w:val="auto"/>
        </w:rPr>
        <w:t>Louise</w:t>
      </w:r>
      <w:r>
        <w:rPr>
          <w:rFonts w:ascii="Arial" w:cs="Arial" w:eastAsia="Arial" w:hAnsi="Arial"/>
          <w:sz w:val="19"/>
          <w:szCs w:val="19"/>
          <w:color w:val="auto"/>
        </w:rPr>
        <w:t>, of which $5.95 million was repayable within one year.</w:t>
      </w:r>
    </w:p>
    <w:p>
      <w:pPr>
        <w:spacing w:after="0" w:line="68"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As of December 31, 2016, we had available amounts not yet drawn of $664.03 million under our debt financing agreement signed in October 2015 to partially finance the delivery of eight newbuildings, since the relevant funds shall be drawn upon the deliveries of four of our remaining newbuildings, expected in 2018 and 2019. Additionally, there was an undrawn amount of $88.36 million under the revolving facility of the Legacy Facility Refinancing, which is available to be drawn and repaid at any time until January 2021 and July 2021, respectively.</w:t>
      </w:r>
    </w:p>
    <w:p>
      <w:pPr>
        <w:spacing w:after="0" w:line="57"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The total contract price for our five newbuildings on order as of December 31, 2016, is approximately $1.04 billion, of which $91.38 million was paid as of December 31, 2016. The balance is payable under each shipbuilding contract in installments upon the attainment of certain specified milestones, with the largest portion of the purchase price for each ship coming due upon its delivery. We are scheduled to take delivery of the five newbuildings on various dates in 2018 and 2019. As of December 31, 2016, the total remaining balance of the contract prices for the five newbuildings was $0.95 billion of which $63.66 million is due within 12 months that will be funded with existing undrawn debt, available cash, cash from operations and other financings we may enter into.</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 A. Consolidated Financial Statements and Other Financial Information—Dividend Policy” for a discussion of risks related to our ability to pay dividends.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Working Capital Position</w:t>
      </w:r>
    </w:p>
    <w:p>
      <w:pPr>
        <w:spacing w:after="0" w:line="125"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We anticipate that our primary sources of funds will be available cash, cash from operations and borrowings under existing and new loan agreements. We may seek to raise additional common or other forms of equity. We believe that these sources of funds will be sufficient to fund our operations, including our working capital requirements, and to make the required principal and interest payments on our indebtedness during the next 12 months; however, there can be no assurance that we will be able to obtain future debt and equity financing on terms acceptable to us.</w:t>
      </w:r>
    </w:p>
    <w:p>
      <w:pPr>
        <w:spacing w:after="0" w:line="43"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As of December 31, 2016, our current assets totaled $270.26 million while current liabilities totaled $262.84 million, resulting in a positive working capital position of $7.42 million.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3" w:name="page74"/>
    <w:bookmarkEnd w:id="73"/>
    <w:p>
      <w:pPr>
        <w:spacing w:after="0"/>
        <w:rPr>
          <w:sz w:val="20"/>
          <w:szCs w:val="20"/>
          <w:color w:val="auto"/>
        </w:rPr>
      </w:pPr>
      <w:r>
        <w:rPr>
          <w:rFonts w:ascii="Arial" w:cs="Arial" w:eastAsia="Arial" w:hAnsi="Arial"/>
          <w:sz w:val="19"/>
          <w:szCs w:val="19"/>
          <w:b w:val="1"/>
          <w:b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ended December 31, 2015 compared to the year ended December 31, 2016</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our net cash flows from operating, investing and financing activities for the periods indicated:</w:t>
      </w: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199"/>
        </w:trPr>
        <w:tc>
          <w:tcPr>
            <w:tcW w:w="6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6"/>
                <w:szCs w:val="16"/>
                <w:b w:val="1"/>
                <w:bCs w:val="1"/>
                <w:color w:val="auto"/>
                <w:w w:val="96"/>
              </w:rPr>
              <w:t>Year ended December 31,</w:t>
            </w:r>
          </w:p>
        </w:tc>
      </w:tr>
      <w:tr>
        <w:trPr>
          <w:trHeight w:val="169"/>
        </w:trPr>
        <w:tc>
          <w:tcPr>
            <w:tcW w:w="6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line="169" w:lineRule="exact"/>
              <w:rPr>
                <w:sz w:val="20"/>
                <w:szCs w:val="20"/>
                <w:color w:val="auto"/>
              </w:rPr>
            </w:pPr>
            <w:r>
              <w:rPr>
                <w:rFonts w:ascii="Arial" w:cs="Arial" w:eastAsia="Arial" w:hAnsi="Arial"/>
                <w:sz w:val="16"/>
                <w:szCs w:val="16"/>
                <w:b w:val="1"/>
                <w:bCs w:val="1"/>
                <w:color w:val="auto"/>
              </w:rPr>
              <w:t>2016</w:t>
            </w:r>
          </w:p>
        </w:tc>
      </w:tr>
      <w:tr>
        <w:trPr>
          <w:trHeight w:val="145"/>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113"/>
              <w:spacing w:after="0" w:line="145" w:lineRule="exact"/>
              <w:rPr>
                <w:sz w:val="20"/>
                <w:szCs w:val="20"/>
                <w:color w:val="auto"/>
              </w:rPr>
            </w:pPr>
            <w:r>
              <w:rPr>
                <w:rFonts w:ascii="Arial" w:cs="Arial" w:eastAsia="Arial" w:hAnsi="Arial"/>
                <w:sz w:val="16"/>
                <w:szCs w:val="16"/>
                <w:b w:val="1"/>
                <w:bCs w:val="1"/>
                <w:color w:val="auto"/>
              </w:rPr>
              <w:t>(in</w:t>
            </w:r>
          </w:p>
        </w:tc>
        <w:tc>
          <w:tcPr>
            <w:tcW w:w="1420" w:type="dxa"/>
            <w:vAlign w:val="bottom"/>
            <w:gridSpan w:val="3"/>
          </w:tcPr>
          <w:p>
            <w:pPr>
              <w:jc w:val="center"/>
              <w:ind w:right="648"/>
              <w:spacing w:after="0" w:line="146" w:lineRule="exact"/>
              <w:rPr>
                <w:sz w:val="20"/>
                <w:szCs w:val="20"/>
                <w:color w:val="auto"/>
              </w:rPr>
            </w:pPr>
            <w:r>
              <w:rPr>
                <w:rFonts w:ascii="Arial" w:cs="Arial" w:eastAsia="Arial" w:hAnsi="Arial"/>
                <w:sz w:val="15"/>
                <w:szCs w:val="15"/>
                <w:b w:val="1"/>
                <w:bCs w:val="1"/>
                <w:color w:val="auto"/>
                <w:w w:val="72"/>
              </w:rPr>
              <w:t>thousands of</w:t>
            </w:r>
          </w:p>
        </w:tc>
      </w:tr>
      <w:tr>
        <w:trPr>
          <w:trHeight w:val="199"/>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ind w:left="640"/>
              <w:spacing w:after="0"/>
              <w:rPr>
                <w:sz w:val="20"/>
                <w:szCs w:val="20"/>
                <w:color w:val="auto"/>
              </w:rPr>
            </w:pPr>
            <w:r>
              <w:rPr>
                <w:rFonts w:ascii="Arial" w:cs="Arial" w:eastAsia="Arial" w:hAnsi="Arial"/>
                <w:sz w:val="16"/>
                <w:szCs w:val="16"/>
                <w:b w:val="1"/>
                <w:bCs w:val="1"/>
                <w:color w:val="auto"/>
                <w:w w:val="89"/>
              </w:rPr>
              <w:t>U.S. dollars)</w:t>
            </w:r>
          </w:p>
        </w:tc>
        <w:tc>
          <w:tcPr>
            <w:tcW w:w="820" w:type="dxa"/>
            <w:vAlign w:val="bottom"/>
          </w:tcPr>
          <w:p>
            <w:pPr>
              <w:spacing w:after="0"/>
              <w:rPr>
                <w:sz w:val="17"/>
                <w:szCs w:val="17"/>
                <w:color w:val="auto"/>
              </w:rPr>
            </w:pPr>
          </w:p>
        </w:tc>
      </w:tr>
      <w:tr>
        <w:trPr>
          <w:trHeight w:val="243"/>
        </w:trPr>
        <w:tc>
          <w:tcPr>
            <w:tcW w:w="6360" w:type="dxa"/>
            <w:vAlign w:val="bottom"/>
            <w:shd w:val="clear" w:color="auto" w:fill="E5FFFF"/>
          </w:tcPr>
          <w:p>
            <w:pPr>
              <w:spacing w:after="0"/>
              <w:rPr>
                <w:sz w:val="20"/>
                <w:szCs w:val="20"/>
                <w:color w:val="auto"/>
              </w:rPr>
            </w:pPr>
            <w:r>
              <w:rPr>
                <w:rFonts w:ascii="Arial" w:cs="Arial" w:eastAsia="Arial" w:hAnsi="Arial"/>
                <w:sz w:val="19"/>
                <w:szCs w:val="19"/>
                <w:color w:val="auto"/>
              </w:rPr>
              <w:t>Net cash provided by operating activities</w:t>
            </w:r>
          </w:p>
        </w:tc>
        <w:tc>
          <w:tcPr>
            <w:tcW w:w="2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ind w:right="13"/>
              <w:spacing w:after="0"/>
              <w:rPr>
                <w:sz w:val="20"/>
                <w:szCs w:val="20"/>
                <w:color w:val="auto"/>
              </w:rPr>
            </w:pPr>
            <w:r>
              <w:rPr>
                <w:rFonts w:ascii="Arial" w:cs="Arial" w:eastAsia="Arial" w:hAnsi="Arial"/>
                <w:sz w:val="19"/>
                <w:szCs w:val="19"/>
                <w:color w:val="auto"/>
              </w:rPr>
              <w:t>161,579</w:t>
            </w:r>
          </w:p>
        </w:tc>
        <w:tc>
          <w:tcPr>
            <w:tcW w:w="600" w:type="dxa"/>
            <w:vAlign w:val="bottom"/>
            <w:gridSpan w:val="2"/>
            <w:shd w:val="clear" w:color="auto" w:fill="E5FFFF"/>
          </w:tcPr>
          <w:p>
            <w:pPr>
              <w:jc w:val="right"/>
              <w:ind w:right="2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256,532</w:t>
            </w:r>
          </w:p>
        </w:tc>
      </w:tr>
      <w:tr>
        <w:trPr>
          <w:trHeight w:val="243"/>
        </w:trPr>
        <w:tc>
          <w:tcPr>
            <w:tcW w:w="6360" w:type="dxa"/>
            <w:vAlign w:val="bottom"/>
          </w:tcPr>
          <w:p>
            <w:pPr>
              <w:spacing w:after="0"/>
              <w:rPr>
                <w:sz w:val="20"/>
                <w:szCs w:val="20"/>
                <w:color w:val="auto"/>
              </w:rPr>
            </w:pPr>
            <w:r>
              <w:rPr>
                <w:rFonts w:ascii="Arial" w:cs="Arial" w:eastAsia="Arial" w:hAnsi="Arial"/>
                <w:sz w:val="19"/>
                <w:szCs w:val="19"/>
                <w:color w:val="auto"/>
              </w:rPr>
              <w:t>Net cash used in investing activities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(704,052)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3"/>
              </w:rPr>
              <w:t>(771,242)</w:t>
            </w:r>
          </w:p>
        </w:tc>
      </w:tr>
      <w:tr>
        <w:trPr>
          <w:trHeight w:val="243"/>
        </w:trPr>
        <w:tc>
          <w:tcPr>
            <w:tcW w:w="6360" w:type="dxa"/>
            <w:vAlign w:val="bottom"/>
            <w:shd w:val="clear" w:color="auto" w:fill="E5FFFF"/>
          </w:tcPr>
          <w:p>
            <w:pPr>
              <w:spacing w:after="0"/>
              <w:rPr>
                <w:sz w:val="20"/>
                <w:szCs w:val="20"/>
                <w:color w:val="auto"/>
              </w:rPr>
            </w:pPr>
            <w:r>
              <w:rPr>
                <w:rFonts w:ascii="Arial" w:cs="Arial" w:eastAsia="Arial" w:hAnsi="Arial"/>
                <w:sz w:val="19"/>
                <w:szCs w:val="19"/>
                <w:color w:val="auto"/>
              </w:rPr>
              <w:t>Net cash provided by financing activities</w:t>
            </w:r>
          </w:p>
        </w:tc>
        <w:tc>
          <w:tcPr>
            <w:tcW w:w="22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13"/>
              <w:spacing w:after="0"/>
              <w:rPr>
                <w:sz w:val="20"/>
                <w:szCs w:val="20"/>
                <w:color w:val="auto"/>
              </w:rPr>
            </w:pPr>
            <w:r>
              <w:rPr>
                <w:rFonts w:ascii="Arial" w:cs="Arial" w:eastAsia="Arial" w:hAnsi="Arial"/>
                <w:sz w:val="19"/>
                <w:szCs w:val="19"/>
                <w:color w:val="auto"/>
              </w:rPr>
              <w:t>634,317</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8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439,766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Operating Activities</w:t>
      </w:r>
    </w:p>
    <w:p>
      <w:pPr>
        <w:spacing w:after="0" w:line="119"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Net cash provided by operating activities increased by $94.95 million, from $161.58 million during the year ended December 31, 2015, to $256.53 million during the year ended December 31, 2016. The increase was due to an increase of $57.14 million in revenue collections, a decrease of $50.08 million in payments for cash collaterals, a decrease of $0.13 million in cash paid for interest and a decrease of $0.47 million in realized losses on interest rate swaps held for trading, which were partially offset by an increase of $7.94 million in payments for general and administrative expenses, operating expenses and inventories and an increase of $4.93 million in payments to ship management creditors.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Used In Investing Activities</w:t>
      </w:r>
    </w:p>
    <w:p>
      <w:pPr>
        <w:spacing w:after="0" w:line="10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Net cash used in investing activities increased by $67.19 million, from $704.05 million during the year ended December 31, 2015, to $771.24 million during the year ended December 31, 2016. The increase is mainly attributable to an increase of $33.07 million in payments for the construction costs of newbuildings, the acquisition of secondhand vessels and other fixed assets, a net decrease of $34.42 million in short-term investments and a decrease of $0.12 million in dividends and return of contributed capital received from Egypt LNG, which were partially offset by an increase of $0.36 million in cash from interest income.</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Financing Activities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financing activities decreased by $194.55 million, from $634.32 million during the year ended December 31, 2015,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$439.77 million during the year ended December 31, 2016. The decrease is mainly attributable to an increase in bank loan repayments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$1,879.87 million, a decrease of $231.52 million in proceeds from equity offerings (the net proceeds from GasLog Partners’ public offerings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decreased by $120.14 million, while in 2015 we also received $111.38 million net proceeds from GasLog’s Preference Shares issuance), payments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of $34.11 million for CCS termination/modification and the re-purchase of NOK 588 million of bonds in June 2016, an increase of $18.16 million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 payments of loan issuance costs, an increase of $14.68 million in dividend payments and net payments of $4.83 million related to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our interest rate swap agreements and entering into new agreements in 2016, which were partially offset by an increase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$1,668.32 million in proceeds from our borrowings, proceeds of $217.00 million from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an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increase of $102.61 million from the release of restricted cash and a decrease of $1.40 million in payments of equity raising costs.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74" w:name="page75"/>
    <w:bookmarkEnd w:id="74"/>
    <w:p>
      <w:pPr>
        <w:spacing w:after="0"/>
        <w:rPr>
          <w:sz w:val="20"/>
          <w:szCs w:val="20"/>
          <w:color w:val="auto"/>
        </w:rPr>
      </w:pPr>
      <w:r>
        <w:rPr>
          <w:rFonts w:ascii="Arial" w:cs="Arial" w:eastAsia="Arial" w:hAnsi="Arial"/>
          <w:sz w:val="19"/>
          <w:szCs w:val="19"/>
          <w:b w:val="1"/>
          <w:bCs w:val="1"/>
          <w:i w:val="1"/>
          <w:iCs w:val="1"/>
          <w:color w:val="auto"/>
        </w:rPr>
        <w:t>Year ended December 31, 2014 compared to the year ended December 31, 2015</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our net cash flows from operating, investing and financing activities for the periods indicated:</w:t>
      </w: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199"/>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center"/>
              <w:ind w:right="188"/>
              <w:spacing w:after="0"/>
              <w:rPr>
                <w:sz w:val="20"/>
                <w:szCs w:val="20"/>
                <w:color w:val="auto"/>
              </w:rPr>
            </w:pPr>
            <w:r>
              <w:rPr>
                <w:rFonts w:ascii="Arial" w:cs="Arial" w:eastAsia="Arial" w:hAnsi="Arial"/>
                <w:sz w:val="16"/>
                <w:szCs w:val="16"/>
                <w:b w:val="1"/>
                <w:bCs w:val="1"/>
                <w:color w:val="auto"/>
                <w:w w:val="88"/>
              </w:rPr>
              <w:t>Year ended December 31,</w:t>
            </w: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3"/>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line="169" w:lineRule="exact"/>
              <w:rPr>
                <w:sz w:val="20"/>
                <w:szCs w:val="20"/>
                <w:color w:val="auto"/>
              </w:rPr>
            </w:pPr>
            <w:r>
              <w:rPr>
                <w:rFonts w:ascii="Arial" w:cs="Arial" w:eastAsia="Arial" w:hAnsi="Arial"/>
                <w:sz w:val="16"/>
                <w:szCs w:val="16"/>
                <w:b w:val="1"/>
                <w:bCs w:val="1"/>
                <w:color w:val="auto"/>
              </w:rPr>
              <w:t>2015</w:t>
            </w:r>
          </w:p>
        </w:tc>
      </w:tr>
      <w:tr>
        <w:trPr>
          <w:trHeight w:val="145"/>
        </w:trPr>
        <w:tc>
          <w:tcPr>
            <w:tcW w:w="5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left="533"/>
              <w:spacing w:after="0" w:line="145" w:lineRule="exact"/>
              <w:rPr>
                <w:sz w:val="20"/>
                <w:szCs w:val="20"/>
                <w:color w:val="auto"/>
              </w:rPr>
            </w:pPr>
            <w:r>
              <w:rPr>
                <w:rFonts w:ascii="Arial" w:cs="Arial" w:eastAsia="Arial" w:hAnsi="Arial"/>
                <w:sz w:val="16"/>
                <w:szCs w:val="16"/>
                <w:b w:val="1"/>
                <w:bCs w:val="1"/>
                <w:color w:val="auto"/>
                <w:w w:val="86"/>
              </w:rPr>
              <w:t>(in thousands of</w:t>
            </w:r>
          </w:p>
        </w:tc>
        <w:tc>
          <w:tcPr>
            <w:tcW w:w="900" w:type="dxa"/>
            <w:vAlign w:val="bottom"/>
          </w:tcPr>
          <w:p>
            <w:pPr>
              <w:spacing w:after="0"/>
              <w:rPr>
                <w:sz w:val="12"/>
                <w:szCs w:val="12"/>
                <w:color w:val="auto"/>
              </w:rPr>
            </w:pPr>
          </w:p>
        </w:tc>
      </w:tr>
      <w:tr>
        <w:trPr>
          <w:trHeight w:val="199"/>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89"/>
              </w:rPr>
              <w:t>U.S. dollars)</w:t>
            </w:r>
          </w:p>
        </w:tc>
        <w:tc>
          <w:tcPr>
            <w:tcW w:w="900" w:type="dxa"/>
            <w:vAlign w:val="bottom"/>
          </w:tcPr>
          <w:p>
            <w:pPr>
              <w:spacing w:after="0"/>
              <w:rPr>
                <w:sz w:val="17"/>
                <w:szCs w:val="17"/>
                <w:color w:val="auto"/>
              </w:rPr>
            </w:pPr>
          </w:p>
        </w:tc>
      </w:tr>
      <w:tr>
        <w:trPr>
          <w:trHeight w:val="243"/>
        </w:trPr>
        <w:tc>
          <w:tcPr>
            <w:tcW w:w="5900" w:type="dxa"/>
            <w:vAlign w:val="bottom"/>
            <w:shd w:val="clear" w:color="auto" w:fill="E5FFFF"/>
          </w:tcPr>
          <w:p>
            <w:pPr>
              <w:spacing w:after="0"/>
              <w:rPr>
                <w:sz w:val="20"/>
                <w:szCs w:val="20"/>
                <w:color w:val="auto"/>
              </w:rPr>
            </w:pPr>
            <w:r>
              <w:rPr>
                <w:rFonts w:ascii="Arial" w:cs="Arial" w:eastAsia="Arial" w:hAnsi="Arial"/>
                <w:sz w:val="19"/>
                <w:szCs w:val="19"/>
                <w:color w:val="auto"/>
              </w:rPr>
              <w:t>Net cash provided by operating activities</w:t>
            </w:r>
          </w:p>
        </w:tc>
        <w:tc>
          <w:tcPr>
            <w:tcW w:w="280" w:type="dxa"/>
            <w:vAlign w:val="bottom"/>
            <w:shd w:val="clear" w:color="auto" w:fill="E5FFFF"/>
          </w:tcPr>
          <w:p>
            <w:pPr>
              <w:jc w:val="right"/>
              <w:ind w:right="8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E5FFFF"/>
          </w:tcPr>
          <w:p>
            <w:pPr>
              <w:jc w:val="right"/>
              <w:ind w:right="13"/>
              <w:spacing w:after="0"/>
              <w:rPr>
                <w:sz w:val="20"/>
                <w:szCs w:val="20"/>
                <w:color w:val="auto"/>
              </w:rPr>
            </w:pPr>
            <w:r>
              <w:rPr>
                <w:rFonts w:ascii="Arial" w:cs="Arial" w:eastAsia="Arial" w:hAnsi="Arial"/>
                <w:sz w:val="19"/>
                <w:szCs w:val="19"/>
                <w:color w:val="auto"/>
              </w:rPr>
              <w:t>148,288</w:t>
            </w:r>
          </w:p>
        </w:tc>
        <w:tc>
          <w:tcPr>
            <w:tcW w:w="680" w:type="dxa"/>
            <w:vAlign w:val="bottom"/>
            <w:gridSpan w:val="2"/>
            <w:shd w:val="clear" w:color="auto" w:fill="E5FFFF"/>
          </w:tcPr>
          <w:p>
            <w:pPr>
              <w:jc w:val="right"/>
              <w:ind w:right="260"/>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161,579</w:t>
            </w:r>
          </w:p>
        </w:tc>
      </w:tr>
      <w:tr>
        <w:trPr>
          <w:trHeight w:val="243"/>
        </w:trPr>
        <w:tc>
          <w:tcPr>
            <w:tcW w:w="5900" w:type="dxa"/>
            <w:vAlign w:val="bottom"/>
          </w:tcPr>
          <w:p>
            <w:pPr>
              <w:spacing w:after="0"/>
              <w:rPr>
                <w:sz w:val="20"/>
                <w:szCs w:val="20"/>
                <w:color w:val="auto"/>
              </w:rPr>
            </w:pPr>
            <w:r>
              <w:rPr>
                <w:rFonts w:ascii="Arial" w:cs="Arial" w:eastAsia="Arial" w:hAnsi="Arial"/>
                <w:sz w:val="19"/>
                <w:szCs w:val="19"/>
                <w:color w:val="auto"/>
              </w:rPr>
              <w:t>Net cash used in investing activities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(1,386,656)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(704,052)</w:t>
            </w:r>
          </w:p>
        </w:tc>
      </w:tr>
      <w:tr>
        <w:trPr>
          <w:trHeight w:val="243"/>
        </w:trPr>
        <w:tc>
          <w:tcPr>
            <w:tcW w:w="5900" w:type="dxa"/>
            <w:vAlign w:val="bottom"/>
            <w:shd w:val="clear" w:color="auto" w:fill="E5FFFF"/>
          </w:tcPr>
          <w:p>
            <w:pPr>
              <w:spacing w:after="0"/>
              <w:rPr>
                <w:sz w:val="20"/>
                <w:szCs w:val="20"/>
                <w:color w:val="auto"/>
              </w:rPr>
            </w:pPr>
            <w:r>
              <w:rPr>
                <w:rFonts w:ascii="Arial" w:cs="Arial" w:eastAsia="Arial" w:hAnsi="Arial"/>
                <w:sz w:val="19"/>
                <w:szCs w:val="19"/>
                <w:color w:val="auto"/>
              </w:rPr>
              <w:t>Net cash provided by financing activities.</w:t>
            </w:r>
          </w:p>
        </w:tc>
        <w:tc>
          <w:tcPr>
            <w:tcW w:w="28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13"/>
              <w:spacing w:after="0"/>
              <w:rPr>
                <w:sz w:val="20"/>
                <w:szCs w:val="20"/>
                <w:color w:val="auto"/>
              </w:rPr>
            </w:pPr>
            <w:r>
              <w:rPr>
                <w:rFonts w:ascii="Arial" w:cs="Arial" w:eastAsia="Arial" w:hAnsi="Arial"/>
                <w:sz w:val="19"/>
                <w:szCs w:val="19"/>
                <w:color w:val="auto"/>
              </w:rPr>
              <w:t>1,346,762</w:t>
            </w:r>
          </w:p>
        </w:tc>
        <w:tc>
          <w:tcPr>
            <w:tcW w:w="3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634,317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Operating Activities</w:t>
      </w:r>
    </w:p>
    <w:p>
      <w:pPr>
        <w:spacing w:after="0" w:line="119" w:lineRule="exact"/>
        <w:rPr>
          <w:sz w:val="20"/>
          <w:szCs w:val="20"/>
          <w:color w:val="auto"/>
        </w:rPr>
      </w:pPr>
    </w:p>
    <w:p>
      <w:pPr>
        <w:ind w:right="340" w:firstLine="357"/>
        <w:spacing w:after="0" w:line="297" w:lineRule="auto"/>
        <w:rPr>
          <w:sz w:val="20"/>
          <w:szCs w:val="20"/>
          <w:color w:val="auto"/>
        </w:rPr>
      </w:pPr>
      <w:r>
        <w:rPr>
          <w:rFonts w:ascii="Arial" w:cs="Arial" w:eastAsia="Arial" w:hAnsi="Arial"/>
          <w:sz w:val="17"/>
          <w:szCs w:val="17"/>
          <w:color w:val="auto"/>
        </w:rPr>
        <w:t>Net cash provided by operating activities increased by $13.29 million, from $148.29 million during the year ended December 31, 2014, to $161.58 million during the year ended December 31, 2015. The increase was due to an increase of $85.69 million in revenue collections, a decrease of $1.41 million in realized losses on interest rate swaps held for trading and a decrease in cash from ship management creditors amounting to $9.10 million, partially offset by an increase of $46.88 million in payments for general and administrative expenses, operating expenses and inventories, an increase of $14.91 million in cash paid for interest and an increase of $21.12 million in cash collaterals.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Used In Investing Activities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 decreased by $682.61 million, from $1,386.66 million during the year ended December 31, 2014,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$704.05 million during the year ended December 31, 2015. The decrease is mainly attributable to a $637.16 million decrease in payments for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construction costs of newbuildings and the acquisition of secondhand vessels, the net decrease in payments for short-term investments of $46.02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million and a $0.71 million increase in dividends received from Egypt LNG, partially offset by an increase of $1.32 million in payments for other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tangible assets relating mainly to depot spares.</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Financing Activities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Net cash provided by financing activities decreased by $712.44 million, from $1,346.76 million during the year ended December 31, 2014, to $634.32 million during the year ended December 31, 2015. The decrease is mainly attributable to a decrease of $874.47 million in proceeds from our borrowings, a decrease of $349.07 million in proceeds from equity offerings (in 2014, we received net proceeds of $310.24 million from the public offerings and private placement completed in January and April 2014 and $323.09 million from GasLog Partners’ initial public offering; in 2015, we received net proceeds of $111.38 million from the preference shares issuance and $172.88 million from GasLog Partners’ public offering), an increase in restricted cash of $17.07 million, an increase of $37.39 million in dividend payments, an increase in payments of loan issuance costs of $3.47 million partially offset by a decrease in bank loan repayments of $553.24 million, a $13.22 million decrease in payments of treasury shares and a decrease of $2.84 million in payments of equity raising costs.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75" w:name="page76"/>
    <w:bookmarkEnd w:id="75"/>
    <w:p>
      <w:pPr>
        <w:spacing w:after="0"/>
        <w:rPr>
          <w:sz w:val="20"/>
          <w:szCs w:val="20"/>
          <w:color w:val="auto"/>
        </w:rPr>
      </w:pPr>
      <w:r>
        <w:rPr>
          <w:rFonts w:ascii="Arial" w:cs="Arial" w:eastAsia="Arial" w:hAnsi="Arial"/>
          <w:sz w:val="19"/>
          <w:szCs w:val="19"/>
          <w:b w:val="1"/>
          <w:bCs w:val="1"/>
          <w:i w:val="1"/>
          <w:iCs w:val="1"/>
          <w:color w:val="auto"/>
        </w:rPr>
        <w:t>Credit Facilities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summarizes certain terms of the five outstanding facilities as of December 31, 2016:</w:t>
      </w:r>
    </w:p>
    <w:p>
      <w:pPr>
        <w:sectPr>
          <w:pgSz w:w="11900" w:h="16838" w:orient="portrait"/>
          <w:cols w:equalWidth="0" w:num="1">
            <w:col w:w="11420"/>
          </w:cols>
          <w:pgMar w:left="240" w:top="586" w:right="239" w:bottom="1440" w:gutter="0" w:footer="0" w:header="0"/>
        </w:sect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Facility Name</w:t>
            </w:r>
          </w:p>
        </w:tc>
        <w:tc>
          <w:tcPr>
            <w:tcW w:w="300" w:type="dxa"/>
            <w:vAlign w:val="bottom"/>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Lender(s)</w:t>
            </w:r>
          </w:p>
        </w:tc>
      </w:tr>
      <w:tr>
        <w:trPr>
          <w:trHeight w:val="124"/>
        </w:trPr>
        <w:tc>
          <w:tcPr>
            <w:tcW w:w="20" w:type="dxa"/>
            <w:vAlign w:val="bottom"/>
          </w:tcPr>
          <w:p>
            <w:pPr>
              <w:spacing w:after="0"/>
              <w:rPr>
                <w:sz w:val="10"/>
                <w:szCs w:val="10"/>
                <w:color w:val="auto"/>
              </w:rPr>
            </w:pPr>
          </w:p>
        </w:tc>
        <w:tc>
          <w:tcPr>
            <w:tcW w:w="1440" w:type="dxa"/>
            <w:vAlign w:val="bottom"/>
          </w:tcPr>
          <w:p>
            <w:pPr>
              <w:spacing w:after="0" w:line="125" w:lineRule="exact"/>
              <w:rPr>
                <w:sz w:val="20"/>
                <w:szCs w:val="20"/>
                <w:color w:val="auto"/>
              </w:rPr>
            </w:pPr>
            <w:r>
              <w:rPr>
                <w:rFonts w:ascii="Arial" w:cs="Arial" w:eastAsia="Arial" w:hAnsi="Arial"/>
                <w:sz w:val="14"/>
                <w:szCs w:val="14"/>
                <w:color w:val="auto"/>
                <w:w w:val="96"/>
              </w:rPr>
              <w:t>GasLog Partners Credit</w:t>
            </w:r>
          </w:p>
        </w:tc>
        <w:tc>
          <w:tcPr>
            <w:tcW w:w="300" w:type="dxa"/>
            <w:vAlign w:val="bottom"/>
          </w:tcPr>
          <w:p>
            <w:pPr>
              <w:spacing w:after="0"/>
              <w:rPr>
                <w:sz w:val="10"/>
                <w:szCs w:val="10"/>
                <w:color w:val="auto"/>
              </w:rPr>
            </w:pPr>
          </w:p>
        </w:tc>
        <w:tc>
          <w:tcPr>
            <w:tcW w:w="1460" w:type="dxa"/>
            <w:vAlign w:val="bottom"/>
          </w:tcPr>
          <w:p>
            <w:pPr>
              <w:spacing w:after="0" w:line="125" w:lineRule="exact"/>
              <w:rPr>
                <w:sz w:val="20"/>
                <w:szCs w:val="20"/>
                <w:color w:val="auto"/>
              </w:rPr>
            </w:pPr>
            <w:r>
              <w:rPr>
                <w:rFonts w:ascii="Arial" w:cs="Arial" w:eastAsia="Arial" w:hAnsi="Arial"/>
                <w:sz w:val="14"/>
                <w:szCs w:val="14"/>
                <w:color w:val="auto"/>
              </w:rPr>
              <w:t>Citibank, N.A., London</w:t>
            </w: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Facility</w:t>
            </w: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Branch, Nordea Bank</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Finland plc, London</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Branch, DVB Bank</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America N.V., ABN</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Amro Bank N.V.,</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7"/>
              </w:rPr>
              <w:t>Skandinaviska Enskilda</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Banken AB (publ) and</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BNP Paribas (GasLog</w:t>
            </w:r>
          </w:p>
        </w:tc>
      </w:tr>
      <w:tr>
        <w:trPr>
          <w:trHeight w:val="181"/>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w w:val="98"/>
              </w:rPr>
              <w:t>Partners Credit Facility)</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Payment of</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Available</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Principals</w:t>
            </w:r>
          </w:p>
        </w:tc>
      </w:tr>
      <w:tr>
        <w:trPr>
          <w:trHeight w:val="176"/>
        </w:trPr>
        <w:tc>
          <w:tcPr>
            <w:tcW w:w="20" w:type="dxa"/>
            <w:vAlign w:val="bottom"/>
          </w:tcPr>
          <w:p>
            <w:pPr>
              <w:spacing w:after="0"/>
              <w:rPr>
                <w:sz w:val="15"/>
                <w:szCs w:val="15"/>
                <w:color w:val="auto"/>
              </w:rPr>
            </w:pPr>
          </w:p>
        </w:tc>
        <w:tc>
          <w:tcPr>
            <w:tcW w:w="146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Subsidiary Party</w:t>
            </w:r>
          </w:p>
        </w:tc>
        <w:tc>
          <w:tcPr>
            <w:tcW w:w="2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Principal</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Undrawn</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Arial" w:cs="Arial" w:eastAsia="Arial" w:hAnsi="Arial"/>
                <w:sz w:val="16"/>
                <w:szCs w:val="16"/>
                <w:b w:val="1"/>
                <w:bCs w:val="1"/>
                <w:color w:val="auto"/>
                <w:w w:val="87"/>
              </w:rPr>
              <w:t>Installments</w:t>
            </w:r>
          </w:p>
        </w:tc>
      </w:tr>
      <w:tr>
        <w:trPr>
          <w:trHeight w:val="199"/>
        </w:trPr>
        <w:tc>
          <w:tcPr>
            <w:tcW w:w="20" w:type="dxa"/>
            <w:vAlign w:val="bottom"/>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(Collateral Ship)</w:t>
            </w:r>
          </w:p>
        </w:tc>
        <w:tc>
          <w:tcPr>
            <w:tcW w:w="28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8"/>
              </w:rPr>
              <w:t>Interest Rate</w:t>
            </w:r>
          </w:p>
        </w:tc>
        <w:tc>
          <w:tcPr>
            <w:tcW w:w="300" w:type="dxa"/>
            <w:vAlign w:val="bottom"/>
          </w:tcPr>
          <w:p>
            <w:pPr>
              <w:spacing w:after="0"/>
              <w:rPr>
                <w:sz w:val="17"/>
                <w:szCs w:val="17"/>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Maturity</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Schedule</w:t>
            </w:r>
          </w:p>
        </w:tc>
      </w:tr>
      <w:tr>
        <w:trPr>
          <w:trHeight w:val="124"/>
        </w:trPr>
        <w:tc>
          <w:tcPr>
            <w:tcW w:w="20" w:type="dxa"/>
            <w:vAlign w:val="bottom"/>
          </w:tcPr>
          <w:p>
            <w:pPr>
              <w:spacing w:after="0"/>
              <w:rPr>
                <w:sz w:val="10"/>
                <w:szCs w:val="10"/>
                <w:color w:val="auto"/>
              </w:rPr>
            </w:pPr>
          </w:p>
        </w:tc>
        <w:tc>
          <w:tcPr>
            <w:tcW w:w="1460" w:type="dxa"/>
            <w:vAlign w:val="bottom"/>
          </w:tcPr>
          <w:p>
            <w:pPr>
              <w:spacing w:after="0" w:line="125" w:lineRule="exact"/>
              <w:rPr>
                <w:sz w:val="20"/>
                <w:szCs w:val="20"/>
                <w:color w:val="auto"/>
              </w:rPr>
            </w:pPr>
            <w:r>
              <w:rPr>
                <w:rFonts w:ascii="Arial" w:cs="Arial" w:eastAsia="Arial" w:hAnsi="Arial"/>
                <w:sz w:val="14"/>
                <w:szCs w:val="14"/>
                <w:color w:val="auto"/>
                <w:w w:val="95"/>
              </w:rPr>
              <w:t xml:space="preserve">GAS-three Ltd. </w:t>
            </w:r>
            <w:r>
              <w:rPr>
                <w:rFonts w:ascii="Arial" w:cs="Arial" w:eastAsia="Arial" w:hAnsi="Arial"/>
                <w:sz w:val="14"/>
                <w:szCs w:val="14"/>
                <w:i w:val="1"/>
                <w:iCs w:val="1"/>
                <w:color w:val="auto"/>
                <w:w w:val="95"/>
              </w:rPr>
              <w:t>(GasLog</w:t>
            </w:r>
          </w:p>
        </w:tc>
        <w:tc>
          <w:tcPr>
            <w:tcW w:w="280" w:type="dxa"/>
            <w:vAlign w:val="bottom"/>
          </w:tcPr>
          <w:p>
            <w:pPr>
              <w:spacing w:after="0"/>
              <w:rPr>
                <w:sz w:val="10"/>
                <w:szCs w:val="10"/>
                <w:color w:val="auto"/>
              </w:rPr>
            </w:pPr>
          </w:p>
        </w:tc>
        <w:tc>
          <w:tcPr>
            <w:tcW w:w="1200" w:type="dxa"/>
            <w:vAlign w:val="bottom"/>
          </w:tcPr>
          <w:p>
            <w:pPr>
              <w:spacing w:after="0" w:line="125" w:lineRule="exact"/>
              <w:rPr>
                <w:sz w:val="20"/>
                <w:szCs w:val="20"/>
                <w:color w:val="auto"/>
              </w:rPr>
            </w:pPr>
            <w:r>
              <w:rPr>
                <w:rFonts w:ascii="Arial" w:cs="Arial" w:eastAsia="Arial" w:hAnsi="Arial"/>
                <w:sz w:val="14"/>
                <w:szCs w:val="14"/>
                <w:color w:val="auto"/>
              </w:rPr>
              <w:t>$405.0 million</w:t>
            </w:r>
          </w:p>
        </w:tc>
        <w:tc>
          <w:tcPr>
            <w:tcW w:w="300" w:type="dxa"/>
            <w:vAlign w:val="bottom"/>
          </w:tcPr>
          <w:p>
            <w:pPr>
              <w:spacing w:after="0"/>
              <w:rPr>
                <w:sz w:val="10"/>
                <w:szCs w:val="10"/>
                <w:color w:val="auto"/>
              </w:rPr>
            </w:pPr>
          </w:p>
        </w:tc>
        <w:tc>
          <w:tcPr>
            <w:tcW w:w="1160" w:type="dxa"/>
            <w:vAlign w:val="bottom"/>
          </w:tcPr>
          <w:p>
            <w:pPr>
              <w:spacing w:after="0" w:line="125"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4"/>
                <w:szCs w:val="14"/>
                <w:color w:val="auto"/>
              </w:rPr>
              <w:t>LIBOR +</w:t>
            </w:r>
          </w:p>
        </w:tc>
        <w:tc>
          <w:tcPr>
            <w:tcW w:w="300" w:type="dxa"/>
            <w:vAlign w:val="bottom"/>
          </w:tcPr>
          <w:p>
            <w:pPr>
              <w:spacing w:after="0"/>
              <w:rPr>
                <w:sz w:val="10"/>
                <w:szCs w:val="10"/>
                <w:color w:val="auto"/>
              </w:rPr>
            </w:pPr>
          </w:p>
        </w:tc>
        <w:tc>
          <w:tcPr>
            <w:tcW w:w="820" w:type="dxa"/>
            <w:vAlign w:val="bottom"/>
          </w:tcPr>
          <w:p>
            <w:pPr>
              <w:jc w:val="right"/>
              <w:ind w:right="465"/>
              <w:spacing w:after="0" w:line="125" w:lineRule="exact"/>
              <w:rPr>
                <w:sz w:val="20"/>
                <w:szCs w:val="20"/>
                <w:color w:val="auto"/>
              </w:rPr>
            </w:pPr>
            <w:r>
              <w:rPr>
                <w:rFonts w:ascii="Arial" w:cs="Arial" w:eastAsia="Arial" w:hAnsi="Arial"/>
                <w:sz w:val="14"/>
                <w:szCs w:val="14"/>
                <w:color w:val="auto"/>
                <w:w w:val="83"/>
              </w:rPr>
              <w:t>2019</w:t>
            </w:r>
          </w:p>
        </w:tc>
        <w:tc>
          <w:tcPr>
            <w:tcW w:w="3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4"/>
                <w:szCs w:val="14"/>
                <w:color w:val="auto"/>
                <w:w w:val="89"/>
              </w:rPr>
              <w:t>12 consecutive</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Shanghai)</w:t>
            </w:r>
            <w:r>
              <w:rPr>
                <w:rFonts w:ascii="Arial" w:cs="Arial" w:eastAsia="Arial" w:hAnsi="Arial"/>
                <w:sz w:val="14"/>
                <w:szCs w:val="14"/>
                <w:color w:val="auto"/>
              </w:rPr>
              <w:t>, GAS-four</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applicable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w w:val="98"/>
              </w:rPr>
              <w:t xml:space="preserve">Ltd. </w:t>
            </w:r>
            <w:r>
              <w:rPr>
                <w:rFonts w:ascii="Arial" w:cs="Arial" w:eastAsia="Arial" w:hAnsi="Arial"/>
                <w:sz w:val="14"/>
                <w:szCs w:val="14"/>
                <w:i w:val="1"/>
                <w:iCs w:val="1"/>
                <w:color w:val="auto"/>
                <w:w w:val="98"/>
              </w:rPr>
              <w:t>(GasLog Santiago)</w:t>
            </w:r>
            <w:r>
              <w:rPr>
                <w:rFonts w:ascii="Arial" w:cs="Arial" w:eastAsia="Arial" w:hAnsi="Arial"/>
                <w:sz w:val="14"/>
                <w:szCs w:val="14"/>
                <w:color w:val="auto"/>
                <w:w w:val="98"/>
              </w:rPr>
              <w: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margin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3"/>
              </w:rPr>
              <w:t>installments of</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GAS-five Ltd. </w:t>
            </w:r>
            <w:r>
              <w:rPr>
                <w:rFonts w:ascii="Arial" w:cs="Arial" w:eastAsia="Arial" w:hAnsi="Arial"/>
                <w:sz w:val="14"/>
                <w:szCs w:val="14"/>
                <w:i w:val="1"/>
                <w:iCs w:val="1"/>
                <w:color w:val="auto"/>
              </w:rPr>
              <w:t>(GasLog</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$5.63 million</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Sydney)</w:t>
            </w:r>
            <w:r>
              <w:rPr>
                <w:rFonts w:ascii="Arial" w:cs="Arial" w:eastAsia="Arial" w:hAnsi="Arial"/>
                <w:sz w:val="14"/>
                <w:szCs w:val="14"/>
                <w:color w:val="auto"/>
              </w:rPr>
              <w:t>, GAS-sixteen</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and a balloon</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Ltd. </w:t>
            </w:r>
            <w:r>
              <w:rPr>
                <w:rFonts w:ascii="Arial" w:cs="Arial" w:eastAsia="Arial" w:hAnsi="Arial"/>
                <w:sz w:val="14"/>
                <w:szCs w:val="14"/>
                <w:i w:val="1"/>
                <w:iCs w:val="1"/>
                <w:color w:val="auto"/>
              </w:rPr>
              <w:t>(Methane Rita</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payment of</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1"/>
              </w:rPr>
              <w:t>Andrea)</w:t>
            </w:r>
            <w:r>
              <w:rPr>
                <w:rFonts w:ascii="Arial" w:cs="Arial" w:eastAsia="Arial" w:hAnsi="Arial"/>
                <w:sz w:val="14"/>
                <w:szCs w:val="14"/>
                <w:color w:val="auto"/>
                <w:w w:val="91"/>
              </w:rPr>
              <w:t>, GAS- seventeen</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7"/>
              </w:rPr>
              <w:t>$337.5 million</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Ltd. </w:t>
            </w:r>
            <w:r>
              <w:rPr>
                <w:rFonts w:ascii="Arial" w:cs="Arial" w:eastAsia="Arial" w:hAnsi="Arial"/>
                <w:sz w:val="14"/>
                <w:szCs w:val="14"/>
                <w:i w:val="1"/>
                <w:iCs w:val="1"/>
                <w:color w:val="auto"/>
              </w:rPr>
              <w:t>(Methane Jane</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together with</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Elizabeth)</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the final</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installment in</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November</w:t>
            </w:r>
          </w:p>
        </w:tc>
      </w:tr>
      <w:tr>
        <w:trPr>
          <w:trHeight w:val="181"/>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-8890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300"/>
            <w:col w:w="7900"/>
          </w:cols>
          <w:pgMar w:left="240" w:top="586" w:right="239" w:bottom="1440" w:gutter="0" w:footer="0" w:header="0"/>
          <w:type w:val="continuous"/>
        </w:sectPr>
      </w:pPr>
    </w:p>
    <w:p>
      <w:pPr>
        <w:spacing w:after="0"/>
        <w:tabs>
          <w:tab w:leader="none" w:pos="1740" w:val="left"/>
        </w:tabs>
        <w:rPr>
          <w:sz w:val="20"/>
          <w:szCs w:val="20"/>
          <w:color w:val="auto"/>
        </w:rPr>
      </w:pPr>
      <w:r>
        <w:rPr>
          <w:rFonts w:ascii="Arial" w:cs="Arial" w:eastAsia="Arial" w:hAnsi="Arial"/>
          <w:sz w:val="14"/>
          <w:szCs w:val="14"/>
          <w:color w:val="auto"/>
        </w:rPr>
        <w:t>October 2015 Facility</w:t>
      </w:r>
      <w:r>
        <w:rPr>
          <w:sz w:val="20"/>
          <w:szCs w:val="20"/>
          <w:color w:val="auto"/>
        </w:rPr>
        <w:tab/>
      </w:r>
      <w:r>
        <w:rPr>
          <w:rFonts w:ascii="Arial" w:cs="Arial" w:eastAsia="Arial" w:hAnsi="Arial"/>
          <w:sz w:val="13"/>
          <w:szCs w:val="13"/>
          <w:color w:val="auto"/>
        </w:rPr>
        <w:t>Citibank, N.A., London</w:t>
      </w:r>
    </w:p>
    <w:p>
      <w:pPr>
        <w:ind w:left="1760"/>
        <w:spacing w:after="0" w:line="222" w:lineRule="auto"/>
        <w:rPr>
          <w:sz w:val="20"/>
          <w:szCs w:val="20"/>
          <w:color w:val="auto"/>
        </w:rPr>
      </w:pPr>
      <w:r>
        <w:rPr>
          <w:rFonts w:ascii="Arial" w:cs="Arial" w:eastAsia="Arial" w:hAnsi="Arial"/>
          <w:sz w:val="14"/>
          <w:szCs w:val="14"/>
          <w:color w:val="auto"/>
        </w:rPr>
        <w:t>Branch, Nordea Bank</w:t>
      </w:r>
    </w:p>
    <w:p>
      <w:pPr>
        <w:ind w:left="1760"/>
        <w:spacing w:after="0"/>
        <w:rPr>
          <w:sz w:val="20"/>
          <w:szCs w:val="20"/>
          <w:color w:val="auto"/>
        </w:rPr>
      </w:pPr>
      <w:r>
        <w:rPr>
          <w:rFonts w:ascii="Arial" w:cs="Arial" w:eastAsia="Arial" w:hAnsi="Arial"/>
          <w:sz w:val="13"/>
          <w:szCs w:val="13"/>
          <w:color w:val="auto"/>
        </w:rPr>
        <w:t>AB, London Branch, The</w:t>
      </w:r>
    </w:p>
    <w:p>
      <w:pPr>
        <w:ind w:left="1760"/>
        <w:spacing w:after="0" w:line="221" w:lineRule="auto"/>
        <w:rPr>
          <w:sz w:val="20"/>
          <w:szCs w:val="20"/>
          <w:color w:val="auto"/>
        </w:rPr>
      </w:pPr>
      <w:r>
        <w:rPr>
          <w:rFonts w:ascii="Arial" w:cs="Arial" w:eastAsia="Arial" w:hAnsi="Arial"/>
          <w:sz w:val="14"/>
          <w:szCs w:val="14"/>
          <w:color w:val="auto"/>
        </w:rPr>
        <w:t>Export-Import Bank of</w:t>
      </w:r>
    </w:p>
    <w:p>
      <w:pPr>
        <w:ind w:left="1760"/>
        <w:spacing w:after="0"/>
        <w:rPr>
          <w:sz w:val="20"/>
          <w:szCs w:val="20"/>
          <w:color w:val="auto"/>
        </w:rPr>
      </w:pPr>
      <w:r>
        <w:rPr>
          <w:rFonts w:ascii="Arial" w:cs="Arial" w:eastAsia="Arial" w:hAnsi="Arial"/>
          <w:sz w:val="13"/>
          <w:szCs w:val="13"/>
          <w:color w:val="auto"/>
        </w:rPr>
        <w:t>Korea, Bank of America,</w:t>
      </w:r>
    </w:p>
    <w:p>
      <w:pPr>
        <w:ind w:left="1760"/>
        <w:spacing w:after="0" w:line="221" w:lineRule="auto"/>
        <w:rPr>
          <w:sz w:val="20"/>
          <w:szCs w:val="20"/>
          <w:color w:val="auto"/>
        </w:rPr>
      </w:pPr>
      <w:r>
        <w:rPr>
          <w:rFonts w:ascii="Arial" w:cs="Arial" w:eastAsia="Arial" w:hAnsi="Arial"/>
          <w:sz w:val="14"/>
          <w:szCs w:val="14"/>
          <w:color w:val="auto"/>
        </w:rPr>
        <w:t>National Association,</w:t>
      </w:r>
    </w:p>
    <w:p>
      <w:pPr>
        <w:ind w:left="1760"/>
        <w:spacing w:after="0" w:line="221" w:lineRule="auto"/>
        <w:rPr>
          <w:sz w:val="20"/>
          <w:szCs w:val="20"/>
          <w:color w:val="auto"/>
        </w:rPr>
      </w:pPr>
      <w:r>
        <w:rPr>
          <w:rFonts w:ascii="Arial" w:cs="Arial" w:eastAsia="Arial" w:hAnsi="Arial"/>
          <w:sz w:val="14"/>
          <w:szCs w:val="14"/>
          <w:color w:val="auto"/>
        </w:rPr>
        <w:t>BNP Paribas, Crédit</w:t>
      </w:r>
    </w:p>
    <w:p>
      <w:pPr>
        <w:ind w:left="1760"/>
        <w:spacing w:after="0" w:line="222" w:lineRule="auto"/>
        <w:rPr>
          <w:sz w:val="20"/>
          <w:szCs w:val="20"/>
          <w:color w:val="auto"/>
        </w:rPr>
      </w:pPr>
      <w:r>
        <w:rPr>
          <w:rFonts w:ascii="Arial" w:cs="Arial" w:eastAsia="Arial" w:hAnsi="Arial"/>
          <w:sz w:val="14"/>
          <w:szCs w:val="14"/>
          <w:color w:val="auto"/>
        </w:rPr>
        <w:t>Agricole Corporate and</w:t>
      </w:r>
    </w:p>
    <w:p>
      <w:pPr>
        <w:ind w:left="1760"/>
        <w:spacing w:after="0"/>
        <w:rPr>
          <w:sz w:val="20"/>
          <w:szCs w:val="20"/>
          <w:color w:val="auto"/>
        </w:rPr>
      </w:pPr>
      <w:r>
        <w:rPr>
          <w:rFonts w:ascii="Arial" w:cs="Arial" w:eastAsia="Arial" w:hAnsi="Arial"/>
          <w:sz w:val="13"/>
          <w:szCs w:val="13"/>
          <w:color w:val="auto"/>
        </w:rPr>
        <w:t>Investment Bank, Credit</w:t>
      </w:r>
    </w:p>
    <w:p>
      <w:pPr>
        <w:ind w:left="1760"/>
        <w:spacing w:after="0"/>
        <w:rPr>
          <w:sz w:val="20"/>
          <w:szCs w:val="20"/>
          <w:color w:val="auto"/>
        </w:rPr>
      </w:pPr>
      <w:r>
        <w:rPr>
          <w:rFonts w:ascii="Arial" w:cs="Arial" w:eastAsia="Arial" w:hAnsi="Arial"/>
          <w:sz w:val="13"/>
          <w:szCs w:val="13"/>
          <w:color w:val="auto"/>
        </w:rPr>
        <w:t>Suisse AG, HSBC Bank</w:t>
      </w:r>
    </w:p>
    <w:p>
      <w:pPr>
        <w:ind w:left="1760"/>
        <w:spacing w:after="0" w:line="221" w:lineRule="auto"/>
        <w:rPr>
          <w:sz w:val="20"/>
          <w:szCs w:val="20"/>
          <w:color w:val="auto"/>
        </w:rPr>
      </w:pPr>
      <w:r>
        <w:rPr>
          <w:rFonts w:ascii="Arial" w:cs="Arial" w:eastAsia="Arial" w:hAnsi="Arial"/>
          <w:sz w:val="14"/>
          <w:szCs w:val="14"/>
          <w:color w:val="auto"/>
        </w:rPr>
        <w:t>plc, ING Bank N.V.,</w:t>
      </w:r>
    </w:p>
    <w:p>
      <w:pPr>
        <w:ind w:left="1760"/>
        <w:spacing w:after="0" w:line="221" w:lineRule="auto"/>
        <w:rPr>
          <w:sz w:val="20"/>
          <w:szCs w:val="20"/>
          <w:color w:val="auto"/>
        </w:rPr>
      </w:pPr>
      <w:r>
        <w:rPr>
          <w:rFonts w:ascii="Arial" w:cs="Arial" w:eastAsia="Arial" w:hAnsi="Arial"/>
          <w:sz w:val="14"/>
          <w:szCs w:val="14"/>
          <w:color w:val="auto"/>
        </w:rPr>
        <w:t>London Branch, KEB</w:t>
      </w:r>
    </w:p>
    <w:p>
      <w:pPr>
        <w:ind w:left="1760"/>
        <w:spacing w:after="0" w:line="222" w:lineRule="auto"/>
        <w:rPr>
          <w:sz w:val="20"/>
          <w:szCs w:val="20"/>
          <w:color w:val="auto"/>
        </w:rPr>
      </w:pPr>
      <w:r>
        <w:rPr>
          <w:rFonts w:ascii="Arial" w:cs="Arial" w:eastAsia="Arial" w:hAnsi="Arial"/>
          <w:sz w:val="14"/>
          <w:szCs w:val="14"/>
          <w:color w:val="auto"/>
        </w:rPr>
        <w:t>HANA Bank, London</w:t>
      </w:r>
    </w:p>
    <w:p>
      <w:pPr>
        <w:ind w:left="1760"/>
        <w:spacing w:after="0"/>
        <w:rPr>
          <w:sz w:val="20"/>
          <w:szCs w:val="20"/>
          <w:color w:val="auto"/>
        </w:rPr>
      </w:pPr>
      <w:r>
        <w:rPr>
          <w:rFonts w:ascii="Arial" w:cs="Arial" w:eastAsia="Arial" w:hAnsi="Arial"/>
          <w:sz w:val="13"/>
          <w:szCs w:val="13"/>
          <w:color w:val="auto"/>
        </w:rPr>
        <w:t>Branch, KfW IPEX-Bank</w:t>
      </w:r>
    </w:p>
    <w:p>
      <w:pPr>
        <w:ind w:left="1760"/>
        <w:spacing w:after="0" w:line="221" w:lineRule="auto"/>
        <w:rPr>
          <w:sz w:val="20"/>
          <w:szCs w:val="20"/>
          <w:color w:val="auto"/>
        </w:rPr>
      </w:pPr>
      <w:r>
        <w:rPr>
          <w:rFonts w:ascii="Arial" w:cs="Arial" w:eastAsia="Arial" w:hAnsi="Arial"/>
          <w:sz w:val="14"/>
          <w:szCs w:val="14"/>
          <w:color w:val="auto"/>
        </w:rPr>
        <w:t>GmbH, National</w:t>
      </w:r>
    </w:p>
    <w:p>
      <w:pPr>
        <w:ind w:left="1760"/>
        <w:spacing w:after="0" w:line="221" w:lineRule="auto"/>
        <w:rPr>
          <w:sz w:val="20"/>
          <w:szCs w:val="20"/>
          <w:color w:val="auto"/>
        </w:rPr>
      </w:pPr>
      <w:r>
        <w:rPr>
          <w:rFonts w:ascii="Arial" w:cs="Arial" w:eastAsia="Arial" w:hAnsi="Arial"/>
          <w:sz w:val="14"/>
          <w:szCs w:val="14"/>
          <w:color w:val="auto"/>
        </w:rPr>
        <w:t>Australia Bank Limited,</w:t>
      </w:r>
    </w:p>
    <w:p>
      <w:pPr>
        <w:ind w:left="1760"/>
        <w:spacing w:after="0" w:line="222" w:lineRule="auto"/>
        <w:rPr>
          <w:sz w:val="20"/>
          <w:szCs w:val="20"/>
          <w:color w:val="auto"/>
        </w:rPr>
      </w:pPr>
      <w:r>
        <w:rPr>
          <w:rFonts w:ascii="Arial" w:cs="Arial" w:eastAsia="Arial" w:hAnsi="Arial"/>
          <w:sz w:val="14"/>
          <w:szCs w:val="14"/>
          <w:color w:val="auto"/>
        </w:rPr>
        <w:t>Oversea-Chinese</w:t>
      </w:r>
    </w:p>
    <w:p>
      <w:pPr>
        <w:ind w:left="1760"/>
        <w:spacing w:after="0" w:line="221" w:lineRule="auto"/>
        <w:rPr>
          <w:sz w:val="20"/>
          <w:szCs w:val="20"/>
          <w:color w:val="auto"/>
        </w:rPr>
      </w:pPr>
      <w:r>
        <w:rPr>
          <w:rFonts w:ascii="Arial" w:cs="Arial" w:eastAsia="Arial" w:hAnsi="Arial"/>
          <w:sz w:val="14"/>
          <w:szCs w:val="14"/>
          <w:color w:val="auto"/>
        </w:rPr>
        <w:t>Banking Corporation</w:t>
      </w:r>
    </w:p>
    <w:p>
      <w:pPr>
        <w:ind w:left="1760"/>
        <w:spacing w:after="0" w:line="222" w:lineRule="auto"/>
        <w:rPr>
          <w:sz w:val="20"/>
          <w:szCs w:val="20"/>
          <w:color w:val="auto"/>
        </w:rPr>
      </w:pPr>
      <w:r>
        <w:rPr>
          <w:rFonts w:ascii="Arial" w:cs="Arial" w:eastAsia="Arial" w:hAnsi="Arial"/>
          <w:sz w:val="14"/>
          <w:szCs w:val="14"/>
          <w:color w:val="auto"/>
        </w:rPr>
        <w:t>Limited, Société</w:t>
      </w:r>
    </w:p>
    <w:p>
      <w:pPr>
        <w:ind w:left="1760"/>
        <w:spacing w:after="0"/>
        <w:rPr>
          <w:sz w:val="20"/>
          <w:szCs w:val="20"/>
          <w:color w:val="auto"/>
        </w:rPr>
      </w:pPr>
      <w:r>
        <w:rPr>
          <w:rFonts w:ascii="Arial" w:cs="Arial" w:eastAsia="Arial" w:hAnsi="Arial"/>
          <w:sz w:val="13"/>
          <w:szCs w:val="13"/>
          <w:color w:val="auto"/>
        </w:rPr>
        <w:t>Générale and The Korea</w:t>
      </w:r>
    </w:p>
    <w:p>
      <w:pPr>
        <w:ind w:left="1760"/>
        <w:spacing w:after="0"/>
        <w:rPr>
          <w:sz w:val="20"/>
          <w:szCs w:val="20"/>
          <w:color w:val="auto"/>
        </w:rPr>
      </w:pPr>
      <w:r>
        <w:rPr>
          <w:rFonts w:ascii="Arial" w:cs="Arial" w:eastAsia="Arial" w:hAnsi="Arial"/>
          <w:sz w:val="14"/>
          <w:szCs w:val="14"/>
          <w:color w:val="auto"/>
        </w:rPr>
        <w:t>Development Bank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GAS-eleven Ltd.</w:t>
            </w:r>
          </w:p>
        </w:tc>
        <w:tc>
          <w:tcPr>
            <w:tcW w:w="1340" w:type="dxa"/>
            <w:vAlign w:val="bottom"/>
          </w:tcPr>
          <w:p>
            <w:pPr>
              <w:ind w:left="140"/>
              <w:spacing w:after="0" w:line="143" w:lineRule="exact"/>
              <w:rPr>
                <w:sz w:val="20"/>
                <w:szCs w:val="20"/>
                <w:color w:val="auto"/>
              </w:rPr>
            </w:pPr>
            <w:r>
              <w:rPr>
                <w:rFonts w:ascii="Arial" w:cs="Arial" w:eastAsia="Arial" w:hAnsi="Arial"/>
                <w:sz w:val="14"/>
                <w:szCs w:val="14"/>
                <w:color w:val="auto"/>
              </w:rPr>
              <w:t>$635.78 million</w:t>
            </w:r>
          </w:p>
        </w:tc>
        <w:tc>
          <w:tcPr>
            <w:tcW w:w="1480" w:type="dxa"/>
            <w:vAlign w:val="bottom"/>
          </w:tcPr>
          <w:p>
            <w:pPr>
              <w:ind w:left="300"/>
              <w:spacing w:after="0" w:line="143" w:lineRule="exact"/>
              <w:rPr>
                <w:sz w:val="20"/>
                <w:szCs w:val="20"/>
                <w:color w:val="auto"/>
              </w:rPr>
            </w:pPr>
            <w:r>
              <w:rPr>
                <w:rFonts w:ascii="Arial" w:cs="Arial" w:eastAsia="Arial" w:hAnsi="Arial"/>
                <w:sz w:val="14"/>
                <w:szCs w:val="14"/>
                <w:color w:val="auto"/>
              </w:rPr>
              <w:t>$644.03 million</w:t>
            </w:r>
          </w:p>
        </w:tc>
        <w:tc>
          <w:tcPr>
            <w:tcW w:w="1180" w:type="dxa"/>
            <w:vAlign w:val="bottom"/>
          </w:tcPr>
          <w:p>
            <w:pPr>
              <w:ind w:left="280"/>
              <w:spacing w:after="0" w:line="143" w:lineRule="exact"/>
              <w:rPr>
                <w:sz w:val="20"/>
                <w:szCs w:val="20"/>
                <w:color w:val="auto"/>
              </w:rPr>
            </w:pPr>
            <w:r>
              <w:rPr>
                <w:rFonts w:ascii="Arial" w:cs="Arial" w:eastAsia="Arial" w:hAnsi="Arial"/>
                <w:sz w:val="14"/>
                <w:szCs w:val="14"/>
                <w:color w:val="auto"/>
              </w:rPr>
              <w:t>LIBOR +</w:t>
            </w:r>
          </w:p>
        </w:tc>
        <w:tc>
          <w:tcPr>
            <w:tcW w:w="1040" w:type="dxa"/>
            <w:vAlign w:val="bottom"/>
          </w:tcPr>
          <w:p>
            <w:pPr>
              <w:jc w:val="right"/>
              <w:ind w:right="289"/>
              <w:spacing w:after="0" w:line="143" w:lineRule="exact"/>
              <w:rPr>
                <w:sz w:val="20"/>
                <w:szCs w:val="20"/>
                <w:color w:val="auto"/>
              </w:rPr>
            </w:pPr>
            <w:r>
              <w:rPr>
                <w:rFonts w:ascii="Arial" w:cs="Arial" w:eastAsia="Arial" w:hAnsi="Arial"/>
                <w:sz w:val="14"/>
                <w:szCs w:val="14"/>
                <w:color w:val="auto"/>
              </w:rPr>
              <w:t>2028</w:t>
            </w:r>
            <w:r>
              <w:rPr>
                <w:rFonts w:ascii="Arial" w:cs="Arial" w:eastAsia="Arial" w:hAnsi="Arial"/>
                <w:sz w:val="8"/>
                <w:szCs w:val="8"/>
                <w:color w:val="auto"/>
              </w:rPr>
              <w:t>(1)</w:t>
            </w:r>
          </w:p>
        </w:tc>
        <w:tc>
          <w:tcPr>
            <w:tcW w:w="1220" w:type="dxa"/>
            <w:vAlign w:val="bottom"/>
          </w:tcPr>
          <w:p>
            <w:pPr>
              <w:ind w:left="380"/>
              <w:spacing w:after="0" w:line="143" w:lineRule="exact"/>
              <w:rPr>
                <w:sz w:val="20"/>
                <w:szCs w:val="20"/>
                <w:color w:val="auto"/>
              </w:rPr>
            </w:pPr>
            <w:r>
              <w:rPr>
                <w:rFonts w:ascii="Arial" w:cs="Arial" w:eastAsia="Arial" w:hAnsi="Arial"/>
                <w:sz w:val="14"/>
                <w:szCs w:val="14"/>
                <w:color w:val="auto"/>
                <w:w w:val="87"/>
              </w:rPr>
              <w:t>19 consecutive</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Greece</w:t>
            </w:r>
            <w:r>
              <w:rPr>
                <w:rFonts w:ascii="Arial" w:cs="Arial" w:eastAsia="Arial" w:hAnsi="Arial"/>
                <w:sz w:val="14"/>
                <w:szCs w:val="14"/>
                <w:color w:val="auto"/>
              </w:rPr>
              <w:t>), GAS-</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ind w:left="280"/>
              <w:spacing w:after="0" w:line="149" w:lineRule="exact"/>
              <w:rPr>
                <w:sz w:val="20"/>
                <w:szCs w:val="20"/>
                <w:color w:val="auto"/>
              </w:rPr>
            </w:pPr>
            <w:r>
              <w:rPr>
                <w:rFonts w:ascii="Arial" w:cs="Arial" w:eastAsia="Arial" w:hAnsi="Arial"/>
                <w:sz w:val="14"/>
                <w:szCs w:val="14"/>
                <w:color w:val="auto"/>
              </w:rPr>
              <w:t>applicable</w:t>
            </w: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semi-annual</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twelve Ltd. (</w:t>
            </w:r>
            <w:r>
              <w:rPr>
                <w:rFonts w:ascii="Arial" w:cs="Arial" w:eastAsia="Arial" w:hAnsi="Arial"/>
                <w:sz w:val="14"/>
                <w:szCs w:val="14"/>
                <w:i w:val="1"/>
                <w:iCs w:val="1"/>
                <w:color w:val="auto"/>
              </w:rPr>
              <w:t>GasLog</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ind w:left="280"/>
              <w:spacing w:after="0" w:line="149" w:lineRule="exact"/>
              <w:rPr>
                <w:sz w:val="20"/>
                <w:szCs w:val="20"/>
                <w:color w:val="auto"/>
              </w:rPr>
            </w:pPr>
            <w:r>
              <w:rPr>
                <w:rFonts w:ascii="Arial" w:cs="Arial" w:eastAsia="Arial" w:hAnsi="Arial"/>
                <w:sz w:val="14"/>
                <w:szCs w:val="14"/>
                <w:color w:val="auto"/>
              </w:rPr>
              <w:t>margin</w:t>
            </w: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w w:val="91"/>
              </w:rPr>
              <w:t>installments of</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i w:val="1"/>
                <w:iCs w:val="1"/>
                <w:color w:val="auto"/>
              </w:rPr>
              <w:t>Glasgow</w:t>
            </w:r>
            <w:r>
              <w:rPr>
                <w:rFonts w:ascii="Arial" w:cs="Arial" w:eastAsia="Arial" w:hAnsi="Arial"/>
                <w:sz w:val="14"/>
                <w:szCs w:val="14"/>
                <w:color w:val="auto"/>
              </w:rPr>
              <w:t>), GAS-thirteen</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$11.54</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Ltd. (</w:t>
            </w:r>
            <w:r>
              <w:rPr>
                <w:rFonts w:ascii="Arial" w:cs="Arial" w:eastAsia="Arial" w:hAnsi="Arial"/>
                <w:sz w:val="14"/>
                <w:szCs w:val="14"/>
                <w:i w:val="1"/>
                <w:iCs w:val="1"/>
                <w:color w:val="auto"/>
              </w:rPr>
              <w:t>GasLog Geneva</w:t>
            </w:r>
            <w:r>
              <w:rPr>
                <w:rFonts w:ascii="Arial" w:cs="Arial" w:eastAsia="Arial" w:hAnsi="Arial"/>
                <w:sz w:val="14"/>
                <w:szCs w:val="14"/>
                <w:color w:val="auto"/>
              </w:rPr>
              <w:t>),</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million, 20</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GAS-fourteen Ltd.</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consecutive</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semi-annual</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GAS-twenty two Ltd.</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w w:val="91"/>
              </w:rPr>
              <w:t>installments of</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Hull 2130</w:t>
            </w:r>
            <w:r>
              <w:rPr>
                <w:rFonts w:ascii="Arial" w:cs="Arial" w:eastAsia="Arial" w:hAnsi="Arial"/>
                <w:sz w:val="14"/>
                <w:szCs w:val="14"/>
                <w:color w:val="auto"/>
              </w:rPr>
              <w:t>), GAS-twenty</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$11.38</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three Ltd. (</w:t>
            </w:r>
            <w:r>
              <w:rPr>
                <w:rFonts w:ascii="Arial" w:cs="Arial" w:eastAsia="Arial" w:hAnsi="Arial"/>
                <w:sz w:val="14"/>
                <w:szCs w:val="14"/>
                <w:i w:val="1"/>
                <w:iCs w:val="1"/>
                <w:color w:val="auto"/>
              </w:rPr>
              <w:t>Hull 2131</w:t>
            </w:r>
            <w:r>
              <w:rPr>
                <w:rFonts w:ascii="Arial" w:cs="Arial" w:eastAsia="Arial" w:hAnsi="Arial"/>
                <w:sz w:val="14"/>
                <w:szCs w:val="14"/>
                <w:color w:val="auto"/>
              </w:rPr>
              <w:t>),</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million, a</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GAS-twenty four Ltd.</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balloon</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Hull 2800</w:t>
            </w:r>
            <w:r>
              <w:rPr>
                <w:rFonts w:ascii="Arial" w:cs="Arial" w:eastAsia="Arial" w:hAnsi="Arial"/>
                <w:sz w:val="14"/>
                <w:szCs w:val="14"/>
                <w:color w:val="auto"/>
              </w:rPr>
              <w:t>) and GAS-</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payment due</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twenty five Ltd. (</w:t>
            </w:r>
            <w:r>
              <w:rPr>
                <w:rFonts w:ascii="Arial" w:cs="Arial" w:eastAsia="Arial" w:hAnsi="Arial"/>
                <w:sz w:val="14"/>
                <w:szCs w:val="14"/>
                <w:i w:val="1"/>
                <w:iCs w:val="1"/>
                <w:color w:val="auto"/>
              </w:rPr>
              <w:t>Hull</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in 2026 of</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i w:val="1"/>
                <w:iCs w:val="1"/>
                <w:color w:val="auto"/>
              </w:rPr>
              <w:t>2801</w:t>
            </w:r>
            <w:r>
              <w:rPr>
                <w:rFonts w:ascii="Arial" w:cs="Arial" w:eastAsia="Arial" w:hAnsi="Arial"/>
                <w:sz w:val="14"/>
                <w:szCs w:val="14"/>
                <w:color w:val="auto"/>
              </w:rPr>
              <w:t>)</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$121.36</w:t>
            </w:r>
          </w:p>
        </w:tc>
      </w:tr>
      <w:tr>
        <w:trPr>
          <w:trHeight w:val="149"/>
        </w:trPr>
        <w:tc>
          <w:tcPr>
            <w:tcW w:w="1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million and</w:t>
            </w:r>
          </w:p>
        </w:tc>
      </w:tr>
      <w:tr>
        <w:trPr>
          <w:trHeight w:val="149"/>
        </w:trPr>
        <w:tc>
          <w:tcPr>
            <w:tcW w:w="1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thereafter 4</w:t>
            </w:r>
          </w:p>
        </w:tc>
      </w:tr>
      <w:tr>
        <w:trPr>
          <w:trHeight w:val="161"/>
        </w:trPr>
        <w:tc>
          <w:tcPr>
            <w:tcW w:w="1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ind w:left="380"/>
              <w:spacing w:after="0"/>
              <w:rPr>
                <w:sz w:val="20"/>
                <w:szCs w:val="20"/>
                <w:color w:val="auto"/>
              </w:rPr>
            </w:pPr>
            <w:r>
              <w:rPr>
                <w:rFonts w:ascii="Arial" w:cs="Arial" w:eastAsia="Arial" w:hAnsi="Arial"/>
                <w:sz w:val="14"/>
                <w:szCs w:val="14"/>
                <w:color w:val="auto"/>
              </w:rPr>
              <w:t>consecutive</w:t>
            </w:r>
          </w:p>
        </w:tc>
      </w:tr>
    </w:tbl>
    <w:p>
      <w:pPr>
        <w:ind w:left="7040"/>
        <w:spacing w:after="0" w:line="221" w:lineRule="auto"/>
        <w:rPr>
          <w:sz w:val="20"/>
          <w:szCs w:val="20"/>
          <w:color w:val="auto"/>
        </w:rPr>
      </w:pPr>
      <w:r>
        <w:rPr>
          <w:rFonts w:ascii="Arial" w:cs="Arial" w:eastAsia="Arial" w:hAnsi="Arial"/>
          <w:sz w:val="14"/>
          <w:szCs w:val="14"/>
          <w:color w:val="auto"/>
        </w:rPr>
        <w:t>semi-annual</w:t>
      </w:r>
    </w:p>
    <w:p>
      <w:pPr>
        <w:ind w:left="7040"/>
        <w:spacing w:after="0"/>
        <w:rPr>
          <w:sz w:val="20"/>
          <w:szCs w:val="20"/>
          <w:color w:val="auto"/>
        </w:rPr>
      </w:pPr>
      <w:r>
        <w:rPr>
          <w:rFonts w:ascii="Arial" w:cs="Arial" w:eastAsia="Arial" w:hAnsi="Arial"/>
          <w:sz w:val="13"/>
          <w:szCs w:val="13"/>
          <w:color w:val="auto"/>
        </w:rPr>
        <w:t>installments of</w:t>
      </w:r>
    </w:p>
    <w:p>
      <w:pPr>
        <w:ind w:left="7040"/>
        <w:spacing w:after="0"/>
        <w:rPr>
          <w:sz w:val="20"/>
          <w:szCs w:val="20"/>
          <w:color w:val="auto"/>
        </w:rPr>
      </w:pPr>
      <w:r>
        <w:rPr>
          <w:rFonts w:ascii="Arial" w:cs="Arial" w:eastAsia="Arial" w:hAnsi="Arial"/>
          <w:sz w:val="13"/>
          <w:szCs w:val="13"/>
          <w:color w:val="auto"/>
        </w:rPr>
        <w:t>$16.86 million</w:t>
      </w:r>
    </w:p>
    <w:p>
      <w:pPr>
        <w:ind w:left="7040"/>
        <w:spacing w:after="0" w:line="221" w:lineRule="auto"/>
        <w:rPr>
          <w:sz w:val="20"/>
          <w:szCs w:val="20"/>
          <w:color w:val="auto"/>
        </w:rPr>
      </w:pPr>
      <w:r>
        <w:rPr>
          <w:rFonts w:ascii="Arial" w:cs="Arial" w:eastAsia="Arial" w:hAnsi="Arial"/>
          <w:sz w:val="14"/>
          <w:szCs w:val="14"/>
          <w:color w:val="auto"/>
        </w:rPr>
        <w:t>until October</w:t>
      </w:r>
    </w:p>
    <w:p>
      <w:pPr>
        <w:ind w:left="7040"/>
        <w:spacing w:after="0" w:line="230" w:lineRule="auto"/>
        <w:rPr>
          <w:sz w:val="20"/>
          <w:szCs w:val="20"/>
          <w:color w:val="auto"/>
        </w:rPr>
      </w:pPr>
      <w:r>
        <w:rPr>
          <w:rFonts w:ascii="Arial" w:cs="Arial" w:eastAsia="Arial" w:hAnsi="Arial"/>
          <w:sz w:val="14"/>
          <w:szCs w:val="14"/>
          <w:color w:val="auto"/>
        </w:rPr>
        <w:t>2028.</w:t>
      </w:r>
    </w:p>
    <w:p>
      <w:pPr>
        <w:spacing w:after="0" w:line="1" w:lineRule="exact"/>
        <w:rPr>
          <w:sz w:val="20"/>
          <w:szCs w:val="20"/>
          <w:color w:val="auto"/>
        </w:rPr>
      </w:pPr>
    </w:p>
    <w:p>
      <w:pPr>
        <w:sectPr>
          <w:pgSz w:w="11900" w:h="16838" w:orient="portrait"/>
          <w:cols w:equalWidth="0" w:num="2">
            <w:col w:w="3220" w:space="300"/>
            <w:col w:w="7900"/>
          </w:cols>
          <w:pgMar w:left="240" w:top="586"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58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color w:val="auto"/>
              </w:rPr>
              <w:t>Five Vessel Refinancing</w:t>
            </w:r>
          </w:p>
        </w:tc>
        <w:tc>
          <w:tcPr>
            <w:tcW w:w="1780" w:type="dxa"/>
            <w:vAlign w:val="bottom"/>
            <w:tcBorders>
              <w:top w:val="single" w:sz="8" w:color="auto"/>
            </w:tcBorders>
          </w:tcPr>
          <w:p>
            <w:pPr>
              <w:ind w:left="180"/>
              <w:spacing w:after="0" w:line="138" w:lineRule="exact"/>
              <w:rPr>
                <w:sz w:val="20"/>
                <w:szCs w:val="20"/>
                <w:color w:val="auto"/>
              </w:rPr>
            </w:pPr>
            <w:r>
              <w:rPr>
                <w:rFonts w:ascii="Arial" w:cs="Arial" w:eastAsia="Arial" w:hAnsi="Arial"/>
                <w:sz w:val="14"/>
                <w:szCs w:val="14"/>
                <w:color w:val="auto"/>
              </w:rPr>
              <w:t>ABN AMRO Bank N.V.,</w:t>
            </w:r>
          </w:p>
        </w:tc>
        <w:tc>
          <w:tcPr>
            <w:tcW w:w="1760" w:type="dxa"/>
            <w:vAlign w:val="bottom"/>
            <w:tcBorders>
              <w:top w:val="single" w:sz="8" w:color="auto"/>
            </w:tcBorders>
          </w:tcPr>
          <w:p>
            <w:pPr>
              <w:ind w:left="160"/>
              <w:spacing w:after="0" w:line="138" w:lineRule="exact"/>
              <w:rPr>
                <w:sz w:val="20"/>
                <w:szCs w:val="20"/>
                <w:color w:val="auto"/>
              </w:rPr>
            </w:pPr>
            <w:r>
              <w:rPr>
                <w:rFonts w:ascii="Arial" w:cs="Arial" w:eastAsia="Arial" w:hAnsi="Arial"/>
                <w:sz w:val="14"/>
                <w:szCs w:val="14"/>
                <w:color w:val="auto"/>
              </w:rPr>
              <w:t>GAS-eighteen Ltd.</w:t>
            </w:r>
          </w:p>
        </w:tc>
        <w:tc>
          <w:tcPr>
            <w:tcW w:w="1360" w:type="dxa"/>
            <w:vAlign w:val="bottom"/>
            <w:tcBorders>
              <w:top w:val="single" w:sz="8" w:color="auto"/>
            </w:tcBorders>
          </w:tcPr>
          <w:p>
            <w:pPr>
              <w:ind w:left="160"/>
              <w:spacing w:after="0" w:line="138" w:lineRule="exact"/>
              <w:rPr>
                <w:sz w:val="20"/>
                <w:szCs w:val="20"/>
                <w:color w:val="auto"/>
              </w:rPr>
            </w:pPr>
            <w:r>
              <w:rPr>
                <w:rFonts w:ascii="Arial" w:cs="Arial" w:eastAsia="Arial" w:hAnsi="Arial"/>
                <w:sz w:val="14"/>
                <w:szCs w:val="14"/>
                <w:color w:val="auto"/>
              </w:rPr>
              <w:t>$383.13 million</w:t>
            </w:r>
          </w:p>
        </w:tc>
        <w:tc>
          <w:tcPr>
            <w:tcW w:w="1120" w:type="dxa"/>
            <w:vAlign w:val="bottom"/>
            <w:tcBorders>
              <w:top w:val="single" w:sz="8" w:color="auto"/>
            </w:tcBorders>
          </w:tcPr>
          <w:p>
            <w:pPr>
              <w:ind w:left="300"/>
              <w:spacing w:after="0" w:line="138" w:lineRule="exact"/>
              <w:rPr>
                <w:sz w:val="20"/>
                <w:szCs w:val="20"/>
                <w:color w:val="auto"/>
              </w:rPr>
            </w:pPr>
            <w:r>
              <w:rPr>
                <w:rFonts w:ascii="Arial" w:cs="Arial" w:eastAsia="Arial" w:hAnsi="Arial"/>
                <w:sz w:val="14"/>
                <w:szCs w:val="14"/>
                <w:color w:val="auto"/>
              </w:rPr>
              <w:t>n/a</w:t>
            </w:r>
          </w:p>
        </w:tc>
        <w:tc>
          <w:tcPr>
            <w:tcW w:w="154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4"/>
                <w:szCs w:val="14"/>
                <w:color w:val="auto"/>
              </w:rPr>
              <w:t>LIBOR +</w:t>
            </w:r>
          </w:p>
        </w:tc>
        <w:tc>
          <w:tcPr>
            <w:tcW w:w="1000" w:type="dxa"/>
            <w:vAlign w:val="bottom"/>
            <w:tcBorders>
              <w:top w:val="single" w:sz="8" w:color="auto"/>
            </w:tcBorders>
          </w:tcPr>
          <w:p>
            <w:pPr>
              <w:jc w:val="right"/>
              <w:ind w:right="349"/>
              <w:spacing w:after="0" w:line="138" w:lineRule="exact"/>
              <w:rPr>
                <w:sz w:val="20"/>
                <w:szCs w:val="20"/>
                <w:color w:val="auto"/>
              </w:rPr>
            </w:pPr>
            <w:r>
              <w:rPr>
                <w:rFonts w:ascii="Arial" w:cs="Arial" w:eastAsia="Arial" w:hAnsi="Arial"/>
                <w:sz w:val="14"/>
                <w:szCs w:val="14"/>
                <w:color w:val="auto"/>
              </w:rPr>
              <w:t>2021</w:t>
            </w:r>
          </w:p>
        </w:tc>
        <w:tc>
          <w:tcPr>
            <w:tcW w:w="1280" w:type="dxa"/>
            <w:vAlign w:val="bottom"/>
            <w:tcBorders>
              <w:top w:val="single" w:sz="8" w:color="auto"/>
            </w:tcBorders>
          </w:tcPr>
          <w:p>
            <w:pPr>
              <w:ind w:left="420"/>
              <w:spacing w:after="0" w:line="138" w:lineRule="exact"/>
              <w:rPr>
                <w:sz w:val="20"/>
                <w:szCs w:val="20"/>
                <w:color w:val="auto"/>
              </w:rPr>
            </w:pPr>
            <w:r>
              <w:rPr>
                <w:rFonts w:ascii="Arial" w:cs="Arial" w:eastAsia="Arial" w:hAnsi="Arial"/>
                <w:sz w:val="14"/>
                <w:szCs w:val="14"/>
                <w:color w:val="auto"/>
                <w:w w:val="89"/>
              </w:rPr>
              <w:t>18 consecutive</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(Senior Facility)</w:t>
            </w: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DNB (UK) Ltd., DVB</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(Methane Lydon Volney),</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ind w:left="640"/>
              <w:spacing w:after="0" w:line="149" w:lineRule="exact"/>
              <w:rPr>
                <w:sz w:val="20"/>
                <w:szCs w:val="20"/>
                <w:color w:val="auto"/>
              </w:rPr>
            </w:pPr>
            <w:r>
              <w:rPr>
                <w:rFonts w:ascii="Arial" w:cs="Arial" w:eastAsia="Arial" w:hAnsi="Arial"/>
                <w:sz w:val="14"/>
                <w:szCs w:val="14"/>
                <w:color w:val="auto"/>
              </w:rPr>
              <w:t>applicable</w:t>
            </w: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Bank America N.V.,</w:t>
            </w:r>
          </w:p>
        </w:tc>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GAS-nineteen Ltd.</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ind w:left="640"/>
              <w:spacing w:after="0" w:line="149" w:lineRule="exact"/>
              <w:rPr>
                <w:sz w:val="20"/>
                <w:szCs w:val="20"/>
                <w:color w:val="auto"/>
              </w:rPr>
            </w:pPr>
            <w:r>
              <w:rPr>
                <w:rFonts w:ascii="Arial" w:cs="Arial" w:eastAsia="Arial" w:hAnsi="Arial"/>
                <w:sz w:val="14"/>
                <w:szCs w:val="14"/>
                <w:color w:val="auto"/>
              </w:rPr>
              <w:t>margin</w:t>
            </w: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93"/>
              </w:rPr>
              <w:t>installments of</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Commonwealth Bank of</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(Methane Alison</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$6.16 million,</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Australia, ING Bank</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 xml:space="preserve">Victoria) </w:t>
            </w:r>
            <w:r>
              <w:rPr>
                <w:rFonts w:ascii="Arial" w:cs="Arial" w:eastAsia="Arial" w:hAnsi="Arial"/>
                <w:sz w:val="14"/>
                <w:szCs w:val="14"/>
                <w:color w:val="auto"/>
              </w:rPr>
              <w:t>GAS-twenty</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89"/>
              </w:rPr>
              <w:t>17 consecutive</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N.V., London Branch,</w:t>
            </w:r>
          </w:p>
        </w:tc>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Ltd. </w:t>
            </w:r>
            <w:r>
              <w:rPr>
                <w:rFonts w:ascii="Arial" w:cs="Arial" w:eastAsia="Arial" w:hAnsi="Arial"/>
                <w:sz w:val="14"/>
                <w:szCs w:val="14"/>
                <w:i w:val="1"/>
                <w:iCs w:val="1"/>
                <w:color w:val="auto"/>
              </w:rPr>
              <w:t>(Methane Shirley</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Credit Agricole</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 xml:space="preserve">Elizabeth), </w:t>
            </w:r>
            <w:r>
              <w:rPr>
                <w:rFonts w:ascii="Arial" w:cs="Arial" w:eastAsia="Arial" w:hAnsi="Arial"/>
                <w:sz w:val="14"/>
                <w:szCs w:val="14"/>
                <w:color w:val="auto"/>
              </w:rPr>
              <w:t>GAS- twenty</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93"/>
              </w:rPr>
              <w:t>installments of</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Corporate and</w:t>
            </w:r>
          </w:p>
        </w:tc>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one Ltd. </w:t>
            </w:r>
            <w:r>
              <w:rPr>
                <w:rFonts w:ascii="Arial" w:cs="Arial" w:eastAsia="Arial" w:hAnsi="Arial"/>
                <w:sz w:val="14"/>
                <w:szCs w:val="14"/>
                <w:i w:val="1"/>
                <w:iCs w:val="1"/>
                <w:color w:val="auto"/>
              </w:rPr>
              <w:t>(Methane</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$1.77 million</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Investment Bank and</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 xml:space="preserve">Heather Sally, </w:t>
            </w:r>
            <w:r>
              <w:rPr>
                <w:rFonts w:ascii="Arial" w:cs="Arial" w:eastAsia="Arial" w:hAnsi="Arial"/>
                <w:sz w:val="14"/>
                <w:szCs w:val="14"/>
                <w:color w:val="auto"/>
              </w:rPr>
              <w:t>GAS-</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99"/>
              </w:rPr>
              <w:t>and a balloon</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National Australia Bank</w:t>
            </w:r>
          </w:p>
        </w:tc>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twenty seven Ltd.</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payment of</w:t>
            </w:r>
          </w:p>
        </w:tc>
      </w:tr>
      <w:tr>
        <w:trPr>
          <w:trHeight w:val="149"/>
        </w:trPr>
        <w:tc>
          <w:tcPr>
            <w:tcW w:w="1580" w:type="dxa"/>
            <w:vAlign w:val="bottom"/>
          </w:tcPr>
          <w:p>
            <w:pPr>
              <w:spacing w:after="0"/>
              <w:rPr>
                <w:sz w:val="12"/>
                <w:szCs w:val="12"/>
                <w:color w:val="auto"/>
              </w:rPr>
            </w:pPr>
          </w:p>
        </w:tc>
        <w:tc>
          <w:tcPr>
            <w:tcW w:w="1780" w:type="dxa"/>
            <w:vAlign w:val="bottom"/>
          </w:tcPr>
          <w:p>
            <w:pPr>
              <w:ind w:left="180"/>
              <w:spacing w:after="0" w:line="149" w:lineRule="exact"/>
              <w:rPr>
                <w:sz w:val="20"/>
                <w:szCs w:val="20"/>
                <w:color w:val="auto"/>
              </w:rPr>
            </w:pPr>
            <w:r>
              <w:rPr>
                <w:rFonts w:ascii="Arial" w:cs="Arial" w:eastAsia="Arial" w:hAnsi="Arial"/>
                <w:sz w:val="14"/>
                <w:szCs w:val="14"/>
                <w:color w:val="auto"/>
              </w:rPr>
              <w:t>Limited</w:t>
            </w:r>
          </w:p>
        </w:tc>
        <w:tc>
          <w:tcPr>
            <w:tcW w:w="17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(Methane Becki Anne)</w:t>
            </w: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$242.11</w:t>
            </w:r>
          </w:p>
        </w:tc>
      </w:tr>
      <w:tr>
        <w:trPr>
          <w:trHeight w:val="161"/>
        </w:trPr>
        <w:tc>
          <w:tcPr>
            <w:tcW w:w="1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ind w:left="420"/>
              <w:spacing w:after="0"/>
              <w:rPr>
                <w:sz w:val="20"/>
                <w:szCs w:val="20"/>
                <w:color w:val="auto"/>
              </w:rPr>
            </w:pPr>
            <w:r>
              <w:rPr>
                <w:rFonts w:ascii="Arial" w:cs="Arial" w:eastAsia="Arial" w:hAnsi="Arial"/>
                <w:sz w:val="14"/>
                <w:szCs w:val="14"/>
                <w:color w:val="auto"/>
              </w:rPr>
              <w:t>million</w:t>
            </w:r>
          </w:p>
        </w:tc>
      </w:tr>
    </w:tbl>
    <w:p>
      <w:pPr>
        <w:ind w:left="10560"/>
        <w:spacing w:after="0" w:line="221" w:lineRule="auto"/>
        <w:rPr>
          <w:sz w:val="20"/>
          <w:szCs w:val="20"/>
          <w:color w:val="auto"/>
        </w:rPr>
      </w:pPr>
      <w:r>
        <w:rPr>
          <w:rFonts w:ascii="Arial" w:cs="Arial" w:eastAsia="Arial" w:hAnsi="Arial"/>
          <w:sz w:val="14"/>
          <w:szCs w:val="14"/>
          <w:color w:val="auto"/>
        </w:rPr>
        <w:t>together with</w:t>
      </w:r>
    </w:p>
    <w:p>
      <w:pPr>
        <w:ind w:left="10560"/>
        <w:spacing w:after="0" w:line="221" w:lineRule="auto"/>
        <w:rPr>
          <w:sz w:val="20"/>
          <w:szCs w:val="20"/>
          <w:color w:val="auto"/>
        </w:rPr>
      </w:pPr>
      <w:r>
        <w:rPr>
          <w:rFonts w:ascii="Arial" w:cs="Arial" w:eastAsia="Arial" w:hAnsi="Arial"/>
          <w:sz w:val="14"/>
          <w:szCs w:val="14"/>
          <w:color w:val="auto"/>
        </w:rPr>
        <w:t>the final</w:t>
      </w:r>
    </w:p>
    <w:p>
      <w:pPr>
        <w:ind w:left="10560"/>
        <w:spacing w:after="0" w:line="222" w:lineRule="auto"/>
        <w:rPr>
          <w:sz w:val="20"/>
          <w:szCs w:val="20"/>
          <w:color w:val="auto"/>
        </w:rPr>
      </w:pPr>
      <w:r>
        <w:rPr>
          <w:rFonts w:ascii="Arial" w:cs="Arial" w:eastAsia="Arial" w:hAnsi="Arial"/>
          <w:sz w:val="14"/>
          <w:szCs w:val="14"/>
          <w:color w:val="auto"/>
        </w:rPr>
        <w:t>quarterly</w:t>
      </w:r>
    </w:p>
    <w:p>
      <w:pPr>
        <w:ind w:left="10560"/>
        <w:spacing w:after="0"/>
        <w:rPr>
          <w:sz w:val="20"/>
          <w:szCs w:val="20"/>
          <w:color w:val="auto"/>
        </w:rPr>
      </w:pPr>
      <w:r>
        <w:rPr>
          <w:rFonts w:ascii="Arial" w:cs="Arial" w:eastAsia="Arial" w:hAnsi="Arial"/>
          <w:sz w:val="13"/>
          <w:szCs w:val="13"/>
          <w:color w:val="auto"/>
        </w:rPr>
        <w:t>installments in</w:t>
      </w:r>
    </w:p>
    <w:p>
      <w:pPr>
        <w:ind w:left="10560"/>
        <w:spacing w:after="0"/>
        <w:rPr>
          <w:sz w:val="20"/>
          <w:szCs w:val="20"/>
          <w:color w:val="auto"/>
        </w:rPr>
      </w:pPr>
      <w:r>
        <w:rPr>
          <w:rFonts w:ascii="Arial" w:cs="Arial" w:eastAsia="Arial" w:hAnsi="Arial"/>
          <w:sz w:val="14"/>
          <w:szCs w:val="14"/>
          <w:color w:val="auto"/>
        </w:rPr>
        <w:t>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type w:val="continuous"/>
        </w:sectPr>
      </w:pPr>
    </w:p>
    <w:bookmarkStart w:id="76" w:name="page77"/>
    <w:bookmarkEnd w:id="76"/>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Facility Name</w:t>
            </w:r>
          </w:p>
        </w:tc>
        <w:tc>
          <w:tcPr>
            <w:tcW w:w="280" w:type="dxa"/>
            <w:vAlign w:val="bottom"/>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Lender(s)</w:t>
            </w:r>
          </w:p>
        </w:tc>
      </w:tr>
      <w:tr>
        <w:trPr>
          <w:trHeight w:val="124"/>
        </w:trPr>
        <w:tc>
          <w:tcPr>
            <w:tcW w:w="20" w:type="dxa"/>
            <w:vAlign w:val="bottom"/>
          </w:tcPr>
          <w:p>
            <w:pPr>
              <w:spacing w:after="0"/>
              <w:rPr>
                <w:sz w:val="10"/>
                <w:szCs w:val="10"/>
                <w:color w:val="auto"/>
              </w:rPr>
            </w:pPr>
          </w:p>
        </w:tc>
        <w:tc>
          <w:tcPr>
            <w:tcW w:w="1440" w:type="dxa"/>
            <w:vAlign w:val="bottom"/>
          </w:tcPr>
          <w:p>
            <w:pPr>
              <w:spacing w:after="0" w:line="125" w:lineRule="exact"/>
              <w:rPr>
                <w:sz w:val="20"/>
                <w:szCs w:val="20"/>
                <w:color w:val="auto"/>
              </w:rPr>
            </w:pPr>
            <w:r>
              <w:rPr>
                <w:rFonts w:ascii="Arial" w:cs="Arial" w:eastAsia="Arial" w:hAnsi="Arial"/>
                <w:sz w:val="14"/>
                <w:szCs w:val="14"/>
                <w:color w:val="auto"/>
                <w:w w:val="94"/>
              </w:rPr>
              <w:t>Five Vessel Refinancing</w:t>
            </w:r>
          </w:p>
        </w:tc>
        <w:tc>
          <w:tcPr>
            <w:tcW w:w="280" w:type="dxa"/>
            <w:vAlign w:val="bottom"/>
          </w:tcPr>
          <w:p>
            <w:pPr>
              <w:spacing w:after="0"/>
              <w:rPr>
                <w:sz w:val="10"/>
                <w:szCs w:val="10"/>
                <w:color w:val="auto"/>
              </w:rPr>
            </w:pPr>
          </w:p>
        </w:tc>
        <w:tc>
          <w:tcPr>
            <w:tcW w:w="1460" w:type="dxa"/>
            <w:vAlign w:val="bottom"/>
          </w:tcPr>
          <w:p>
            <w:pPr>
              <w:spacing w:after="0" w:line="125" w:lineRule="exact"/>
              <w:rPr>
                <w:sz w:val="20"/>
                <w:szCs w:val="20"/>
                <w:color w:val="auto"/>
              </w:rPr>
            </w:pPr>
            <w:r>
              <w:rPr>
                <w:rFonts w:ascii="Arial" w:cs="Arial" w:eastAsia="Arial" w:hAnsi="Arial"/>
                <w:sz w:val="14"/>
                <w:szCs w:val="14"/>
                <w:color w:val="auto"/>
                <w:w w:val="98"/>
              </w:rPr>
              <w:t>ABN AMRO Bank N.V.,</w:t>
            </w: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(Junior Facility)</w:t>
            </w:r>
          </w:p>
        </w:tc>
        <w:tc>
          <w:tcPr>
            <w:tcW w:w="28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DNB (UK) Ltd., DVB</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Bank America N.V.,</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w w:val="96"/>
              </w:rPr>
              <w:t>Commonwealth Bank of</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w w:val="98"/>
              </w:rPr>
              <w:t>Australia and ING Bank</w:t>
            </w:r>
          </w:p>
        </w:tc>
      </w:tr>
      <w:tr>
        <w:trPr>
          <w:trHeight w:val="181"/>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N.V.</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Payment of</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Outstanding</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Available</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Principals</w:t>
            </w:r>
          </w:p>
        </w:tc>
      </w:tr>
      <w:tr>
        <w:trPr>
          <w:trHeight w:val="176"/>
        </w:trPr>
        <w:tc>
          <w:tcPr>
            <w:tcW w:w="20" w:type="dxa"/>
            <w:vAlign w:val="bottom"/>
          </w:tcPr>
          <w:p>
            <w:pPr>
              <w:spacing w:after="0"/>
              <w:rPr>
                <w:sz w:val="15"/>
                <w:szCs w:val="15"/>
                <w:color w:val="auto"/>
              </w:rPr>
            </w:pPr>
          </w:p>
        </w:tc>
        <w:tc>
          <w:tcPr>
            <w:tcW w:w="146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Subsidiary Party</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Principal</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Undrawn</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Installments</w:t>
            </w:r>
          </w:p>
        </w:tc>
      </w:tr>
      <w:tr>
        <w:trPr>
          <w:trHeight w:val="199"/>
        </w:trPr>
        <w:tc>
          <w:tcPr>
            <w:tcW w:w="20" w:type="dxa"/>
            <w:vAlign w:val="bottom"/>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(Collateral Ship)</w:t>
            </w: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w:t>
            </w: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w:t>
            </w:r>
          </w:p>
        </w:tc>
        <w:tc>
          <w:tcPr>
            <w:tcW w:w="3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Interest Rate</w:t>
            </w:r>
          </w:p>
        </w:tc>
        <w:tc>
          <w:tcPr>
            <w:tcW w:w="300" w:type="dxa"/>
            <w:vAlign w:val="bottom"/>
          </w:tcPr>
          <w:p>
            <w:pPr>
              <w:spacing w:after="0"/>
              <w:rPr>
                <w:sz w:val="17"/>
                <w:szCs w:val="17"/>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Maturity</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Schedule</w:t>
            </w:r>
          </w:p>
        </w:tc>
      </w:tr>
      <w:tr>
        <w:trPr>
          <w:trHeight w:val="124"/>
        </w:trPr>
        <w:tc>
          <w:tcPr>
            <w:tcW w:w="20" w:type="dxa"/>
            <w:vAlign w:val="bottom"/>
          </w:tcPr>
          <w:p>
            <w:pPr>
              <w:spacing w:after="0"/>
              <w:rPr>
                <w:sz w:val="10"/>
                <w:szCs w:val="10"/>
                <w:color w:val="auto"/>
              </w:rPr>
            </w:pPr>
          </w:p>
        </w:tc>
        <w:tc>
          <w:tcPr>
            <w:tcW w:w="1460" w:type="dxa"/>
            <w:vAlign w:val="bottom"/>
          </w:tcPr>
          <w:p>
            <w:pPr>
              <w:spacing w:after="0" w:line="125" w:lineRule="exact"/>
              <w:rPr>
                <w:sz w:val="20"/>
                <w:szCs w:val="20"/>
                <w:color w:val="auto"/>
              </w:rPr>
            </w:pPr>
            <w:r>
              <w:rPr>
                <w:rFonts w:ascii="Arial" w:cs="Arial" w:eastAsia="Arial" w:hAnsi="Arial"/>
                <w:sz w:val="14"/>
                <w:szCs w:val="14"/>
                <w:color w:val="auto"/>
              </w:rPr>
              <w:t>GAS-eighteen Ltd.</w:t>
            </w:r>
          </w:p>
        </w:tc>
        <w:tc>
          <w:tcPr>
            <w:tcW w:w="300" w:type="dxa"/>
            <w:vAlign w:val="bottom"/>
          </w:tcPr>
          <w:p>
            <w:pPr>
              <w:spacing w:after="0"/>
              <w:rPr>
                <w:sz w:val="10"/>
                <w:szCs w:val="10"/>
                <w:color w:val="auto"/>
              </w:rPr>
            </w:pPr>
          </w:p>
        </w:tc>
        <w:tc>
          <w:tcPr>
            <w:tcW w:w="1180" w:type="dxa"/>
            <w:vAlign w:val="bottom"/>
          </w:tcPr>
          <w:p>
            <w:pPr>
              <w:spacing w:after="0" w:line="125" w:lineRule="exact"/>
              <w:rPr>
                <w:sz w:val="20"/>
                <w:szCs w:val="20"/>
                <w:color w:val="auto"/>
              </w:rPr>
            </w:pPr>
            <w:r>
              <w:rPr>
                <w:rFonts w:ascii="Arial" w:cs="Arial" w:eastAsia="Arial" w:hAnsi="Arial"/>
                <w:sz w:val="14"/>
                <w:szCs w:val="14"/>
                <w:color w:val="auto"/>
              </w:rPr>
              <w:t>$179.75 million</w:t>
            </w:r>
          </w:p>
        </w:tc>
        <w:tc>
          <w:tcPr>
            <w:tcW w:w="300" w:type="dxa"/>
            <w:vAlign w:val="bottom"/>
          </w:tcPr>
          <w:p>
            <w:pPr>
              <w:spacing w:after="0"/>
              <w:rPr>
                <w:sz w:val="10"/>
                <w:szCs w:val="10"/>
                <w:color w:val="auto"/>
              </w:rPr>
            </w:pPr>
          </w:p>
        </w:tc>
        <w:tc>
          <w:tcPr>
            <w:tcW w:w="1180" w:type="dxa"/>
            <w:vAlign w:val="bottom"/>
          </w:tcPr>
          <w:p>
            <w:pPr>
              <w:spacing w:after="0" w:line="125"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4"/>
                <w:szCs w:val="14"/>
                <w:color w:val="auto"/>
              </w:rPr>
              <w:t>LIBOR +</w:t>
            </w:r>
          </w:p>
        </w:tc>
        <w:tc>
          <w:tcPr>
            <w:tcW w:w="300" w:type="dxa"/>
            <w:vAlign w:val="bottom"/>
          </w:tcPr>
          <w:p>
            <w:pPr>
              <w:spacing w:after="0"/>
              <w:rPr>
                <w:sz w:val="10"/>
                <w:szCs w:val="10"/>
                <w:color w:val="auto"/>
              </w:rPr>
            </w:pPr>
          </w:p>
        </w:tc>
        <w:tc>
          <w:tcPr>
            <w:tcW w:w="820" w:type="dxa"/>
            <w:vAlign w:val="bottom"/>
          </w:tcPr>
          <w:p>
            <w:pPr>
              <w:jc w:val="right"/>
              <w:ind w:right="465"/>
              <w:spacing w:after="0" w:line="125" w:lineRule="exact"/>
              <w:rPr>
                <w:sz w:val="20"/>
                <w:szCs w:val="20"/>
                <w:color w:val="auto"/>
              </w:rPr>
            </w:pPr>
            <w:r>
              <w:rPr>
                <w:rFonts w:ascii="Arial" w:cs="Arial" w:eastAsia="Arial" w:hAnsi="Arial"/>
                <w:sz w:val="14"/>
                <w:szCs w:val="14"/>
                <w:color w:val="auto"/>
                <w:w w:val="83"/>
              </w:rPr>
              <w:t>2018</w:t>
            </w:r>
          </w:p>
        </w:tc>
        <w:tc>
          <w:tcPr>
            <w:tcW w:w="30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4"/>
                <w:szCs w:val="14"/>
                <w:color w:val="auto"/>
              </w:rPr>
              <w:t>Bullet</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3"/>
              </w:rPr>
              <w:t>(Methane Lydon Volney),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applicable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repayment of</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margin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w w:val="99"/>
              </w:rPr>
              <w:t>179.75 million</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(Methane Alison</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due in April</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Victoria) </w:t>
            </w:r>
            <w:r>
              <w:rPr>
                <w:rFonts w:ascii="Arial" w:cs="Arial" w:eastAsia="Arial" w:hAnsi="Arial"/>
                <w:sz w:val="14"/>
                <w:szCs w:val="14"/>
                <w:color w:val="auto"/>
              </w:rPr>
              <w:t>GAS-twenty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2018 without</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Ltd. </w:t>
            </w:r>
            <w:r>
              <w:rPr>
                <w:rFonts w:ascii="Arial" w:cs="Arial" w:eastAsia="Arial" w:hAnsi="Arial"/>
                <w:sz w:val="14"/>
                <w:szCs w:val="14"/>
                <w:i w:val="1"/>
                <w:iCs w:val="1"/>
                <w:color w:val="auto"/>
              </w:rPr>
              <w:t>(Methane Shirley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intermediate</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8"/>
              </w:rPr>
              <w:t xml:space="preserve">Elizabeth), </w:t>
            </w:r>
            <w:r>
              <w:rPr>
                <w:rFonts w:ascii="Arial" w:cs="Arial" w:eastAsia="Arial" w:hAnsi="Arial"/>
                <w:sz w:val="14"/>
                <w:szCs w:val="14"/>
                <w:color w:val="auto"/>
                <w:w w:val="98"/>
              </w:rPr>
              <w:t>GAS- twenty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payments.</w:t>
            </w: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one Ltd. </w:t>
            </w:r>
            <w:r>
              <w:rPr>
                <w:rFonts w:ascii="Arial" w:cs="Arial" w:eastAsia="Arial" w:hAnsi="Arial"/>
                <w:sz w:val="14"/>
                <w:szCs w:val="14"/>
                <w:i w:val="1"/>
                <w:iCs w:val="1"/>
                <w:color w:val="auto"/>
              </w:rPr>
              <w:t>(Methane</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xml:space="preserve">Heather Sally, </w:t>
            </w:r>
            <w:r>
              <w:rPr>
                <w:rFonts w:ascii="Arial" w:cs="Arial" w:eastAsia="Arial" w:hAnsi="Arial"/>
                <w:sz w:val="14"/>
                <w:szCs w:val="14"/>
                <w:color w:val="auto"/>
              </w:rPr>
              <w:t>GAS-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twenty seven Ltd.</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6"/>
        </w:trPr>
        <w:tc>
          <w:tcPr>
            <w:tcW w:w="1480" w:type="dxa"/>
            <w:vAlign w:val="bottom"/>
            <w:gridSpan w:val="2"/>
          </w:tcPr>
          <w:p>
            <w:pPr>
              <w:spacing w:after="0"/>
              <w:rPr>
                <w:sz w:val="20"/>
                <w:szCs w:val="20"/>
                <w:color w:val="auto"/>
              </w:rPr>
            </w:pPr>
            <w:r>
              <w:rPr>
                <w:rFonts w:ascii="Arial" w:cs="Arial" w:eastAsia="Arial" w:hAnsi="Arial"/>
                <w:sz w:val="14"/>
                <w:szCs w:val="14"/>
                <w:i w:val="1"/>
                <w:iCs w:val="1"/>
                <w:color w:val="auto"/>
              </w:rPr>
              <w:t>(Methane Becki Anne)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3200" w:space="300"/>
            <w:col w:w="7920"/>
          </w:cols>
          <w:pgMar w:left="240" w:top="377" w:right="239" w:bottom="1440" w:gutter="0" w:footer="0" w:header="0"/>
        </w:sectPr>
      </w:pPr>
    </w:p>
    <w:tbl>
      <w:tblPr>
        <w:tblLayout w:type="fixed"/>
        <w:tblInd w:w="0" w:type="dxa"/>
        <w:tblCellMar>
          <w:top w:w="0" w:type="dxa"/>
          <w:left w:w="0" w:type="dxa"/>
          <w:bottom w:w="0" w:type="dxa"/>
          <w:right w:w="0" w:type="dxa"/>
        </w:tblCellMar>
      </w:tblPr>
      <w:tr>
        <w:trPr>
          <w:trHeight w:val="138"/>
        </w:trPr>
        <w:tc>
          <w:tcPr>
            <w:tcW w:w="132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color w:val="auto"/>
              </w:rPr>
              <w:t>Legacy Facility</w:t>
            </w:r>
          </w:p>
        </w:tc>
        <w:tc>
          <w:tcPr>
            <w:tcW w:w="2020" w:type="dxa"/>
            <w:vAlign w:val="bottom"/>
            <w:tcBorders>
              <w:top w:val="single" w:sz="8" w:color="auto"/>
            </w:tcBorders>
          </w:tcPr>
          <w:p>
            <w:pPr>
              <w:ind w:left="420"/>
              <w:spacing w:after="0" w:line="138" w:lineRule="exact"/>
              <w:rPr>
                <w:sz w:val="20"/>
                <w:szCs w:val="20"/>
                <w:color w:val="auto"/>
              </w:rPr>
            </w:pPr>
            <w:r>
              <w:rPr>
                <w:rFonts w:ascii="Arial" w:cs="Arial" w:eastAsia="Arial" w:hAnsi="Arial"/>
                <w:sz w:val="14"/>
                <w:szCs w:val="14"/>
                <w:color w:val="auto"/>
              </w:rPr>
              <w:t>Citigroup Global Market</w:t>
            </w:r>
          </w:p>
        </w:tc>
        <w:tc>
          <w:tcPr>
            <w:tcW w:w="1780" w:type="dxa"/>
            <w:vAlign w:val="bottom"/>
            <w:tcBorders>
              <w:top w:val="single" w:sz="8" w:color="auto"/>
            </w:tcBorders>
          </w:tcPr>
          <w:p>
            <w:pPr>
              <w:ind w:left="160"/>
              <w:spacing w:after="0" w:line="138" w:lineRule="exact"/>
              <w:rPr>
                <w:sz w:val="20"/>
                <w:szCs w:val="20"/>
                <w:color w:val="auto"/>
              </w:rPr>
            </w:pPr>
            <w:r>
              <w:rPr>
                <w:rFonts w:ascii="Arial" w:cs="Arial" w:eastAsia="Arial" w:hAnsi="Arial"/>
                <w:sz w:val="14"/>
                <w:szCs w:val="14"/>
                <w:color w:val="auto"/>
              </w:rPr>
              <w:t>GAS-one Ltd. (</w:t>
            </w:r>
            <w:r>
              <w:rPr>
                <w:rFonts w:ascii="Arial" w:cs="Arial" w:eastAsia="Arial" w:hAnsi="Arial"/>
                <w:sz w:val="14"/>
                <w:szCs w:val="14"/>
                <w:i w:val="1"/>
                <w:iCs w:val="1"/>
                <w:color w:val="auto"/>
              </w:rPr>
              <w:t>GasLog</w:t>
            </w:r>
          </w:p>
        </w:tc>
        <w:tc>
          <w:tcPr>
            <w:tcW w:w="1440" w:type="dxa"/>
            <w:vAlign w:val="bottom"/>
            <w:tcBorders>
              <w:top w:val="single" w:sz="8" w:color="auto"/>
            </w:tcBorders>
          </w:tcPr>
          <w:p>
            <w:pPr>
              <w:ind w:left="160"/>
              <w:spacing w:after="0" w:line="138" w:lineRule="exact"/>
              <w:rPr>
                <w:sz w:val="20"/>
                <w:szCs w:val="20"/>
                <w:color w:val="auto"/>
              </w:rPr>
            </w:pPr>
            <w:r>
              <w:rPr>
                <w:rFonts w:ascii="Arial" w:cs="Arial" w:eastAsia="Arial" w:hAnsi="Arial"/>
                <w:sz w:val="14"/>
                <w:szCs w:val="14"/>
                <w:color w:val="auto"/>
              </w:rPr>
              <w:t>Term loan facility:</w:t>
            </w:r>
          </w:p>
        </w:tc>
        <w:tc>
          <w:tcPr>
            <w:tcW w:w="1360" w:type="dxa"/>
            <w:vAlign w:val="bottom"/>
            <w:tcBorders>
              <w:top w:val="single" w:sz="8" w:color="auto"/>
            </w:tcBorders>
          </w:tcPr>
          <w:p>
            <w:pPr>
              <w:ind w:left="200"/>
              <w:spacing w:after="0" w:line="138" w:lineRule="exact"/>
              <w:rPr>
                <w:sz w:val="20"/>
                <w:szCs w:val="20"/>
                <w:color w:val="auto"/>
              </w:rPr>
            </w:pPr>
            <w:r>
              <w:rPr>
                <w:rFonts w:ascii="Arial" w:cs="Arial" w:eastAsia="Arial" w:hAnsi="Arial"/>
                <w:sz w:val="14"/>
                <w:szCs w:val="14"/>
                <w:color w:val="auto"/>
              </w:rPr>
              <w:t>$88.36 million</w:t>
            </w:r>
          </w:p>
        </w:tc>
        <w:tc>
          <w:tcPr>
            <w:tcW w:w="1200" w:type="dxa"/>
            <w:vAlign w:val="bottom"/>
            <w:tcBorders>
              <w:top w:val="single" w:sz="8" w:color="auto"/>
            </w:tcBorders>
          </w:tcPr>
          <w:p>
            <w:pPr>
              <w:ind w:left="320"/>
              <w:spacing w:after="0" w:line="138" w:lineRule="exact"/>
              <w:rPr>
                <w:sz w:val="20"/>
                <w:szCs w:val="20"/>
                <w:color w:val="auto"/>
              </w:rPr>
            </w:pPr>
            <w:r>
              <w:rPr>
                <w:rFonts w:ascii="Arial" w:cs="Arial" w:eastAsia="Arial" w:hAnsi="Arial"/>
                <w:sz w:val="14"/>
                <w:szCs w:val="14"/>
                <w:color w:val="auto"/>
              </w:rPr>
              <w:t>LIBOR +</w:t>
            </w:r>
          </w:p>
        </w:tc>
        <w:tc>
          <w:tcPr>
            <w:tcW w:w="1000" w:type="dxa"/>
            <w:vAlign w:val="bottom"/>
            <w:tcBorders>
              <w:top w:val="single" w:sz="8" w:color="auto"/>
            </w:tcBorders>
          </w:tcPr>
          <w:p>
            <w:pPr>
              <w:jc w:val="right"/>
              <w:ind w:right="349"/>
              <w:spacing w:after="0" w:line="138" w:lineRule="exact"/>
              <w:rPr>
                <w:sz w:val="20"/>
                <w:szCs w:val="20"/>
                <w:color w:val="auto"/>
              </w:rPr>
            </w:pPr>
            <w:r>
              <w:rPr>
                <w:rFonts w:ascii="Arial" w:cs="Arial" w:eastAsia="Arial" w:hAnsi="Arial"/>
                <w:sz w:val="14"/>
                <w:szCs w:val="14"/>
                <w:color w:val="auto"/>
              </w:rPr>
              <w:t>2021</w:t>
            </w:r>
          </w:p>
        </w:tc>
        <w:tc>
          <w:tcPr>
            <w:tcW w:w="1300" w:type="dxa"/>
            <w:vAlign w:val="bottom"/>
            <w:tcBorders>
              <w:top w:val="single" w:sz="8" w:color="auto"/>
            </w:tcBorders>
          </w:tcPr>
          <w:p>
            <w:pPr>
              <w:ind w:left="420"/>
              <w:spacing w:after="0" w:line="138" w:lineRule="exact"/>
              <w:rPr>
                <w:sz w:val="20"/>
                <w:szCs w:val="20"/>
                <w:color w:val="auto"/>
              </w:rPr>
            </w:pPr>
            <w:r>
              <w:rPr>
                <w:rFonts w:ascii="Arial" w:cs="Arial" w:eastAsia="Arial" w:hAnsi="Arial"/>
                <w:sz w:val="14"/>
                <w:szCs w:val="14"/>
                <w:color w:val="auto"/>
              </w:rPr>
              <w:t>Term loan</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Refinancing</w:t>
            </w: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Limited, Credit Suisse</w:t>
            </w:r>
          </w:p>
        </w:tc>
        <w:tc>
          <w:tcPr>
            <w:tcW w:w="1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Savannah</w:t>
            </w:r>
            <w:r>
              <w:rPr>
                <w:rFonts w:ascii="Arial" w:cs="Arial" w:eastAsia="Arial" w:hAnsi="Arial"/>
                <w:sz w:val="14"/>
                <w:szCs w:val="14"/>
                <w:color w:val="auto"/>
              </w:rPr>
              <w:t>), GAS-two</w:t>
            </w:r>
          </w:p>
        </w:tc>
        <w:tc>
          <w:tcPr>
            <w:tcW w:w="1440" w:type="dxa"/>
            <w:vAlign w:val="bottom"/>
          </w:tcPr>
          <w:p>
            <w:pPr>
              <w:ind w:left="160"/>
              <w:spacing w:after="0" w:line="149" w:lineRule="exact"/>
              <w:rPr>
                <w:sz w:val="20"/>
                <w:szCs w:val="20"/>
                <w:color w:val="auto"/>
              </w:rPr>
            </w:pPr>
            <w:r>
              <w:rPr>
                <w:rFonts w:ascii="Arial" w:cs="Arial" w:eastAsia="Arial" w:hAnsi="Arial"/>
                <w:sz w:val="14"/>
                <w:szCs w:val="14"/>
                <w:color w:val="auto"/>
              </w:rPr>
              <w:t>$950.0 million,</w:t>
            </w:r>
          </w:p>
        </w:tc>
        <w:tc>
          <w:tcPr>
            <w:tcW w:w="1360" w:type="dxa"/>
            <w:vAlign w:val="bottom"/>
          </w:tcPr>
          <w:p>
            <w:pPr>
              <w:spacing w:after="0"/>
              <w:rPr>
                <w:sz w:val="12"/>
                <w:szCs w:val="12"/>
                <w:color w:val="auto"/>
              </w:rPr>
            </w:pPr>
          </w:p>
        </w:tc>
        <w:tc>
          <w:tcPr>
            <w:tcW w:w="1200" w:type="dxa"/>
            <w:vAlign w:val="bottom"/>
          </w:tcPr>
          <w:p>
            <w:pPr>
              <w:ind w:left="320"/>
              <w:spacing w:after="0" w:line="149" w:lineRule="exact"/>
              <w:rPr>
                <w:sz w:val="20"/>
                <w:szCs w:val="20"/>
                <w:color w:val="auto"/>
              </w:rPr>
            </w:pPr>
            <w:r>
              <w:rPr>
                <w:rFonts w:ascii="Arial" w:cs="Arial" w:eastAsia="Arial" w:hAnsi="Arial"/>
                <w:sz w:val="14"/>
                <w:szCs w:val="14"/>
                <w:color w:val="auto"/>
              </w:rPr>
              <w:t>applicable</w:t>
            </w: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facility:</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AG, Nordea Bank AB,</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Ltd. (</w:t>
            </w:r>
            <w:r>
              <w:rPr>
                <w:rFonts w:ascii="Arial" w:cs="Arial" w:eastAsia="Arial" w:hAnsi="Arial"/>
                <w:sz w:val="14"/>
                <w:szCs w:val="14"/>
                <w:i w:val="1"/>
                <w:iCs w:val="1"/>
                <w:color w:val="auto"/>
              </w:rPr>
              <w:t>GasLog Singapore</w:t>
            </w:r>
            <w:r>
              <w:rPr>
                <w:rFonts w:ascii="Arial" w:cs="Arial" w:eastAsia="Arial" w:hAnsi="Arial"/>
                <w:sz w:val="14"/>
                <w:szCs w:val="14"/>
                <w:color w:val="auto"/>
              </w:rPr>
              <w:t>),</w:t>
            </w:r>
          </w:p>
        </w:tc>
        <w:tc>
          <w:tcPr>
            <w:tcW w:w="1440" w:type="dxa"/>
            <w:vAlign w:val="bottom"/>
          </w:tcPr>
          <w:p>
            <w:pPr>
              <w:ind w:left="160"/>
              <w:spacing w:after="0" w:line="149" w:lineRule="exact"/>
              <w:rPr>
                <w:sz w:val="20"/>
                <w:szCs w:val="20"/>
                <w:color w:val="auto"/>
              </w:rPr>
            </w:pPr>
            <w:r>
              <w:rPr>
                <w:rFonts w:ascii="Arial" w:cs="Arial" w:eastAsia="Arial" w:hAnsi="Arial"/>
                <w:sz w:val="14"/>
                <w:szCs w:val="14"/>
                <w:color w:val="auto"/>
              </w:rPr>
              <w:t>Revolving facility:</w:t>
            </w:r>
          </w:p>
        </w:tc>
        <w:tc>
          <w:tcPr>
            <w:tcW w:w="1360" w:type="dxa"/>
            <w:vAlign w:val="bottom"/>
          </w:tcPr>
          <w:p>
            <w:pPr>
              <w:spacing w:after="0"/>
              <w:rPr>
                <w:sz w:val="12"/>
                <w:szCs w:val="12"/>
                <w:color w:val="auto"/>
              </w:rPr>
            </w:pPr>
          </w:p>
        </w:tc>
        <w:tc>
          <w:tcPr>
            <w:tcW w:w="1200" w:type="dxa"/>
            <w:vAlign w:val="bottom"/>
          </w:tcPr>
          <w:p>
            <w:pPr>
              <w:ind w:left="320"/>
              <w:spacing w:after="0" w:line="149" w:lineRule="exact"/>
              <w:rPr>
                <w:sz w:val="20"/>
                <w:szCs w:val="20"/>
                <w:color w:val="auto"/>
              </w:rPr>
            </w:pPr>
            <w:r>
              <w:rPr>
                <w:rFonts w:ascii="Arial" w:cs="Arial" w:eastAsia="Arial" w:hAnsi="Arial"/>
                <w:sz w:val="14"/>
                <w:szCs w:val="14"/>
                <w:color w:val="auto"/>
              </w:rPr>
              <w:t>margin</w:t>
            </w: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w w:val="97"/>
              </w:rPr>
              <w:t>9 semi-annual</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London Branch,</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GAS-six Ltd. (</w:t>
            </w:r>
            <w:r>
              <w:rPr>
                <w:rFonts w:ascii="Arial" w:cs="Arial" w:eastAsia="Arial" w:hAnsi="Arial"/>
                <w:sz w:val="14"/>
                <w:szCs w:val="14"/>
                <w:i w:val="1"/>
                <w:iCs w:val="1"/>
                <w:color w:val="auto"/>
              </w:rPr>
              <w:t>GasLog</w:t>
            </w:r>
          </w:p>
        </w:tc>
        <w:tc>
          <w:tcPr>
            <w:tcW w:w="1440" w:type="dxa"/>
            <w:vAlign w:val="bottom"/>
          </w:tcPr>
          <w:p>
            <w:pPr>
              <w:ind w:left="160"/>
              <w:spacing w:after="0" w:line="149" w:lineRule="exact"/>
              <w:rPr>
                <w:sz w:val="20"/>
                <w:szCs w:val="20"/>
                <w:color w:val="auto"/>
              </w:rPr>
            </w:pPr>
            <w:r>
              <w:rPr>
                <w:rFonts w:ascii="Arial" w:cs="Arial" w:eastAsia="Arial" w:hAnsi="Arial"/>
                <w:sz w:val="14"/>
                <w:szCs w:val="14"/>
                <w:color w:val="auto"/>
              </w:rPr>
              <w:t>$11.64 million</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w w:val="96"/>
              </w:rPr>
              <w:t>installments of</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Skandinaviska Enskilda</w:t>
            </w:r>
          </w:p>
        </w:tc>
        <w:tc>
          <w:tcPr>
            <w:tcW w:w="1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Skagen</w:t>
            </w:r>
            <w:r>
              <w:rPr>
                <w:rFonts w:ascii="Arial" w:cs="Arial" w:eastAsia="Arial" w:hAnsi="Arial"/>
                <w:sz w:val="14"/>
                <w:szCs w:val="14"/>
                <w:color w:val="auto"/>
              </w:rPr>
              <w:t>), GAS-seven Ltd.</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w w:val="99"/>
              </w:rPr>
              <w:t>$29.17 million</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Banken AB (publ),</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Seattle</w:t>
            </w:r>
            <w:r>
              <w:rPr>
                <w:rFonts w:ascii="Arial" w:cs="Arial" w:eastAsia="Arial" w:hAnsi="Arial"/>
                <w:sz w:val="14"/>
                <w:szCs w:val="14"/>
                <w:color w:val="auto"/>
              </w:rPr>
              <w:t>), GAS-</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each and a</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HSBC Bank plc, ING</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eight Ltd. </w:t>
            </w:r>
            <w:r>
              <w:rPr>
                <w:rFonts w:ascii="Arial" w:cs="Arial" w:eastAsia="Arial" w:hAnsi="Arial"/>
                <w:sz w:val="14"/>
                <w:szCs w:val="14"/>
                <w:i w:val="1"/>
                <w:iCs w:val="1"/>
                <w:color w:val="auto"/>
              </w:rPr>
              <w:t>(Solaris</w:t>
            </w:r>
            <w:r>
              <w:rPr>
                <w:rFonts w:ascii="Arial" w:cs="Arial" w:eastAsia="Arial" w:hAnsi="Arial"/>
                <w:sz w:val="14"/>
                <w:szCs w:val="14"/>
                <w:color w:val="auto"/>
              </w:rPr>
              <w:t>) and</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balloon</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Bank N.V., London</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GAS-nine Ltd. (</w:t>
            </w:r>
            <w:r>
              <w:rPr>
                <w:rFonts w:ascii="Arial" w:cs="Arial" w:eastAsia="Arial" w:hAnsi="Arial"/>
                <w:sz w:val="14"/>
                <w:szCs w:val="14"/>
                <w:i w:val="1"/>
                <w:iCs w:val="1"/>
                <w:color w:val="auto"/>
              </w:rPr>
              <w:t>GasLog</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repayment of</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Branch, Danmarks</w:t>
            </w:r>
          </w:p>
        </w:tc>
        <w:tc>
          <w:tcPr>
            <w:tcW w:w="1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Saratoga</w:t>
            </w:r>
            <w:r>
              <w:rPr>
                <w:rFonts w:ascii="Arial" w:cs="Arial" w:eastAsia="Arial" w:hAnsi="Arial"/>
                <w:sz w:val="14"/>
                <w:szCs w:val="14"/>
                <w:color w:val="auto"/>
              </w:rPr>
              <w:t>), GAS-ten Ltd.</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$687.50</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Skibskredit A/S, The</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Salem</w:t>
            </w:r>
            <w:r>
              <w:rPr>
                <w:rFonts w:ascii="Arial" w:cs="Arial" w:eastAsia="Arial" w:hAnsi="Arial"/>
                <w:sz w:val="14"/>
                <w:szCs w:val="14"/>
                <w:color w:val="auto"/>
              </w:rPr>
              <w:t>), GAS-</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million in July</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Korea Development</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fifteen Ltd. (</w:t>
            </w:r>
            <w:r>
              <w:rPr>
                <w:rFonts w:ascii="Arial" w:cs="Arial" w:eastAsia="Arial" w:hAnsi="Arial"/>
                <w:sz w:val="14"/>
                <w:szCs w:val="14"/>
                <w:i w:val="1"/>
                <w:iCs w:val="1"/>
                <w:color w:val="auto"/>
              </w:rPr>
              <w:t>GasLog</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2021.</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Bank and DVB Bank</w:t>
            </w:r>
          </w:p>
        </w:tc>
        <w:tc>
          <w:tcPr>
            <w:tcW w:w="1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Chelsea</w:t>
            </w:r>
            <w:r>
              <w:rPr>
                <w:rFonts w:ascii="Arial" w:cs="Arial" w:eastAsia="Arial" w:hAnsi="Arial"/>
                <w:sz w:val="14"/>
                <w:szCs w:val="14"/>
                <w:color w:val="auto"/>
              </w:rPr>
              <w:t>)</w:t>
            </w: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Revolving</w:t>
            </w:r>
          </w:p>
        </w:tc>
      </w:tr>
      <w:tr>
        <w:trPr>
          <w:trHeight w:val="149"/>
        </w:trPr>
        <w:tc>
          <w:tcPr>
            <w:tcW w:w="1320" w:type="dxa"/>
            <w:vAlign w:val="bottom"/>
          </w:tcPr>
          <w:p>
            <w:pPr>
              <w:spacing w:after="0"/>
              <w:rPr>
                <w:sz w:val="12"/>
                <w:szCs w:val="12"/>
                <w:color w:val="auto"/>
              </w:rPr>
            </w:pPr>
          </w:p>
        </w:tc>
        <w:tc>
          <w:tcPr>
            <w:tcW w:w="2020" w:type="dxa"/>
            <w:vAlign w:val="bottom"/>
          </w:tcPr>
          <w:p>
            <w:pPr>
              <w:ind w:left="420"/>
              <w:spacing w:after="0" w:line="149" w:lineRule="exact"/>
              <w:rPr>
                <w:sz w:val="20"/>
                <w:szCs w:val="20"/>
                <w:color w:val="auto"/>
              </w:rPr>
            </w:pPr>
            <w:r>
              <w:rPr>
                <w:rFonts w:ascii="Arial" w:cs="Arial" w:eastAsia="Arial" w:hAnsi="Arial"/>
                <w:sz w:val="14"/>
                <w:szCs w:val="14"/>
                <w:color w:val="auto"/>
              </w:rPr>
              <w:t>America N.V.</w:t>
            </w: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facility:</w:t>
            </w:r>
          </w:p>
        </w:tc>
      </w:tr>
      <w:tr>
        <w:trPr>
          <w:trHeight w:val="149"/>
        </w:trPr>
        <w:tc>
          <w:tcPr>
            <w:tcW w:w="1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ind w:left="420"/>
              <w:spacing w:after="0" w:line="149" w:lineRule="exact"/>
              <w:rPr>
                <w:sz w:val="20"/>
                <w:szCs w:val="20"/>
                <w:color w:val="auto"/>
              </w:rPr>
            </w:pPr>
            <w:r>
              <w:rPr>
                <w:rFonts w:ascii="Arial" w:cs="Arial" w:eastAsia="Arial" w:hAnsi="Arial"/>
                <w:sz w:val="14"/>
                <w:szCs w:val="14"/>
                <w:color w:val="auto"/>
              </w:rPr>
              <w:t>Available for</w:t>
            </w:r>
          </w:p>
        </w:tc>
      </w:tr>
      <w:tr>
        <w:trPr>
          <w:trHeight w:val="161"/>
        </w:trPr>
        <w:tc>
          <w:tcPr>
            <w:tcW w:w="1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ind w:left="420"/>
              <w:spacing w:after="0"/>
              <w:rPr>
                <w:sz w:val="20"/>
                <w:szCs w:val="20"/>
                <w:color w:val="auto"/>
              </w:rPr>
            </w:pPr>
            <w:r>
              <w:rPr>
                <w:rFonts w:ascii="Arial" w:cs="Arial" w:eastAsia="Arial" w:hAnsi="Arial"/>
                <w:sz w:val="14"/>
                <w:szCs w:val="14"/>
                <w:color w:val="auto"/>
              </w:rPr>
              <w:t>drawing and</w:t>
            </w:r>
          </w:p>
        </w:tc>
      </w:tr>
    </w:tbl>
    <w:p>
      <w:pPr>
        <w:ind w:left="10540"/>
        <w:spacing w:after="0" w:line="221" w:lineRule="auto"/>
        <w:rPr>
          <w:sz w:val="20"/>
          <w:szCs w:val="20"/>
          <w:color w:val="auto"/>
        </w:rPr>
      </w:pPr>
      <w:r>
        <w:rPr>
          <w:rFonts w:ascii="Arial" w:cs="Arial" w:eastAsia="Arial" w:hAnsi="Arial"/>
          <w:sz w:val="14"/>
          <w:szCs w:val="14"/>
          <w:color w:val="auto"/>
        </w:rPr>
        <w:t>repayment at</w:t>
      </w:r>
    </w:p>
    <w:p>
      <w:pPr>
        <w:ind w:left="10540"/>
        <w:spacing w:after="0" w:line="221" w:lineRule="auto"/>
        <w:rPr>
          <w:sz w:val="20"/>
          <w:szCs w:val="20"/>
          <w:color w:val="auto"/>
        </w:rPr>
      </w:pPr>
      <w:r>
        <w:rPr>
          <w:rFonts w:ascii="Arial" w:cs="Arial" w:eastAsia="Arial" w:hAnsi="Arial"/>
          <w:sz w:val="14"/>
          <w:szCs w:val="14"/>
          <w:color w:val="auto"/>
        </w:rPr>
        <w:t>any time until</w:t>
      </w:r>
    </w:p>
    <w:p>
      <w:pPr>
        <w:ind w:left="10540"/>
        <w:spacing w:after="0" w:line="222" w:lineRule="auto"/>
        <w:rPr>
          <w:sz w:val="20"/>
          <w:szCs w:val="20"/>
          <w:color w:val="auto"/>
        </w:rPr>
      </w:pPr>
      <w:r>
        <w:rPr>
          <w:rFonts w:ascii="Arial" w:cs="Arial" w:eastAsia="Arial" w:hAnsi="Arial"/>
          <w:sz w:val="14"/>
          <w:szCs w:val="14"/>
          <w:color w:val="auto"/>
        </w:rPr>
        <w:t>January 2021</w:t>
      </w:r>
    </w:p>
    <w:p>
      <w:pPr>
        <w:ind w:left="10540"/>
        <w:spacing w:after="0"/>
        <w:rPr>
          <w:sz w:val="20"/>
          <w:szCs w:val="20"/>
          <w:color w:val="auto"/>
        </w:rPr>
      </w:pPr>
      <w:r>
        <w:rPr>
          <w:rFonts w:ascii="Arial" w:cs="Arial" w:eastAsia="Arial" w:hAnsi="Arial"/>
          <w:sz w:val="13"/>
          <w:szCs w:val="13"/>
          <w:color w:val="auto"/>
        </w:rPr>
        <w:t>and July 2021,</w:t>
      </w:r>
    </w:p>
    <w:p>
      <w:pPr>
        <w:ind w:left="10540"/>
        <w:spacing w:after="0" w:line="221" w:lineRule="auto"/>
        <w:rPr>
          <w:sz w:val="20"/>
          <w:szCs w:val="20"/>
          <w:color w:val="auto"/>
        </w:rPr>
      </w:pPr>
      <w:r>
        <w:rPr>
          <w:rFonts w:ascii="Arial" w:cs="Arial" w:eastAsia="Arial" w:hAnsi="Arial"/>
          <w:sz w:val="14"/>
          <w:szCs w:val="14"/>
          <w:color w:val="auto"/>
        </w:rPr>
        <w:t>respectively.</w:t>
      </w:r>
    </w:p>
    <w:p>
      <w:pPr>
        <w:ind w:left="10540"/>
        <w:spacing w:after="0"/>
        <w:rPr>
          <w:sz w:val="20"/>
          <w:szCs w:val="20"/>
          <w:color w:val="auto"/>
        </w:rPr>
      </w:pPr>
      <w:r>
        <w:rPr>
          <w:rFonts w:ascii="Arial" w:cs="Arial" w:eastAsia="Arial" w:hAnsi="Arial"/>
          <w:sz w:val="13"/>
          <w:szCs w:val="13"/>
          <w:color w:val="auto"/>
        </w:rPr>
        <w:t>Total revolving</w:t>
      </w:r>
    </w:p>
    <w:p>
      <w:pPr>
        <w:ind w:left="10540"/>
        <w:spacing w:after="0"/>
        <w:rPr>
          <w:sz w:val="20"/>
          <w:szCs w:val="20"/>
          <w:color w:val="auto"/>
        </w:rPr>
      </w:pPr>
      <w:r>
        <w:rPr>
          <w:rFonts w:ascii="Arial" w:cs="Arial" w:eastAsia="Arial" w:hAnsi="Arial"/>
          <w:sz w:val="13"/>
          <w:szCs w:val="13"/>
          <w:color w:val="auto"/>
        </w:rPr>
        <w:t>facility amount</w:t>
      </w:r>
    </w:p>
    <w:p>
      <w:pPr>
        <w:ind w:left="10540"/>
        <w:spacing w:after="0" w:line="221" w:lineRule="auto"/>
        <w:rPr>
          <w:sz w:val="20"/>
          <w:szCs w:val="20"/>
          <w:color w:val="auto"/>
        </w:rPr>
      </w:pPr>
      <w:r>
        <w:rPr>
          <w:rFonts w:ascii="Arial" w:cs="Arial" w:eastAsia="Arial" w:hAnsi="Arial"/>
          <w:sz w:val="14"/>
          <w:szCs w:val="14"/>
          <w:color w:val="auto"/>
        </w:rPr>
        <w:t>of</w:t>
      </w:r>
    </w:p>
    <w:p>
      <w:pPr>
        <w:jc w:val="right"/>
        <w:spacing w:after="0"/>
        <w:rPr>
          <w:sz w:val="20"/>
          <w:szCs w:val="20"/>
          <w:color w:val="auto"/>
        </w:rPr>
      </w:pPr>
      <w:r>
        <w:rPr>
          <w:rFonts w:ascii="Arial" w:cs="Arial" w:eastAsia="Arial" w:hAnsi="Arial"/>
          <w:sz w:val="14"/>
          <w:szCs w:val="14"/>
          <w:color w:val="auto"/>
        </w:rPr>
        <w:t>$100.0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280" w:hanging="200"/>
        <w:spacing w:after="0"/>
        <w:tabs>
          <w:tab w:leader="none" w:pos="280" w:val="left"/>
        </w:tabs>
        <w:numPr>
          <w:ilvl w:val="0"/>
          <w:numId w:val="43"/>
        </w:numPr>
        <w:rPr>
          <w:rFonts w:ascii="Arial" w:cs="Arial" w:eastAsia="Arial" w:hAnsi="Arial"/>
          <w:sz w:val="9"/>
          <w:szCs w:val="9"/>
          <w:color w:val="auto"/>
        </w:rPr>
      </w:pPr>
      <w:r>
        <w:rPr>
          <w:rFonts w:ascii="Arial" w:cs="Arial" w:eastAsia="Arial" w:hAnsi="Arial"/>
          <w:sz w:val="16"/>
          <w:szCs w:val="16"/>
          <w:color w:val="auto"/>
        </w:rPr>
        <w:t>Maturity regarding drawn amounts only.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credit facilities are secured as follows:</w:t>
      </w:r>
    </w:p>
    <w:p>
      <w:pPr>
        <w:spacing w:after="0" w:line="106" w:lineRule="exact"/>
        <w:rPr>
          <w:sz w:val="20"/>
          <w:szCs w:val="20"/>
          <w:color w:val="auto"/>
        </w:rPr>
      </w:pPr>
    </w:p>
    <w:p>
      <w:pPr>
        <w:ind w:left="540" w:right="14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first priority mortgages over the ships owned by the respective borrowers (and in addition second priorty mortgages in the case of the Five Vessel Refinancing);</w:t>
      </w:r>
    </w:p>
    <w:p>
      <w:pPr>
        <w:spacing w:after="0" w:line="24" w:lineRule="exact"/>
        <w:rPr>
          <w:rFonts w:ascii="Arial" w:cs="Arial" w:eastAsia="Arial" w:hAnsi="Arial"/>
          <w:sz w:val="19"/>
          <w:szCs w:val="19"/>
          <w:color w:val="auto"/>
        </w:rPr>
      </w:pPr>
    </w:p>
    <w:p>
      <w:pPr>
        <w:ind w:left="540" w:right="140" w:hanging="168"/>
        <w:spacing w:after="0" w:line="257"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guarantees from us and our subsidiary GasLog Carriers Ltd., in the case of the GasLog Partners Credit Facility guarantees from GasLog Partners and GasLog Partners Holdings LLC, in the case of the Five Vessel Refinancing guarantee from us, guarantees up to the value of the commitments relating to the </w:t>
      </w:r>
      <w:r>
        <w:rPr>
          <w:rFonts w:ascii="Arial" w:cs="Arial" w:eastAsia="Arial" w:hAnsi="Arial"/>
          <w:sz w:val="19"/>
          <w:szCs w:val="19"/>
          <w:i w:val="1"/>
          <w:iCs w:val="1"/>
          <w:color w:val="auto"/>
        </w:rPr>
        <w:t>Methane Alison Victoria</w:t>
      </w:r>
      <w:r>
        <w:rPr>
          <w:rFonts w:ascii="Arial" w:cs="Arial" w:eastAsia="Arial" w:hAnsi="Arial"/>
          <w:sz w:val="19"/>
          <w:szCs w:val="19"/>
          <w:color w:val="auto"/>
        </w:rPr>
        <w:t xml:space="preserve">, </w:t>
      </w:r>
      <w:r>
        <w:rPr>
          <w:rFonts w:ascii="Arial" w:cs="Arial" w:eastAsia="Arial" w:hAnsi="Arial"/>
          <w:sz w:val="19"/>
          <w:szCs w:val="19"/>
          <w:i w:val="1"/>
          <w:iCs w:val="1"/>
          <w:color w:val="auto"/>
        </w:rPr>
        <w:t>Methane Shirley Elisabeth</w:t>
      </w:r>
      <w:r>
        <w:rPr>
          <w:rFonts w:ascii="Arial" w:cs="Arial" w:eastAsia="Arial" w:hAnsi="Arial"/>
          <w:sz w:val="19"/>
          <w:szCs w:val="19"/>
          <w:color w:val="auto"/>
        </w:rPr>
        <w:t xml:space="preserve"> and </w:t>
      </w:r>
      <w:r>
        <w:rPr>
          <w:rFonts w:ascii="Arial" w:cs="Arial" w:eastAsia="Arial" w:hAnsi="Arial"/>
          <w:sz w:val="19"/>
          <w:szCs w:val="19"/>
          <w:i w:val="1"/>
          <w:iCs w:val="1"/>
          <w:color w:val="auto"/>
        </w:rPr>
        <w:t>Methane Heather Sally</w:t>
      </w:r>
      <w:r>
        <w:rPr>
          <w:rFonts w:ascii="Arial" w:cs="Arial" w:eastAsia="Arial" w:hAnsi="Arial"/>
          <w:sz w:val="19"/>
          <w:szCs w:val="19"/>
          <w:color w:val="auto"/>
        </w:rPr>
        <w:t xml:space="preserve"> from the Partnership and GasLog Partners Holdings LLC and a guarantee from GasLog Carriers Ltd. for up to the value of the commitments on the remaining vessels, in the case of the Legacy Facility Refinancing guarantee from us, guarantees up to the value of the commitments relating to the </w:t>
      </w:r>
      <w:r>
        <w:rPr>
          <w:rFonts w:ascii="Arial" w:cs="Arial" w:eastAsia="Arial" w:hAnsi="Arial"/>
          <w:sz w:val="19"/>
          <w:szCs w:val="19"/>
          <w:i w:val="1"/>
          <w:iCs w:val="1"/>
          <w:color w:val="auto"/>
        </w:rPr>
        <w:t xml:space="preserve">GasLog Seattle </w:t>
      </w:r>
      <w:r>
        <w:rPr>
          <w:rFonts w:ascii="Arial" w:cs="Arial" w:eastAsia="Arial" w:hAnsi="Arial"/>
          <w:sz w:val="19"/>
          <w:szCs w:val="19"/>
          <w:color w:val="auto"/>
        </w:rPr>
        <w:t>from the Partnership and GasLog Partners Holdings LLC and a guarantee from GasLog Carriers Ltd. for up to the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commitments on the remaining vessels;</w:t>
      </w:r>
    </w:p>
    <w:p>
      <w:pPr>
        <w:spacing w:after="0" w:line="63"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for certain of our facilities, a pledge or a negative pledge of the share capital of the respective borrower; and</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for certain of our facilities, a first or second priority assignment of all earnings and insurances related to the ship owned by the respective borrower.</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business is not subject to seasonal borrowing requirements.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Covenants and Events of Default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w:t>
      </w:r>
    </w:p>
    <w:p>
      <w:pPr>
        <w:spacing w:after="0" w:line="119"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Our credit facilities impose certain operating and financial restrictions on us. These restrictions generally limit our subsidiaries’ ability to, among other things: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incur additional indebtedness, create liens or provide guarantees;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type w:val="continuous"/>
        </w:sectPr>
      </w:pPr>
    </w:p>
    <w:bookmarkStart w:id="77" w:name="page78"/>
    <w:bookmarkEnd w:id="77"/>
    <w:p>
      <w:pPr>
        <w:ind w:left="540" w:hanging="168"/>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sell or otherwise dispose of assets, including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engage in merger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enter into, terminate or amend any charter;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amend our shipbuilding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change the manager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undergo a change in ownership;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acquire assets, make investments or enter into any joint venture arrangements outside of the ordinary course of business.</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Our credit facilities (with the exception of the GasLog Partners Credit Facility) also impose specified financial covenants that apply to us and our subsidiaries on a consolidated basis. These financial covenants include the following:</w:t>
      </w:r>
    </w:p>
    <w:p>
      <w:pPr>
        <w:spacing w:after="0" w:line="38" w:lineRule="exact"/>
        <w:rPr>
          <w:sz w:val="20"/>
          <w:szCs w:val="20"/>
          <w:color w:val="auto"/>
        </w:rPr>
      </w:pPr>
    </w:p>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our net working capital (excluding the current portion of long-term debt) must be not less than $0;</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our total indebtedness divided by our total assets must not exceed 75.0%;</w:t>
      </w:r>
    </w:p>
    <w:p>
      <w:pPr>
        <w:spacing w:after="0" w:line="105" w:lineRule="exact"/>
        <w:rPr>
          <w:rFonts w:ascii="Arial" w:cs="Arial" w:eastAsia="Arial" w:hAnsi="Arial"/>
          <w:sz w:val="19"/>
          <w:szCs w:val="19"/>
          <w:color w:val="auto"/>
        </w:rPr>
      </w:pPr>
    </w:p>
    <w:p>
      <w:pPr>
        <w:ind w:left="540" w:right="180" w:hanging="168"/>
        <w:spacing w:after="0" w:line="283" w:lineRule="auto"/>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ratio of EBITDA over our debt service obligations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our total indebtedness and $50.0 million after the first drawdown;</w:t>
      </w:r>
    </w:p>
    <w:p>
      <w:pPr>
        <w:spacing w:after="0" w:line="38" w:lineRule="exact"/>
        <w:rPr>
          <w:rFonts w:ascii="Arial" w:cs="Arial" w:eastAsia="Arial" w:hAnsi="Arial"/>
          <w:sz w:val="19"/>
          <w:szCs w:val="19"/>
          <w:color w:val="auto"/>
        </w:rPr>
      </w:pPr>
    </w:p>
    <w:p>
      <w:pPr>
        <w:ind w:left="540" w:right="520" w:hanging="168"/>
        <w:spacing w:after="0" w:line="339"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are permitted to pay dividends, provided that we hold unencumbered cash and cash equivalents equal to at least 4.0% of our total indebtedness, subject to no event of default having occurred or occurring as a consequence of the payment of such dividends; and</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our market value adjusted net worth must at all times be not less than $350.0 million.</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72" w:lineRule="exact"/>
        <w:rPr>
          <w:sz w:val="20"/>
          <w:szCs w:val="20"/>
          <w:color w:val="auto"/>
        </w:rPr>
      </w:pPr>
    </w:p>
    <w:p>
      <w:pPr>
        <w:ind w:right="260" w:firstLine="357"/>
        <w:spacing w:after="0" w:line="28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36"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not less than 120.0% (in the case of the October 2015 Facility, 115.0% for the first two years after each drawdown and 120.0% at any time thereafter and in the case of the Five Vessel Refinancing, 115.0% until the maturity of the junior tranche and 120.0% at any time thereafter)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7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Compliance with the financial covenants is required on a semi-annual basis and we were in compliance with the respective financial covenants as of December 31, 2016.</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64" w:right="319" w:bottom="1440" w:gutter="0" w:footer="0" w:header="0"/>
        </w:sectPr>
      </w:pPr>
    </w:p>
    <w:bookmarkStart w:id="78" w:name="page79"/>
    <w:bookmarkEnd w:id="78"/>
    <w:p>
      <w:pPr>
        <w:spacing w:after="0"/>
        <w:rPr>
          <w:sz w:val="20"/>
          <w:szCs w:val="20"/>
          <w:color w:val="auto"/>
        </w:rPr>
      </w:pPr>
      <w:r>
        <w:rPr>
          <w:rFonts w:ascii="Arial" w:cs="Arial" w:eastAsia="Arial" w:hAnsi="Arial"/>
          <w:sz w:val="19"/>
          <w:szCs w:val="19"/>
          <w:i w:val="1"/>
          <w:iCs w:val="1"/>
          <w:color w:val="auto"/>
        </w:rPr>
        <w:t>GasLog Partners Credit Facility and the Five Vessel Refinancing</w:t>
      </w:r>
    </w:p>
    <w:p>
      <w:pPr>
        <w:spacing w:after="0" w:line="119"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GasLog Partners Credit Facility and the Five Vessel Refinancing are subject to specified financial covenants that apply to us on GasLog Partners’ consolidated basis. These financial covenants include the following:</w:t>
      </w:r>
    </w:p>
    <w:p>
      <w:pPr>
        <w:spacing w:after="0" w:line="38" w:lineRule="exact"/>
        <w:rPr>
          <w:sz w:val="20"/>
          <w:szCs w:val="20"/>
          <w:color w:val="auto"/>
        </w:rPr>
      </w:pPr>
    </w:p>
    <w:p>
      <w:pPr>
        <w:ind w:left="540" w:right="20" w:hanging="168"/>
        <w:spacing w:after="0" w:line="283" w:lineRule="auto"/>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total indebtedness or $15.0 million;</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total indebtedness divided by total assets must be less than 60.0%;</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(including interest and debt repayments) on a trailing 12 months basis must be not less than 110.0%; and</w:t>
      </w:r>
    </w:p>
    <w:p>
      <w:pPr>
        <w:spacing w:after="0" w:line="38"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Partnership is permitted to declare or pay any dividends or distributions, subject to no event of default having occurred or occurring as a consequence of the payment of such dividends or distributions.</w:t>
      </w:r>
    </w:p>
    <w:p>
      <w:pPr>
        <w:spacing w:after="0" w:line="65" w:lineRule="exact"/>
        <w:rPr>
          <w:sz w:val="20"/>
          <w:szCs w:val="20"/>
          <w:color w:val="auto"/>
        </w:rPr>
      </w:pPr>
    </w:p>
    <w:p>
      <w:pPr>
        <w:ind w:right="80" w:firstLine="357"/>
        <w:spacing w:after="0" w:line="285" w:lineRule="auto"/>
        <w:rPr>
          <w:sz w:val="20"/>
          <w:szCs w:val="20"/>
          <w:color w:val="auto"/>
        </w:rPr>
      </w:pPr>
      <w:r>
        <w:rPr>
          <w:rFonts w:ascii="Arial" w:cs="Arial" w:eastAsia="Arial" w:hAnsi="Arial"/>
          <w:sz w:val="17"/>
          <w:szCs w:val="17"/>
          <w:color w:val="auto"/>
        </w:rPr>
        <w:t>The GasLog Partners Credit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GasLog Partners Credit Facility contains covenants requiring us and certain of our subsidiaries to maintain the aggregate of (i) the market value, on a charter exclusive basis, of the mortgaged vessel or vessels and (ii) the market value of any additional security provided to the lenders, not less than</w:t>
      </w:r>
    </w:p>
    <w:p>
      <w:pPr>
        <w:spacing w:after="0" w:line="3" w:lineRule="exact"/>
        <w:rPr>
          <w:sz w:val="20"/>
          <w:szCs w:val="20"/>
          <w:color w:val="auto"/>
        </w:rPr>
      </w:pPr>
    </w:p>
    <w:p>
      <w:pPr>
        <w:jc w:val="both"/>
        <w:ind w:right="320"/>
        <w:spacing w:after="0" w:line="258" w:lineRule="auto"/>
        <w:rPr>
          <w:sz w:val="20"/>
          <w:szCs w:val="20"/>
          <w:color w:val="auto"/>
        </w:rPr>
      </w:pPr>
      <w:r>
        <w:rPr>
          <w:rFonts w:ascii="Arial" w:cs="Arial" w:eastAsia="Arial" w:hAnsi="Arial"/>
          <w:sz w:val="19"/>
          <w:szCs w:val="19"/>
          <w:color w:val="auto"/>
        </w:rPr>
        <w:t>120.0% of the then outstanding amount under the applicable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63"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GasLog Partners Credit Facility and the Five Vessel Refinancing also impose certain restrictions relating to the Partnership, including restrictions that limit its ability to make any substantial change in the nature of its business or to the corporate structure without approval from the lenders.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Compliance with the financial covenants is required on a semi-annual basis. GasLog Partners was in compliance with the respective financial covenants as of December 31, 2016.</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Senior Unsecured Notes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On June 27, 2013, we issued a NOK 500 million bond under the 2018 Bond Agreement (or $83.21 million based on the exchange rate on June 27, 2013) that will mature on June 27, 2018. On May 2, 2014, we closed a follow-on issue of NOK 500.0 million bond under the 2018 Bond Agreement (or $83.61 million based on the exchange rate on closing date) at a premium of $4.18 million (based on the exchange rate on closing date). On June 27, 2016, we repurchased and cancelled NOK 588.0 million (or $70.68 million) of the outstanding bonds under the 2018 Bond Agreement at a price of 103% of par value. The total outstanding balance under the 2018 Bond Agreement, after the follow-on issue and the partial repurchase, amounts to NOK 412.0 million.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bonds under the 2018 Bond Agreement bear interest at NIBOR plus margin. Interest payments shall be made in arrears on a quarterly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basis. The carrying amount under the 2018 Bond Agreement, net of unamortized financing costs and premium, as of December 31, 2016 was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$48.19 million. We may redeem the aforementioned bonds in whole or in part as follows: (a) with settlement date at any time from June 27, 2016</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 but not including June 27, 2017 at 105.0% of par plus accrued interests on redeemed amount, (b) with settlement date at any time from June 27,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2017 to but not including December 27, 2017 at 103.0% of par plus accrued interests on redeemed amount, and (c) with settlement date at 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time from December 27, 2017 to but not including the maturity date at 101.75% of par plus accrued interests on redeemed amount.</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Under the 2018 Bond Agreement we are required to comply with the financial covenants listed below:</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total indebtedness divided by total assets must not exceed 75.0%;</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79" w:name="page80"/>
    <w:bookmarkEnd w:id="79"/>
    <w:p>
      <w:pPr>
        <w:ind w:left="540" w:right="22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exceed the higher of 3.0% of total indebtedness and $20.0 million after the first drawdown;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Group’s market value adjusted net worth must at all times be not less than $350.0 million.</w:t>
      </w:r>
    </w:p>
    <w:p>
      <w:pPr>
        <w:spacing w:after="0" w:line="11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In addition, we are not permitted to (i) declare or make any dividend payment or distribution, whether in cash or in kind, (ii) repurchase any of our shares or undertake other similar transactions (including, but not limited to, total return swaps related to our shares), or (iii) grant any loans or make other distributions or transactions constituting a transfer of value to our shareholders (items (i), (ii) and (iii) collectively referred to as the “Distributions”) that in aggregate exceed during any calendar year 50.0% of our consolidated net profit after taxes based on the audited annual accounts for the previous financial year (any unutilized portion of the permitted dividend pursuant to the above may not be carried forward). In the amendment to the 2018 Bond Agreement signed in November 2014, certain covenants were revised in order to reflect our growth and the anticipated growth of GasLog Partners. Under the amended agreement, (a) notwithstanding the restriction on Distributions described above, we are permitted to make Distributions up to an aggregate maximum per share, for the years 2016, 2017 and 2018 of $1.10/share, $1.20/share and $1.30/share, respectively, provided that total indebtedness divided by total assets (giving pro forma effect for the Distribution) does not exceed 67.5% immediately after the Distribution is made, the ratio of EBITDA over debt service obligations on a trailing 12 months basis ending the quarter immediately prior to that in which the Distribution is made is not less than 115.0% and no event of default would result from such Distribution, (b) the amount of debt or committed debt availability that we provide to GasLog Partners cannot exceed $75.0 million and (c) we agreed to pay a one-time fee of 1.0% of the face value of the bonds.</w:t>
      </w:r>
    </w:p>
    <w:p>
      <w:pPr>
        <w:spacing w:after="0" w:line="66"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On June 27, 2016, GasLog completed the issuance of NOK 750 million of new senior unsecured bonds under the 2021 Bond Agreement (equivalent to $90.2 million) in the Norwegian bond market. The bonds will mature in May 2021 and bear interest at NIBOR plus margin. Interest payments shall be made in arrears on a quarterly basis. The carrying amount of the bonds under the 2021 Bond Agreement, net of unamortized financing costs, as of December 31, 2016 was $85.35 million. We may redeem the aforementioned bonds in whole or in part as follows: (a) with settlement date at any time from June 27, 2019 to but not including June 27, 2020 at 104.0% of par plus accrued interests on redeemed amount, (b) with settlement date at any time from June 27, 2020 to but not including December 27, 2020 at 102.5% of par plus accrued interests on redeemed amount, and (c) with settlement date at any time from December 27, 2020 to but not including the maturity date at 101.0% of par plus accrued interests on redeemed amount.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Under the 2021 Bond Agreement we are required to comply with the financial covenants listed below:</w:t>
      </w:r>
    </w:p>
    <w:p>
      <w:pPr>
        <w:spacing w:after="0" w:line="106" w:lineRule="exact"/>
        <w:rPr>
          <w:sz w:val="20"/>
          <w:szCs w:val="20"/>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net working capital (excluding the current portion of long-term debt) must not be less than $0;</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total indebtedness divided by total assets must not exceed 75.0%;</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as defined in the 2021 Bond Agreement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not be less than the higher of 3.0% of total indebtedness and $50.0 million after the first drawdown;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Group’s market value adjusted net worth must at all times be not less than $350.0 million.</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In addition, we are not permitted to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80" w:name="page81"/>
    <w:bookmarkEnd w:id="80"/>
    <w:p>
      <w:pPr>
        <w:ind w:right="20"/>
        <w:spacing w:after="0" w:line="294" w:lineRule="auto"/>
        <w:rPr>
          <w:sz w:val="20"/>
          <w:szCs w:val="20"/>
          <w:color w:val="auto"/>
        </w:rPr>
      </w:pPr>
      <w:r>
        <w:rPr>
          <w:rFonts w:ascii="Arial" w:cs="Arial" w:eastAsia="Arial" w:hAnsi="Arial"/>
          <w:sz w:val="17"/>
          <w:szCs w:val="17"/>
          <w:color w:val="auto"/>
        </w:rPr>
        <w:t>based on the audited annual accounts for the previous financial year (any unutilized portion of the permitted Distributions pursuant to the above may not be carried forward). For the purposes of the above, the consolidated net profit after taxes of the Group shall not include any profits related to the sale of assets (and consequently any such profits related to such profits shall not form the basis for Distributions). Under the 2021 Bond Agreement, GasLog is permitted to make Distributions up to a maximum amount per share per annum for the years 2016, 2017, 2018, 2019, 2020 and 2021 of $1.00/share, $1.10/share, $1.10/share, $1.20/share, $1.20/share and $1.20/share, respectively, provided that GasLog can demonstrate by delivering a compliance certificate to the bond trustee that no event of default is continuing or would result from such Distributions.</w:t>
      </w:r>
    </w:p>
    <w:p>
      <w:pPr>
        <w:spacing w:after="0" w:line="49"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Compliance with our Bonds’ covenants is required at all times and we were in compliance with the respective financial covenants as of December 31, 2016.</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information about our exposure to market risks, see “Item 11. Quantitative and Qualitative Disclosures About Market Risk”.</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Expenditures</w:t>
      </w:r>
    </w:p>
    <w:p>
      <w:pPr>
        <w:spacing w:after="0" w:line="125"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We make capital expenditures from time to time in connection with the expansion and operation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and in 2016 we took delivery of four LNG carriers. During the years ended December 31 2016, 2015, 2014 and 2013, we funded $0.76 billion, $0.73 billion, $1.36 billion and $1.04 billion, respectively, of construction and delivery costs, including installment payments on newbuildings, with funds borrowed under credit facilities and the Bonds, capital contributions from our pre-IPO shareholders, proceeds from our IPO and the GasLog Partners’ IPO and proceeds from follow-on equity offerings and private placements.</w:t>
      </w:r>
    </w:p>
    <w:p>
      <w:pPr>
        <w:spacing w:after="0" w:line="6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As of December 31, 2016, our commitments for capital expenditures related to the five contracted LNG carriers on order. The outstanding commitment for our five newbuildings on order as of December 31, 2016 was approximately $946.93 million. Amounts are payable under each shipbuilding contract in installments upon the attainment of certain specified milestones in each ship’s construction, with the largest portion of the purchase price for each ship coming due upon its delivery.</w:t>
      </w:r>
    </w:p>
    <w:p>
      <w:pPr>
        <w:spacing w:after="0" w:line="7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We intend to fund these commitments with borrowings under the October 2015 Facility which has an aggregate undrawn amount of $664.03 million, available cash and cash from operations.</w:t>
      </w:r>
    </w:p>
    <w:p>
      <w:pPr>
        <w:spacing w:after="0" w:line="5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To the extent that we are unable to draw down the amounts committed under our credit facilities,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all our</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principal accounting policies, see Note 2 to our consolidated financial statements included elsewhere in this annual report.</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Classification of the Non-Controlling Interests</w:t>
      </w:r>
    </w:p>
    <w:p>
      <w:pPr>
        <w:spacing w:after="0" w:line="119"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The non-controlling interests in the Partnership comprise the portion of the Partnership’s common units that are not directly or indirectly held by GasLog (24,410,000 units as of December 31, 2016). Under the terms of the Partnership Agreement, the Partnership is required to distribute 100.0%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68"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Partnership’s board of directors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Vessel Lives and Residual Value</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Vessels are stated at cost, less accumulated depreciation. The estimates and assumptions that have the most significant effect on the vessel carrying amount relate to the estimation of the useful life of a LNG vessel of 35 years and the residual value. An increase in the estimated useful life of a vessel or in its residual value would have the effect of decreasing the annual depreciation charge and an increase in the estimated useful life of a vessel would also extend the annual depreciation charge into later periods. A decrease in the useful life of a vessel or its residual value would have the effect of increasing the annual depreciation charge.</w:t>
      </w:r>
    </w:p>
    <w:p>
      <w:pPr>
        <w:spacing w:after="0" w:line="77"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Management estimated residual value of its vessels to be equal to the product of its LWT and an estimated scrap rate per LWT. Effective December 31, 2016, following management’s annual reassessment, the estimated scrap rate per LWT was decreased. This change in estimate is expected to increase the future annual depreciation expense by $0.48 million. The estimated residual value of our ships may not represent the fair market value at any one time partly because market prices of scrap values tend to fluctuate. We might revise our estimate of the residual values of our ships in the future in response to changing market conditions.</w:t>
      </w:r>
    </w:p>
    <w:p>
      <w:pPr>
        <w:spacing w:after="0" w:line="77"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regulations place significant limitations on the ability of a vessel to trade on a worldwide basis, the vessel’s useful life will be adjusted to end at the date such regulations become effective.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Vessel Cost</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When determining vessel cost, we recognize the installment payments paid to the shipyard or the acquisition price paid to the seller for secondhand vessels along with any directly attributable costs of bringing the vessels to their working condition. Directly attributable costs incurred during the vessel construction periods consist of commissions, on-site supervision costs, costs for sea trials, certain critical initial spare parts and equipment, costs directly incurred for negotiating the construction contracts, initial lubricants and other vessel delivery expenses. Any vendor discounts are deducted from the vessel cost. Subsequent expenditures for conversions and major improvements are also capitalized when the recognition criteria are met.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82" w:name="page83"/>
    <w:bookmarkEnd w:id="82"/>
    <w:p>
      <w:pPr>
        <w:jc w:val="both"/>
        <w:ind w:right="20" w:firstLine="357"/>
        <w:spacing w:after="0" w:line="267" w:lineRule="auto"/>
        <w:rPr>
          <w:sz w:val="20"/>
          <w:szCs w:val="20"/>
          <w:color w:val="auto"/>
        </w:rPr>
      </w:pPr>
      <w:r>
        <w:rPr>
          <w:rFonts w:ascii="Arial" w:cs="Arial" w:eastAsia="Arial" w:hAnsi="Arial"/>
          <w:sz w:val="19"/>
          <w:szCs w:val="19"/>
          <w:color w:val="auto"/>
        </w:rPr>
        <w:t>The vessel cost component is depreciated on a straight-line basis over the expected useful life of each ship, based on the cost of the vessel less its estimated residual value. We estimate the useful lives of our ships to be 35 years from the date of delivery from the shipyard, which we believe is within industry standards and represents the most reasonable useful life for each of our ships.</w:t>
      </w:r>
    </w:p>
    <w:p>
      <w:pPr>
        <w:spacing w:after="0" w:line="68"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We must periodically dry-dock each of our ships for inspection, repairs and any modifications. At the time of delivery of a ship from the shipyard, we estimate the dry-docking component of the cost of the ship, representing estimated costs to be incurred during the first dry-docking at the dry-dock yard for a special survey and parts and supplies used in making required major repairs that meet the recognition criteria, based on our historical experience with similar types of ships. For subsequent dry-dockings actual costs are capitalized when incurred. Costs that will be capitalized as part of the future dry-dockings will include a variety of costs incurred directly attributable to the dry-docking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our vessels are expensed as incurred, even if such maintenance and repair occurs during the same time period as our dry-docking.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Ordinary maintenance and repairs that do not extend the useful life of the asset are expensed as incurred.</w:t>
      </w:r>
    </w:p>
    <w:p>
      <w:pPr>
        <w:spacing w:after="0" w:line="119"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We recognize dry-docking costs as a separate component of the vessel’s carrying amounts and amortize the dry-docking cost on a straight-line basis over the estimated period until the next dry-docking. If the vessel is disposed of before the next dry-docking, the remaining balance of the dry-dock component is written-off and forms part of the gain or loss recognized upon disposal of vessels in the period of disposal. We expect that vessels will be required to be dry-docked in approximately 60 months after their delivery from the shipyard, and thereafter every 60 months will be required to undergo special or intermediate surveys and dry-docked for major repairs and maintenance that cannot be performed while the vessels are operating. We amortize the estimated dry-docking expenses for the first special survey over five years, in case of new vessels, and until the next dry-docking for secondhand vessels unless we intend to dry-dock the vessels earlier as circumstances arise.</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Vessels</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68"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we obtain vessel valuations from independent and internationally recognized ship brokers on an 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68" w:lineRule="exact"/>
        <w:rPr>
          <w:sz w:val="20"/>
          <w:szCs w:val="20"/>
          <w:color w:val="auto"/>
        </w:rPr>
      </w:pPr>
    </w:p>
    <w:p>
      <w:pPr>
        <w:ind w:right="20" w:firstLine="357"/>
        <w:spacing w:after="0" w:line="344" w:lineRule="auto"/>
        <w:rPr>
          <w:sz w:val="20"/>
          <w:szCs w:val="20"/>
          <w:color w:val="auto"/>
        </w:rPr>
      </w:pPr>
      <w:r>
        <w:rPr>
          <w:rFonts w:ascii="Arial" w:cs="Arial" w:eastAsia="Arial" w:hAnsi="Arial"/>
          <w:sz w:val="17"/>
          <w:szCs w:val="17"/>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3" w:name="page84"/>
    <w:bookmarkEnd w:id="83"/>
    <w:p>
      <w:pPr>
        <w:ind w:right="60"/>
        <w:spacing w:after="0" w:line="267" w:lineRule="auto"/>
        <w:rPr>
          <w:sz w:val="20"/>
          <w:szCs w:val="20"/>
          <w:color w:val="auto"/>
        </w:rPr>
      </w:pPr>
      <w:r>
        <w:rPr>
          <w:rFonts w:ascii="Arial" w:cs="Arial" w:eastAsia="Arial" w:hAnsi="Arial"/>
          <w:sz w:val="19"/>
          <w:szCs w:val="19"/>
          <w:color w:val="auto"/>
        </w:rPr>
        <w:t>shipbrokers, which are also commonly used and accepted by our lenders for determining compliance with the relevant covenants in our credit facilities. Vessel values can be highly volatile, so that the estimates may not be indicative of the current or future basic market value of our vessels or prices that could be achieved if we were to sell them.</w:t>
      </w:r>
    </w:p>
    <w:p>
      <w:pPr>
        <w:spacing w:after="0" w:line="68"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The table below sets forth in U.S. dollars (i) the historical acquisition cost of our vessels and (ii) the carrying value of each of our vessels as of December 31, 2015 and December 31, 2016.</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Owned Fleet and Vessel Held under Finance Lease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564"/>
              <w:spacing w:after="0"/>
              <w:rPr>
                <w:sz w:val="20"/>
                <w:szCs w:val="20"/>
                <w:color w:val="auto"/>
              </w:rPr>
            </w:pPr>
            <w:r>
              <w:rPr>
                <w:rFonts w:ascii="Arial" w:cs="Arial" w:eastAsia="Arial" w:hAnsi="Arial"/>
                <w:sz w:val="16"/>
                <w:szCs w:val="16"/>
                <w:b w:val="1"/>
                <w:bCs w:val="1"/>
                <w:color w:val="auto"/>
              </w:rPr>
              <w:t>Carrying values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99"/>
              </w:rPr>
              <w:t>Cargo capacity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6"/>
                <w:szCs w:val="16"/>
                <w:b w:val="1"/>
                <w:bCs w:val="1"/>
                <w:color w:val="auto"/>
                <w:w w:val="89"/>
              </w:rPr>
              <w:t>Acquisition</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6"/>
                <w:szCs w:val="16"/>
                <w:b w:val="1"/>
                <w:bCs w:val="1"/>
                <w:color w:val="auto"/>
                <w:w w:val="93"/>
              </w:rPr>
              <w:t>(in thousands of U.S. dollars)</w:t>
            </w:r>
          </w:p>
        </w:tc>
        <w:tc>
          <w:tcPr>
            <w:tcW w:w="0" w:type="dxa"/>
            <w:vAlign w:val="bottom"/>
          </w:tcPr>
          <w:p>
            <w:pPr>
              <w:spacing w:after="0"/>
              <w:rPr>
                <w:sz w:val="1"/>
                <w:szCs w:val="1"/>
                <w:color w:val="auto"/>
              </w:rPr>
            </w:pPr>
          </w:p>
        </w:tc>
      </w:tr>
      <w:tr>
        <w:trPr>
          <w:trHeight w:val="145"/>
        </w:trPr>
        <w:tc>
          <w:tcPr>
            <w:tcW w:w="1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46"/>
              <w:spacing w:after="0" w:line="145" w:lineRule="exact"/>
              <w:rPr>
                <w:sz w:val="20"/>
                <w:szCs w:val="20"/>
                <w:color w:val="auto"/>
              </w:rPr>
            </w:pPr>
            <w:r>
              <w:rPr>
                <w:rFonts w:ascii="Arial" w:cs="Arial" w:eastAsia="Arial" w:hAnsi="Arial"/>
                <w:sz w:val="16"/>
                <w:szCs w:val="16"/>
                <w:b w:val="1"/>
                <w:bCs w:val="1"/>
                <w:color w:val="auto"/>
                <w:w w:val="88"/>
              </w:rPr>
              <w:t>December 31,</w:t>
            </w:r>
          </w:p>
        </w:tc>
        <w:tc>
          <w:tcPr>
            <w:tcW w:w="300" w:type="dxa"/>
            <w:vAlign w:val="bottom"/>
          </w:tcPr>
          <w:p>
            <w:pPr>
              <w:spacing w:after="0"/>
              <w:rPr>
                <w:sz w:val="12"/>
                <w:szCs w:val="12"/>
                <w:color w:val="auto"/>
              </w:rPr>
            </w:pPr>
          </w:p>
        </w:tc>
        <w:tc>
          <w:tcPr>
            <w:tcW w:w="1000" w:type="dxa"/>
            <w:vAlign w:val="bottom"/>
            <w:gridSpan w:val="2"/>
          </w:tcPr>
          <w:p>
            <w:pPr>
              <w:jc w:val="right"/>
              <w:spacing w:after="0" w:line="145"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99"/>
        </w:trPr>
        <w:tc>
          <w:tcPr>
            <w:tcW w:w="1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Vessel</w:t>
            </w:r>
          </w:p>
        </w:tc>
        <w:tc>
          <w:tcPr>
            <w:tcW w:w="300" w:type="dxa"/>
            <w:vAlign w:val="bottom"/>
          </w:tcPr>
          <w:p>
            <w:pPr>
              <w:spacing w:after="0"/>
              <w:rPr>
                <w:sz w:val="17"/>
                <w:szCs w:val="17"/>
                <w:color w:val="auto"/>
              </w:rPr>
            </w:pPr>
          </w:p>
        </w:tc>
        <w:tc>
          <w:tcPr>
            <w:tcW w:w="17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 Date</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(cbm)</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Savannah</w:t>
            </w:r>
            <w:r>
              <w:rPr>
                <w:rFonts w:ascii="Arial" w:cs="Arial" w:eastAsia="Arial" w:hAnsi="Arial"/>
                <w:sz w:val="10"/>
                <w:szCs w:val="10"/>
                <w:i w:val="1"/>
                <w:iCs w:val="1"/>
                <w:color w:val="auto"/>
              </w:rPr>
              <w:t>(5)</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May 2010</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155,000</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229,795</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196,788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190,247</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Singapore</w:t>
            </w:r>
            <w:r>
              <w:rPr>
                <w:rFonts w:ascii="Arial" w:cs="Arial" w:eastAsia="Arial" w:hAnsi="Arial"/>
                <w:sz w:val="10"/>
                <w:szCs w:val="10"/>
                <w:i w:val="1"/>
                <w:iCs w:val="1"/>
                <w:color w:val="auto"/>
              </w:rPr>
              <w:t>(5)</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July 2010</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227,252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195,644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189,090</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Shanghai</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January 2013</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189,233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173,661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168,282</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Santiago</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March 2013</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189,111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174,361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168,984</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Sydney</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May 2013</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195,429</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181,194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175,644</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Skagen</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July 2013</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195,338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181,949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176,404</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Chelsea</w:t>
            </w:r>
            <w:r>
              <w:rPr>
                <w:rFonts w:ascii="Arial" w:cs="Arial" w:eastAsia="Arial" w:hAnsi="Arial"/>
                <w:sz w:val="10"/>
                <w:szCs w:val="10"/>
                <w:i w:val="1"/>
                <w:iCs w:val="1"/>
                <w:color w:val="auto"/>
              </w:rPr>
              <w:t>(2)</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October 2013</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153,600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162,338</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154,383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148,999</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Seattle</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December 2013</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201,198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189,521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183,807</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Methane Rita Andrea</w:t>
            </w:r>
            <w:r>
              <w:rPr>
                <w:rFonts w:ascii="Arial" w:cs="Arial" w:eastAsia="Arial" w:hAnsi="Arial"/>
                <w:sz w:val="10"/>
                <w:szCs w:val="10"/>
                <w:i w:val="1"/>
                <w:iCs w:val="1"/>
                <w:color w:val="auto"/>
              </w:rPr>
              <w:t>(3)(5)</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April 2014</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156,613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146,707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143,677</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Methane Jane Elizabeth</w:t>
            </w:r>
            <w:r>
              <w:rPr>
                <w:rFonts w:ascii="Arial" w:cs="Arial" w:eastAsia="Arial" w:hAnsi="Arial"/>
                <w:sz w:val="10"/>
                <w:szCs w:val="10"/>
                <w:i w:val="1"/>
                <w:iCs w:val="1"/>
                <w:color w:val="auto"/>
              </w:rPr>
              <w:t>(3)(5)</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April 2014</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156,613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146,743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143,356</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Methane Lydon Volney</w:t>
            </w:r>
            <w:r>
              <w:rPr>
                <w:rFonts w:ascii="Arial" w:cs="Arial" w:eastAsia="Arial" w:hAnsi="Arial"/>
                <w:sz w:val="10"/>
                <w:szCs w:val="10"/>
                <w:i w:val="1"/>
                <w:iCs w:val="1"/>
                <w:color w:val="auto"/>
              </w:rPr>
              <w:t>(3)(5)</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April 2014</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156,613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149,226</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143,566</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Methane Alison Victoria</w:t>
            </w:r>
            <w:r>
              <w:rPr>
                <w:rFonts w:ascii="Arial" w:cs="Arial" w:eastAsia="Arial" w:hAnsi="Arial"/>
                <w:sz w:val="10"/>
                <w:szCs w:val="10"/>
                <w:i w:val="1"/>
                <w:iCs w:val="1"/>
                <w:color w:val="auto"/>
              </w:rPr>
              <w:t>(4)(5)</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June 2014</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156,610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149,966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144,557</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Methane Shirley Elisabeth</w:t>
            </w:r>
            <w:r>
              <w:rPr>
                <w:rFonts w:ascii="Arial" w:cs="Arial" w:eastAsia="Arial" w:hAnsi="Arial"/>
                <w:sz w:val="10"/>
                <w:szCs w:val="10"/>
                <w:i w:val="1"/>
                <w:iCs w:val="1"/>
                <w:color w:val="auto"/>
              </w:rPr>
              <w:t>(4)(5)</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June 2014</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156,599</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150,387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144,842</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Methane Heather Sally</w:t>
            </w:r>
            <w:r>
              <w:rPr>
                <w:rFonts w:ascii="Arial" w:cs="Arial" w:eastAsia="Arial" w:hAnsi="Arial"/>
                <w:sz w:val="10"/>
                <w:szCs w:val="10"/>
                <w:i w:val="1"/>
                <w:iCs w:val="1"/>
                <w:color w:val="auto"/>
              </w:rPr>
              <w:t>(4)(5)</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June 2014</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145,000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156,599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150,468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144,981</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Solaris</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June 2014</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201,849</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193,235</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187,496</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Saratoga</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December 2014</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204,146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198,112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192,671</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Methane Julia Louise</w:t>
            </w:r>
            <w:r>
              <w:rPr>
                <w:rFonts w:ascii="Arial" w:cs="Arial" w:eastAsia="Arial" w:hAnsi="Arial"/>
                <w:sz w:val="10"/>
                <w:szCs w:val="10"/>
                <w:i w:val="1"/>
                <w:iCs w:val="1"/>
                <w:color w:val="auto"/>
              </w:rPr>
              <w:t>(2)(5)</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March 2015</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170,000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232,334</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228,959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222,004</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Methane Becki Anne</w:t>
            </w:r>
            <w:r>
              <w:rPr>
                <w:rFonts w:ascii="Arial" w:cs="Arial" w:eastAsia="Arial" w:hAnsi="Arial"/>
                <w:sz w:val="10"/>
                <w:szCs w:val="10"/>
                <w:i w:val="1"/>
                <w:iCs w:val="1"/>
                <w:color w:val="auto"/>
              </w:rPr>
              <w:t>(2)(5)</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March 2015</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170,000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232,334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229,017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221,457</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Salem</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April 2015</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155,000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204,573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200,403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194,765</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Greece</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March 2016</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174,000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208,971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204,442</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Glasgow</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June 2016</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174,000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208,471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205,466</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9"/>
                <w:szCs w:val="19"/>
                <w:i w:val="1"/>
                <w:iCs w:val="1"/>
                <w:color w:val="auto"/>
              </w:rPr>
              <w:t>GasLog Geneva</w:t>
            </w:r>
          </w:p>
        </w:tc>
        <w:tc>
          <w:tcPr>
            <w:tcW w:w="2040" w:type="dxa"/>
            <w:vAlign w:val="bottom"/>
            <w:gridSpan w:val="2"/>
          </w:tcPr>
          <w:p>
            <w:pPr>
              <w:ind w:left="300"/>
              <w:spacing w:after="0"/>
              <w:rPr>
                <w:sz w:val="20"/>
                <w:szCs w:val="20"/>
                <w:color w:val="auto"/>
              </w:rPr>
            </w:pPr>
            <w:r>
              <w:rPr>
                <w:rFonts w:ascii="Arial" w:cs="Arial" w:eastAsia="Arial" w:hAnsi="Arial"/>
                <w:sz w:val="19"/>
                <w:szCs w:val="19"/>
                <w:color w:val="auto"/>
              </w:rPr>
              <w:t>September 2016</w:t>
            </w:r>
          </w:p>
        </w:tc>
        <w:tc>
          <w:tcPr>
            <w:tcW w:w="1580" w:type="dxa"/>
            <w:vAlign w:val="bottom"/>
            <w:gridSpan w:val="2"/>
          </w:tcPr>
          <w:p>
            <w:pPr>
              <w:jc w:val="right"/>
              <w:ind w:right="1"/>
              <w:spacing w:after="0"/>
              <w:rPr>
                <w:sz w:val="20"/>
                <w:szCs w:val="20"/>
                <w:color w:val="auto"/>
              </w:rPr>
            </w:pPr>
            <w:r>
              <w:rPr>
                <w:rFonts w:ascii="Arial" w:cs="Arial" w:eastAsia="Arial" w:hAnsi="Arial"/>
                <w:sz w:val="19"/>
                <w:szCs w:val="19"/>
                <w:color w:val="auto"/>
              </w:rPr>
              <w:t>174,000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203,867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202,394</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E5FFFF"/>
          </w:tcPr>
          <w:p>
            <w:pPr>
              <w:spacing w:after="0"/>
              <w:rPr>
                <w:sz w:val="20"/>
                <w:szCs w:val="20"/>
                <w:color w:val="auto"/>
              </w:rPr>
            </w:pPr>
            <w:r>
              <w:rPr>
                <w:rFonts w:ascii="Arial" w:cs="Arial" w:eastAsia="Arial" w:hAnsi="Arial"/>
                <w:sz w:val="19"/>
                <w:szCs w:val="19"/>
                <w:i w:val="1"/>
                <w:iCs w:val="1"/>
                <w:color w:val="auto"/>
              </w:rPr>
              <w:t>GasLog Gibraltar</w:t>
            </w:r>
          </w:p>
        </w:tc>
        <w:tc>
          <w:tcPr>
            <w:tcW w:w="204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October 2016</w:t>
            </w:r>
          </w:p>
        </w:tc>
        <w:tc>
          <w:tcPr>
            <w:tcW w:w="1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174,000</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203,738</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202,762</w:t>
            </w:r>
          </w:p>
        </w:tc>
        <w:tc>
          <w:tcPr>
            <w:tcW w:w="0" w:type="dxa"/>
            <w:vAlign w:val="bottom"/>
          </w:tcPr>
          <w:p>
            <w:pPr>
              <w:spacing w:after="0"/>
              <w:rPr>
                <w:sz w:val="1"/>
                <w:szCs w:val="1"/>
                <w:color w:val="auto"/>
              </w:rPr>
            </w:pPr>
          </w:p>
        </w:tc>
      </w:tr>
      <w:tr>
        <w:trPr>
          <w:trHeight w:val="250"/>
        </w:trPr>
        <w:tc>
          <w:tcPr>
            <w:tcW w:w="3580" w:type="dxa"/>
            <w:vAlign w:val="bottom"/>
            <w:gridSpan w:val="2"/>
          </w:tcPr>
          <w:p>
            <w:pPr>
              <w:spacing w:after="0"/>
              <w:rPr>
                <w:sz w:val="20"/>
                <w:szCs w:val="20"/>
                <w:color w:val="auto"/>
              </w:rPr>
            </w:pPr>
            <w:r>
              <w:rPr>
                <w:rFonts w:ascii="Arial" w:cs="Arial" w:eastAsia="Arial" w:hAnsi="Arial"/>
                <w:sz w:val="19"/>
                <w:szCs w:val="19"/>
                <w:b w:val="1"/>
                <w:bCs w:val="1"/>
                <w:color w:val="auto"/>
              </w:rPr>
              <w:t>Total</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4,429,624</w:t>
            </w:r>
          </w:p>
        </w:tc>
        <w:tc>
          <w:tcPr>
            <w:tcW w:w="4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3,390,724</w:t>
            </w:r>
          </w:p>
        </w:tc>
        <w:tc>
          <w:tcPr>
            <w:tcW w:w="4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w w:val="92"/>
              </w:rPr>
              <w:t>4,099,893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tcBorders>
              <w:bottom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80" w:right="140" w:hanging="200"/>
        <w:spacing w:after="0" w:line="323" w:lineRule="auto"/>
        <w:tabs>
          <w:tab w:leader="none" w:pos="280" w:val="left"/>
        </w:tabs>
        <w:numPr>
          <w:ilvl w:val="0"/>
          <w:numId w:val="50"/>
        </w:numPr>
        <w:rPr>
          <w:rFonts w:ascii="Arial" w:cs="Arial" w:eastAsia="Arial" w:hAnsi="Arial"/>
          <w:sz w:val="8"/>
          <w:szCs w:val="8"/>
          <w:color w:val="auto"/>
        </w:rPr>
      </w:pPr>
      <w:r>
        <w:rPr>
          <w:rFonts w:ascii="Arial" w:cs="Arial" w:eastAsia="Arial" w:hAnsi="Arial"/>
          <w:sz w:val="13"/>
          <w:szCs w:val="13"/>
          <w:color w:val="auto"/>
        </w:rPr>
        <w:t xml:space="preserve">Our vessels and the vessel held under finance lease are stated at carrying values (see Note 6 to our consolidated financial statements included elsewhere in this annual report). For the years ended December 31, 2015 and December 31, 2016, no impairment was recorded. However, the value in use of the ten vessels described below (including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which is held under finance lease) was higher than the carrying amount of these vessels and consequently, no impairment loss was recognized.</w:t>
      </w:r>
    </w:p>
    <w:p>
      <w:pPr>
        <w:spacing w:after="0" w:line="17" w:lineRule="exact"/>
        <w:rPr>
          <w:rFonts w:ascii="Arial" w:cs="Arial" w:eastAsia="Arial" w:hAnsi="Arial"/>
          <w:sz w:val="8"/>
          <w:szCs w:val="8"/>
          <w:color w:val="auto"/>
        </w:rPr>
      </w:pPr>
    </w:p>
    <w:p>
      <w:pPr>
        <w:ind w:left="280" w:hanging="200"/>
        <w:spacing w:after="0"/>
        <w:tabs>
          <w:tab w:leader="none" w:pos="280" w:val="left"/>
        </w:tabs>
        <w:numPr>
          <w:ilvl w:val="0"/>
          <w:numId w:val="50"/>
        </w:numPr>
        <w:rPr>
          <w:rFonts w:ascii="Arial" w:cs="Arial" w:eastAsia="Arial" w:hAnsi="Arial"/>
          <w:sz w:val="9"/>
          <w:szCs w:val="9"/>
          <w:color w:val="auto"/>
        </w:rPr>
      </w:pPr>
      <w:r>
        <w:rPr>
          <w:rFonts w:ascii="Arial" w:cs="Arial" w:eastAsia="Arial" w:hAnsi="Arial"/>
          <w:sz w:val="16"/>
          <w:szCs w:val="16"/>
          <w:color w:val="auto"/>
        </w:rPr>
        <w:t>The vessel was built in 2010.</w:t>
      </w:r>
    </w:p>
    <w:p>
      <w:pPr>
        <w:spacing w:after="0" w:line="86" w:lineRule="exact"/>
        <w:rPr>
          <w:rFonts w:ascii="Arial" w:cs="Arial" w:eastAsia="Arial" w:hAnsi="Arial"/>
          <w:sz w:val="9"/>
          <w:szCs w:val="9"/>
          <w:color w:val="auto"/>
        </w:rPr>
      </w:pPr>
    </w:p>
    <w:p>
      <w:pPr>
        <w:ind w:left="280" w:hanging="200"/>
        <w:spacing w:after="0"/>
        <w:tabs>
          <w:tab w:leader="none" w:pos="280" w:val="left"/>
        </w:tabs>
        <w:numPr>
          <w:ilvl w:val="0"/>
          <w:numId w:val="50"/>
        </w:numPr>
        <w:rPr>
          <w:rFonts w:ascii="Arial" w:cs="Arial" w:eastAsia="Arial" w:hAnsi="Arial"/>
          <w:sz w:val="9"/>
          <w:szCs w:val="9"/>
          <w:color w:val="auto"/>
        </w:rPr>
      </w:pPr>
      <w:r>
        <w:rPr>
          <w:rFonts w:ascii="Arial" w:cs="Arial" w:eastAsia="Arial" w:hAnsi="Arial"/>
          <w:sz w:val="16"/>
          <w:szCs w:val="16"/>
          <w:color w:val="auto"/>
        </w:rPr>
        <w:t>The vessels were built in 2006.</w:t>
      </w:r>
    </w:p>
    <w:p>
      <w:pPr>
        <w:spacing w:after="0" w:line="86" w:lineRule="exact"/>
        <w:rPr>
          <w:rFonts w:ascii="Arial" w:cs="Arial" w:eastAsia="Arial" w:hAnsi="Arial"/>
          <w:sz w:val="9"/>
          <w:szCs w:val="9"/>
          <w:color w:val="auto"/>
        </w:rPr>
      </w:pPr>
    </w:p>
    <w:p>
      <w:pPr>
        <w:ind w:left="280" w:hanging="200"/>
        <w:spacing w:after="0"/>
        <w:tabs>
          <w:tab w:leader="none" w:pos="280" w:val="left"/>
        </w:tabs>
        <w:numPr>
          <w:ilvl w:val="0"/>
          <w:numId w:val="50"/>
        </w:numPr>
        <w:rPr>
          <w:rFonts w:ascii="Arial" w:cs="Arial" w:eastAsia="Arial" w:hAnsi="Arial"/>
          <w:sz w:val="9"/>
          <w:szCs w:val="9"/>
          <w:color w:val="auto"/>
        </w:rPr>
      </w:pPr>
      <w:r>
        <w:rPr>
          <w:rFonts w:ascii="Arial" w:cs="Arial" w:eastAsia="Arial" w:hAnsi="Arial"/>
          <w:sz w:val="16"/>
          <w:szCs w:val="16"/>
          <w:color w:val="auto"/>
        </w:rPr>
        <w:t>The vessels were built in 2007.</w:t>
      </w:r>
    </w:p>
    <w:p>
      <w:pPr>
        <w:spacing w:after="0" w:line="86" w:lineRule="exact"/>
        <w:rPr>
          <w:rFonts w:ascii="Arial" w:cs="Arial" w:eastAsia="Arial" w:hAnsi="Arial"/>
          <w:sz w:val="9"/>
          <w:szCs w:val="9"/>
          <w:color w:val="auto"/>
        </w:rPr>
      </w:pPr>
    </w:p>
    <w:p>
      <w:pPr>
        <w:ind w:left="280" w:right="60" w:hanging="200"/>
        <w:spacing w:after="0" w:line="323" w:lineRule="auto"/>
        <w:tabs>
          <w:tab w:leader="none" w:pos="280" w:val="left"/>
        </w:tabs>
        <w:numPr>
          <w:ilvl w:val="0"/>
          <w:numId w:val="50"/>
        </w:numPr>
        <w:rPr>
          <w:rFonts w:ascii="Arial" w:cs="Arial" w:eastAsia="Arial" w:hAnsi="Arial"/>
          <w:sz w:val="8"/>
          <w:szCs w:val="8"/>
          <w:color w:val="auto"/>
        </w:rPr>
      </w:pPr>
      <w:r>
        <w:rPr>
          <w:rFonts w:ascii="Arial" w:cs="Arial" w:eastAsia="Arial" w:hAnsi="Arial"/>
          <w:sz w:val="13"/>
          <w:szCs w:val="13"/>
          <w:color w:val="auto"/>
        </w:rPr>
        <w:t>Indicates vessels for which we believe, as of December 31, 2016, the charter-free market value is lower than the vessel’s carrying value. We believe that the aggregate carrying value of these vessels exceeds their aggregate basic charter-free market value by $239.77 million, as of December 31, 2016. However, as described below, the value in use for each of the ten vessels was higher than the carrying amount of these vessels and consequently, no impairment loss was recognized.</w:t>
      </w:r>
    </w:p>
    <w:p>
      <w:pPr>
        <w:spacing w:after="0" w:line="38"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Except where indicated, the market value of each vessel individually, and all vessels in the aggregate, exceeds the carrying value of that vessel, and all vessels in the aggregate, as of December 31, 2015 and December 31, 2016.</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As of December 31, 2016, for the ten vessels with carrying amounts higher than the estimated charter-free market value we concluded that events and circumstances triggered the existence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4" w:name="page85"/>
    <w:bookmarkEnd w:id="84"/>
    <w:p>
      <w:pPr>
        <w:spacing w:after="0" w:line="283" w:lineRule="auto"/>
        <w:rPr>
          <w:sz w:val="20"/>
          <w:szCs w:val="20"/>
          <w:color w:val="auto"/>
        </w:rPr>
      </w:pPr>
      <w:r>
        <w:rPr>
          <w:rFonts w:ascii="Arial" w:cs="Arial" w:eastAsia="Arial" w:hAnsi="Arial"/>
          <w:sz w:val="17"/>
          <w:szCs w:val="17"/>
          <w:color w:val="auto"/>
        </w:rPr>
        <w:t>potential impairment of these vessels. As a result, the Group performed the impairment assessment of the Group’s vessels by comparing the discounted projected net operating cash flows for these vessels to their carrying value. The significant factors and assumptions the Group used in its discounted projected net operating cash flow analysis included, among others, operating revenues, off-hire revenues, dry-docking costs, operating expenses, management fees estimates and the discount rate. Revenue assumptions were based on contracted time charter rates up to the end of life of the current contract of each vessel as well as the estimated average time charter rates for the remaining life of the vessel after the completion of its current contract. The estimated daily time charter rates used for non-contracted revenue days are based on a combination of (i) recent charter market rates, (ii) conditions existing in the LNG market as of December 31, 2016,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management believes the use of revenue estimates, based on the combination of factors</w:t>
      </w:r>
    </w:p>
    <w:p>
      <w:pPr>
        <w:spacing w:after="0" w:line="7" w:lineRule="exact"/>
        <w:rPr>
          <w:sz w:val="20"/>
          <w:szCs w:val="20"/>
          <w:color w:val="auto"/>
        </w:rPr>
      </w:pPr>
    </w:p>
    <w:p>
      <w:pPr>
        <w:jc w:val="both"/>
        <w:ind w:right="20" w:firstLine="8"/>
        <w:spacing w:after="0" w:line="275" w:lineRule="auto"/>
        <w:tabs>
          <w:tab w:leader="none" w:pos="2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(iv) above, to be reasonable as of the reporting date. In addition, the Group used an annual operating expenses escalation factor and estimates of scheduled and unscheduled off-hire revenues based on historical experience. All estimates used and assumptions made were in accordance with the Group’s internal budgets and historical experience of the shipping industry. The value in use for the ten vessels calculated as per above was higher than the carrying amount of these vessels, and consequently, no impairment loss was recognized.</w:t>
      </w:r>
    </w:p>
    <w:p>
      <w:pPr>
        <w:spacing w:after="0" w:line="62" w:lineRule="exact"/>
        <w:rPr>
          <w:sz w:val="20"/>
          <w:szCs w:val="20"/>
          <w:color w:val="auto"/>
        </w:rPr>
      </w:pPr>
    </w:p>
    <w:p>
      <w:pPr>
        <w:ind w:right="180" w:firstLine="357"/>
        <w:spacing w:after="0" w:line="271" w:lineRule="auto"/>
        <w:rPr>
          <w:sz w:val="20"/>
          <w:szCs w:val="20"/>
          <w:color w:val="auto"/>
        </w:rPr>
      </w:pPr>
      <w:r>
        <w:rPr>
          <w:rFonts w:ascii="Arial" w:cs="Arial" w:eastAsia="Arial" w:hAnsi="Arial"/>
          <w:sz w:val="18"/>
          <w:szCs w:val="18"/>
          <w:color w:val="auto"/>
        </w:rPr>
        <w:t>In connection with the impairment testing of our vessels as of December 31, 2016, for the ten vessels with carrying amounts higher than the estimated charter-free market value, we performed a sensitivity analysis on the most sensitive and/or subjective assumption that has the potential to affect the outcome of the impairment exercise, the projected charter hire rate used to forecast future cash flows for non-contracted days. The following table summarizes the average results of the sensitivity analysis that we performed.</w:t>
      </w:r>
    </w:p>
    <w:tbl>
      <w:tblPr>
        <w:tblLayout w:type="fixed"/>
        <w:tblInd w:w="50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Average break-</w:t>
            </w: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6"/>
        </w:trPr>
        <w:tc>
          <w:tcPr>
            <w:tcW w:w="2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Average charter</w:t>
            </w:r>
          </w:p>
        </w:tc>
        <w:tc>
          <w:tcPr>
            <w:tcW w:w="28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even charter</w:t>
            </w:r>
          </w:p>
        </w:tc>
        <w:tc>
          <w:tcPr>
            <w:tcW w:w="30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Variance</w:t>
            </w: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99"/>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hire rate used</w:t>
            </w:r>
            <w:r>
              <w:rPr>
                <w:rFonts w:ascii="Arial" w:cs="Arial" w:eastAsia="Arial" w:hAnsi="Arial"/>
                <w:sz w:val="8"/>
                <w:szCs w:val="8"/>
                <w:b w:val="1"/>
                <w:bCs w:val="1"/>
                <w:color w:val="auto"/>
                <w:w w:val="88"/>
              </w:rPr>
              <w:t>(1)</w:t>
            </w:r>
          </w:p>
        </w:tc>
        <w:tc>
          <w:tcPr>
            <w:tcW w:w="28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hire rate</w:t>
            </w:r>
            <w:r>
              <w:rPr>
                <w:rFonts w:ascii="Arial" w:cs="Arial" w:eastAsia="Arial" w:hAnsi="Arial"/>
                <w:sz w:val="8"/>
                <w:szCs w:val="8"/>
                <w:b w:val="1"/>
                <w:bCs w:val="1"/>
                <w:color w:val="auto"/>
                <w:w w:val="93"/>
              </w:rPr>
              <w:t>(2)</w:t>
            </w:r>
          </w:p>
        </w:tc>
        <w:tc>
          <w:tcPr>
            <w:tcW w:w="30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Variance (%)</w:t>
            </w:r>
          </w:p>
        </w:tc>
      </w:tr>
      <w:tr>
        <w:trPr>
          <w:trHeight w:val="240"/>
        </w:trPr>
        <w:tc>
          <w:tcPr>
            <w:tcW w:w="2380" w:type="dxa"/>
            <w:vAlign w:val="bottom"/>
          </w:tcPr>
          <w:p>
            <w:pPr>
              <w:jc w:val="center"/>
              <w:spacing w:after="0"/>
              <w:rPr>
                <w:sz w:val="20"/>
                <w:szCs w:val="20"/>
                <w:color w:val="auto"/>
              </w:rPr>
            </w:pPr>
            <w:r>
              <w:rPr>
                <w:rFonts w:ascii="Arial" w:cs="Arial" w:eastAsia="Arial" w:hAnsi="Arial"/>
                <w:sz w:val="19"/>
                <w:szCs w:val="19"/>
                <w:color w:val="auto"/>
                <w:w w:val="90"/>
              </w:rPr>
              <w:t>$65,194</w:t>
            </w:r>
          </w:p>
        </w:tc>
        <w:tc>
          <w:tcPr>
            <w:tcW w:w="2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93"/>
              </w:rPr>
              <w:t>$55,321</w:t>
            </w:r>
          </w:p>
        </w:tc>
        <w:tc>
          <w:tcPr>
            <w:tcW w:w="3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92"/>
              </w:rPr>
              <w:t>$9,873</w:t>
            </w:r>
          </w:p>
        </w:tc>
        <w:tc>
          <w:tcPr>
            <w:tcW w:w="300" w:type="dxa"/>
            <w:vAlign w:val="bottom"/>
          </w:tcPr>
          <w:p>
            <w:pPr>
              <w:spacing w:after="0"/>
              <w:rPr>
                <w:sz w:val="20"/>
                <w:szCs w:val="20"/>
                <w:color w:val="auto"/>
              </w:rPr>
            </w:pPr>
          </w:p>
        </w:tc>
        <w:tc>
          <w:tcPr>
            <w:tcW w:w="2380" w:type="dxa"/>
            <w:vAlign w:val="bottom"/>
          </w:tcPr>
          <w:p>
            <w:pPr>
              <w:jc w:val="right"/>
              <w:ind w:right="912"/>
              <w:spacing w:after="0"/>
              <w:rPr>
                <w:sz w:val="20"/>
                <w:szCs w:val="20"/>
                <w:color w:val="auto"/>
              </w:rPr>
            </w:pPr>
            <w:r>
              <w:rPr>
                <w:rFonts w:ascii="Arial" w:cs="Arial" w:eastAsia="Arial" w:hAnsi="Arial"/>
                <w:sz w:val="19"/>
                <w:szCs w:val="19"/>
                <w:color w:val="auto"/>
              </w:rPr>
              <w:t>15%</w:t>
            </w:r>
          </w:p>
        </w:tc>
      </w:tr>
    </w:tbl>
    <w:p>
      <w:pPr>
        <w:spacing w:after="0" w:line="301" w:lineRule="exact"/>
        <w:rPr>
          <w:sz w:val="20"/>
          <w:szCs w:val="20"/>
          <w:color w:val="auto"/>
        </w:rPr>
      </w:pPr>
    </w:p>
    <w:p>
      <w:pPr>
        <w:ind w:left="280" w:right="360" w:hanging="200"/>
        <w:spacing w:after="0" w:line="251" w:lineRule="auto"/>
        <w:tabs>
          <w:tab w:leader="none" w:pos="280" w:val="left"/>
        </w:tabs>
        <w:numPr>
          <w:ilvl w:val="0"/>
          <w:numId w:val="52"/>
        </w:numPr>
        <w:rPr>
          <w:rFonts w:ascii="Arial" w:cs="Arial" w:eastAsia="Arial" w:hAnsi="Arial"/>
          <w:sz w:val="9"/>
          <w:szCs w:val="9"/>
          <w:color w:val="auto"/>
        </w:rPr>
      </w:pPr>
      <w:r>
        <w:rPr>
          <w:rFonts w:ascii="Arial" w:cs="Arial" w:eastAsia="Arial" w:hAnsi="Arial"/>
          <w:sz w:val="16"/>
          <w:szCs w:val="16"/>
          <w:color w:val="auto"/>
        </w:rPr>
        <w:t>The average charter rate used in our impairment testing is the average charter rate based on which we estimated the revenues for the remaining useful life of the respective vessels.</w:t>
      </w:r>
    </w:p>
    <w:p>
      <w:pPr>
        <w:spacing w:after="0" w:line="60" w:lineRule="exact"/>
        <w:rPr>
          <w:rFonts w:ascii="Arial" w:cs="Arial" w:eastAsia="Arial" w:hAnsi="Arial"/>
          <w:sz w:val="9"/>
          <w:szCs w:val="9"/>
          <w:color w:val="auto"/>
        </w:rPr>
      </w:pPr>
    </w:p>
    <w:p>
      <w:pPr>
        <w:ind w:left="280" w:right="340" w:hanging="200"/>
        <w:spacing w:after="0" w:line="251" w:lineRule="auto"/>
        <w:tabs>
          <w:tab w:leader="none" w:pos="280" w:val="left"/>
        </w:tabs>
        <w:numPr>
          <w:ilvl w:val="0"/>
          <w:numId w:val="52"/>
        </w:numPr>
        <w:rPr>
          <w:rFonts w:ascii="Arial" w:cs="Arial" w:eastAsia="Arial" w:hAnsi="Arial"/>
          <w:sz w:val="9"/>
          <w:szCs w:val="9"/>
          <w:color w:val="auto"/>
        </w:rPr>
      </w:pPr>
      <w:r>
        <w:rPr>
          <w:rFonts w:ascii="Arial" w:cs="Arial" w:eastAsia="Arial" w:hAnsi="Arial"/>
          <w:sz w:val="16"/>
          <w:szCs w:val="16"/>
          <w:color w:val="auto"/>
        </w:rPr>
        <w:t>The average break-even charter hire rate is the average charter rate that if used in the discounted projected net operating cash flows of the impairment testing, will result in discounted total cash flows being equal to the carrying value of the vessels.</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Measurement of Share-based Compensation</w:t>
      </w:r>
    </w:p>
    <w:p>
      <w:pPr>
        <w:spacing w:after="0" w:line="119"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Share-based compensation to executives and others providing similar services are measured at the fair value of the equity instruments on the grant date. Details regarding the determination of the fair value of share-based transactions are set out in Note 21 of the consolidated financial statements included elsewhere in this annual report.</w:t>
      </w:r>
    </w:p>
    <w:p>
      <w:pPr>
        <w:spacing w:after="0" w:line="68"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The fair value determined at the grant date of the equity-settled share-based compensation is expensed over the vesting period, based on our estimate of equity instruments that will eventually vest, with a corresponding increase in equity. At the end of each reporting period, we revise our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5" w:name="page86"/>
    <w:bookmarkEnd w:id="85"/>
    <w:p>
      <w:pPr>
        <w:spacing w:after="0"/>
        <w:rPr>
          <w:sz w:val="20"/>
          <w:szCs w:val="20"/>
          <w:color w:val="auto"/>
        </w:rPr>
      </w:pPr>
      <w:r>
        <w:rPr>
          <w:rFonts w:ascii="Arial" w:cs="Arial" w:eastAsia="Arial" w:hAnsi="Arial"/>
          <w:sz w:val="19"/>
          <w:szCs w:val="19"/>
          <w:b w:val="1"/>
          <w:bCs w:val="1"/>
          <w:i w:val="1"/>
          <w:iCs w:val="1"/>
          <w:color w:val="auto"/>
        </w:rPr>
        <w:t>Impairment of Goodwill</w:t>
      </w:r>
    </w:p>
    <w:p>
      <w:pPr>
        <w:spacing w:after="0" w:line="119" w:lineRule="exact"/>
        <w:rPr>
          <w:sz w:val="20"/>
          <w:szCs w:val="20"/>
          <w:color w:val="auto"/>
        </w:rPr>
      </w:pPr>
    </w:p>
    <w:p>
      <w:pPr>
        <w:ind w:right="740" w:firstLine="357"/>
        <w:spacing w:after="0" w:line="283" w:lineRule="auto"/>
        <w:rPr>
          <w:sz w:val="20"/>
          <w:szCs w:val="20"/>
          <w:color w:val="auto"/>
        </w:rPr>
      </w:pPr>
      <w:r>
        <w:rPr>
          <w:rFonts w:ascii="Arial" w:cs="Arial" w:eastAsia="Arial" w:hAnsi="Arial"/>
          <w:sz w:val="19"/>
          <w:szCs w:val="19"/>
          <w:color w:val="auto"/>
        </w:rPr>
        <w:t>We review goodwill for impairment at least annually. For the purpose of impairment testing, goodwill has been allocated to the cash-generating unit representing our management company, GasLog LNG Services, which was acquired by us in 2005.</w:t>
      </w:r>
    </w:p>
    <w:p>
      <w:pPr>
        <w:spacing w:after="0" w:line="5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Determining whether goodwill has been impaired requires an estimation of the recoverable amount, which is the higher of fair value less costs to sell and value in use, of the cash-generating unit(s) to which goodwill has been allocated. The value in use calculation requires management to estimate the future cash flows expected to arise from the cash-generating unit(s) and a suitable discount rate in order to calculate present value. Details of the impairment analysis are set out in Note 3 of the consolidated financial statements included elsewhere in this annual report. No impairment loss was recognized for any of the periods presented.</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Derivative Financial Instruments</w:t>
      </w:r>
    </w:p>
    <w:p>
      <w:pPr>
        <w:spacing w:after="0" w:line="106"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Our risk management policies permit the use of derivative financial instruments to manage interest rate risk and foreign exchange risk. Changes in fair value of derivative financial instruments that are not designated as cash flow hedges for accounting purposes are recognized in the consolidated statements of profit or loss.</w:t>
      </w:r>
    </w:p>
    <w:p>
      <w:pPr>
        <w:spacing w:after="0" w:line="68" w:lineRule="exact"/>
        <w:rPr>
          <w:sz w:val="20"/>
          <w:szCs w:val="20"/>
          <w:color w:val="auto"/>
        </w:rPr>
      </w:pPr>
    </w:p>
    <w:p>
      <w:pPr>
        <w:ind w:right="260" w:firstLine="357"/>
        <w:spacing w:after="0" w:line="277" w:lineRule="auto"/>
        <w:rPr>
          <w:sz w:val="20"/>
          <w:szCs w:val="20"/>
          <w:color w:val="auto"/>
        </w:rPr>
      </w:pPr>
      <w:r>
        <w:rPr>
          <w:rFonts w:ascii="Arial" w:cs="Arial" w:eastAsia="Arial" w:hAnsi="Arial"/>
          <w:sz w:val="18"/>
          <w:szCs w:val="18"/>
          <w:color w:val="auto"/>
        </w:rPr>
        <w:t>A substantial majority of our derivative instruments activity relates to the use of interest rate swaps. The fair value of our interest rate swap agreements is the estimated amount that we would receive or pay to terminate the agreements at the reporting date, taking into account current interest rates and the current credit worthiness of both us and the swap counterparties. The estimated amount is the present value of estimated future cash flows, being equal to the difference between the benchmark interest rate and the fixed rate in the interest rate swap agreement, multiplied by the notional principal amount of the interest rate swap agreement at each interest reset date.</w:t>
      </w:r>
    </w:p>
    <w:p>
      <w:pPr>
        <w:spacing w:after="0" w:line="62"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fair value of our interest rate and currency swap agreements at the end of each period are most significantly affected by the interest rate implied by market-observable data such as LIBOR yield curve, and forward foreign exchange rates. While the fair value of our interest and currency swap agreements are typically more sensitive to changes in short-term rates, significant changes in the long-term benchmark interest and foreign exchange rates also materially impact our interest and currency swap agreements.</w:t>
      </w:r>
    </w:p>
    <w:p>
      <w:pPr>
        <w:spacing w:after="0" w:line="72"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fair value of our interest and currency swap agreements are also affected by changes in our specific credit risk and counterparties’ risk included in the discount factor. The estimate of the Group’s credit risk is based on the credit rating of other companies in the LNG industry where publicly available, the rating of the global transportation industry where the shipping industry is included and the feedback that the Group receives from its lenders as part of the margin setting for the new loan agreements. The counterparties’ credit risk is estimated either by using the credit default swap rates obtained from public information or, if not available, by using the credit rating of the counterparties.</w:t>
      </w:r>
    </w:p>
    <w:p>
      <w:pPr>
        <w:spacing w:after="0" w:line="62"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The LIBOR yield curve and our specific credit risk are expected to vary over the life of the interest rate swap agreements. The larger the notional amount of the interest rate swap agreements outstanding and the longer the remaining duration of the interest rate swap agreements, the larger the impact of any variability in these factors will be on the fair value of our interest rate swaps. We economically hedge the interest rate exposure on a significant amount of our long-term debt and for long durations. As such, we have historically experienced, and we expect to continue to experience, material variations in the period-to-period fair value of our derivative instruments.</w:t>
      </w:r>
    </w:p>
    <w:p>
      <w:pPr>
        <w:spacing w:after="0" w:line="6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Although we measure the fair value of our derivative instruments utilizing the inputs and assumptions described above, if we were to terminate the agreements at the reporting date, the amount we would pay or receive to terminate the derivative instruments may differ from our estimate of fair value. If the estimated fair value differs from the actual termination amount, an adjustment to the carrying amount of the applicable derivative asset or liability would be recognized in profit or loss for the current period. Such adjustments could be material. See Note 25 to our consolidated financial statements included elsewhere in this annual report for the effects on the change in fair value of our derivative instruments on our consolidated statements of profit or loss.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86" w:name="page87"/>
    <w:bookmarkEnd w:id="86"/>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2 to our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Research and Development, Patents and Licenses, etc.</w:t>
      </w:r>
    </w:p>
    <w:p>
      <w:pPr>
        <w:spacing w:after="0" w:line="125"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We incur from time to time expenditures relating to inspections for acquiring new vessels. Such expenditures are insignificant and are expensed as they are incurred.</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Trend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Supply</w:t>
      </w:r>
    </w:p>
    <w:p>
      <w:pPr>
        <w:spacing w:after="0" w:line="106"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global seaborne trade of LNG cargoes was over 265 mtpa in 2016, and is projected to rise to approximately 300 mtpa in 2017. This growth is driven mainly by Australian projects, with shipments commencing from Gorgon Trains 2 and 3 (10 mtpa), Wheatstone LNG Train 1 (4.5 mtpa) and Icthys Train 1 (4.2 mtpa) all scheduled to start up in the next 12 months. Looking beyond 2017, based on the public announcements of LNG producers, new LNG production volumes should become available in the 2018-2020 timeframe from projects in Australia, Malaysia, Cameroon and the United States. Of these countries, the United States is by far the most significant contributor to new supply, with more than 50 mtpa anticipated by the end of 2020.</w:t>
      </w:r>
    </w:p>
    <w:p>
      <w:pPr>
        <w:spacing w:after="0" w:line="76"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The U.S. projects comprise the second major wave of new LNG supply, following the continuing ramp-up in Australia. Sabine Pass, one of five U.S. projects under construction, began exporting from Trains 1 and 2 in 2016; when construction on the remaining trains is complete, Sabine Pass will have a total export capacity of 22.5 mtpa. Other U.S. projects scheduled to begin exports by the end of 2020 include Freeport (13.2 mtpa), Corpus Christi (9 mtpa), Cameron LNG (12 mtpa), Cove Point (5.3 mtpa) and Elba Island (2.5 mtpa). The majority of U.S. volumes have already been contracted with most expected to go into the Asian and European markets. This development will be positive for tonne mile demand as the U.S. Gulf Coast to Asia voyage is approximately 9,000 nautical miles through the Panama Canal, which opened to LNG shipping in 2016. The same voyage around Cape Horn is approximately 13,000 nautical miles. From the U.S. Gulf Coast to northwest Europe, the distance is approximately 5,000 nautical miles. In recent years, the average global LNG voyage was approximately 4,000 nautical miles, and therefore any voyage in excess of this distance will increase the global average distance and thus the demand for LNG carriers.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Demand</w:t>
      </w:r>
    </w:p>
    <w:p>
      <w:pPr>
        <w:spacing w:after="0" w:line="119"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In recent years, Egypt, Jordan, Pakistan, Poland, Colombia, Malta, Jamaica and Jordan all imported their first LNG cargoes. This increase in the number of importing nations has been encouraged by low gas prices and attractive economics for FSRUs. These are either custom-built vessels or LNG Carriers that have been converted to operate as FSRUs, and offer cheaper and quicker access to LNG markets. FSRUs remain a growing sector of the LNG trade and they increase not only the number of potential customers but also the range of LNG trade routes.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Chartering Activity</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The significant fall in oil prices since 2014 has led to substantial declines in the price of LNG and a lack of pricing differential between the Eastern and Western hemispheres. These factors, among others, led in turn to a significant shortening of the average duration of spot charters fixed throughout 2015 and into 2016, as well as a significant decline in average rates for new spot and shorter-term LNG charters commencing promptly. The latter half of 2016 saw this trend reversing, with charterers taking vessels for longer periods and/or at higher rates; however, the turnaround is slow. In addition, some production companies have announced delays or cancellations of certain previously announced (but early stage) LNG projects, which, unless offset by new projects coming on stream, could adversely affect demand for LNG charters over the next few years, while the amount of tonnage available for charter is expected to increase.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7" w:name="page88"/>
    <w:bookmarkEnd w:id="87"/>
    <w:p>
      <w:pPr>
        <w:ind w:right="180" w:firstLine="357"/>
        <w:spacing w:after="0" w:line="267" w:lineRule="auto"/>
        <w:rPr>
          <w:sz w:val="20"/>
          <w:szCs w:val="20"/>
          <w:color w:val="auto"/>
        </w:rPr>
      </w:pPr>
      <w:r>
        <w:rPr>
          <w:rFonts w:ascii="Arial" w:cs="Arial" w:eastAsia="Arial" w:hAnsi="Arial"/>
          <w:sz w:val="19"/>
          <w:szCs w:val="19"/>
          <w:color w:val="auto"/>
        </w:rPr>
        <w:t>Approximately 58% more fixtures of LNG vessels were concluded in 2016, compared with 2015. This significant increase in chartering activity is a positive sign for the developing LNG shipping market, and reflects among other trends the increasing activity of trading houses. Our ability to participate in any future market growth will depend on our ability to access the equity and debt markets.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Global LNG Fleet</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As of December 31, 2016, the global fleet of dedicated LNG carriers stood at 480 ships. For 2016, approximately 40 LNG carriers were scheduled for delivery, and only five orders were placed. This low level of ordering is commensurate with the poor market conditions in 2015 and 2016.</w:t>
      </w:r>
    </w:p>
    <w:p>
      <w:pPr>
        <w:spacing w:after="0" w:line="68"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We believe that the growing global demand for natural gas and the evolution of the LNG market, including less efficient trading with cargoes spending more time on the water, should support the existing order backlog for vessels and should also drive a need for more LNG carriers in the future. In addition, LNG project developers are typically large multinational oil and gas companies that have high standards for safety and reliability and a preference for modern LNG carriers with fuel-efficient ship design and propulsion, which should support our ability to obtain new charters over new or less-experienced operators. However, various factors, including changes in prices and demand for LNG can materially affect the competitive dynamics that currently exist.</w:t>
      </w:r>
    </w:p>
    <w:p>
      <w:pPr>
        <w:spacing w:after="0" w:line="76"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The statements in this “Trend Information” section are forward-looking statements based on management’s current expectations and certain material assumptions and, accordingly, involve risk and uncertainties that could cause actual results, performance and outcomes to differ materially from those expressed herein. See “Item 3. Key Information—D. Risk Factors” of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 Off-Balance Sheet Arrangements</w:t>
      </w:r>
    </w:p>
    <w:p>
      <w:pPr>
        <w:spacing w:after="0" w:line="125" w:lineRule="exact"/>
        <w:rPr>
          <w:sz w:val="20"/>
          <w:szCs w:val="20"/>
          <w:color w:val="auto"/>
        </w:rPr>
      </w:pPr>
    </w:p>
    <w:p>
      <w:pPr>
        <w:ind w:right="860" w:firstLine="357"/>
        <w:spacing w:after="0" w:line="283" w:lineRule="auto"/>
        <w:rPr>
          <w:sz w:val="20"/>
          <w:szCs w:val="20"/>
          <w:color w:val="auto"/>
        </w:rPr>
      </w:pPr>
      <w:r>
        <w:rPr>
          <w:rFonts w:ascii="Arial" w:cs="Arial" w:eastAsia="Arial" w:hAnsi="Arial"/>
          <w:sz w:val="19"/>
          <w:szCs w:val="19"/>
          <w:color w:val="auto"/>
        </w:rPr>
        <w:t>As of December 31, 2016, we do not have any transactions, obligations or relationships that should be considered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 Tabular Disclosure of Contractual Obligations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contractual obligations as of December 31, 2016 were: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9"/>
              </w:rPr>
              <w:t>Payments Due by Period</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45"/>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6"/>
                <w:szCs w:val="16"/>
                <w:b w:val="1"/>
                <w:bCs w:val="1"/>
                <w:color w:val="auto"/>
                <w:w w:val="85"/>
              </w:rPr>
              <w:t>Less than</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6"/>
                <w:szCs w:val="16"/>
                <w:b w:val="1"/>
                <w:bCs w:val="1"/>
                <w:color w:val="auto"/>
                <w:w w:val="99"/>
              </w:rPr>
              <w:t>More than</w:t>
            </w:r>
          </w:p>
        </w:tc>
      </w:tr>
      <w:tr>
        <w:trPr>
          <w:trHeight w:val="199"/>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1 year</w:t>
            </w:r>
          </w:p>
        </w:tc>
        <w:tc>
          <w:tcPr>
            <w:tcW w:w="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92"/>
              </w:rPr>
              <w:t>1-3 years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95"/>
              </w:rPr>
              <w:t>3-5 years</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5 years</w:t>
            </w: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8"/>
          </w:tcPr>
          <w:p>
            <w:pPr>
              <w:jc w:val="center"/>
              <w:ind w:right="305"/>
              <w:spacing w:after="0"/>
              <w:rPr>
                <w:sz w:val="20"/>
                <w:szCs w:val="20"/>
                <w:color w:val="auto"/>
              </w:rPr>
            </w:pPr>
            <w:r>
              <w:rPr>
                <w:rFonts w:ascii="Arial" w:cs="Arial" w:eastAsia="Arial" w:hAnsi="Arial"/>
                <w:sz w:val="16"/>
                <w:szCs w:val="16"/>
                <w:b w:val="1"/>
                <w:bCs w:val="1"/>
                <w:color w:val="auto"/>
                <w:w w:val="87"/>
              </w:rPr>
              <w:t>(Expressed in thousands of U.S. dollars)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color w:val="auto"/>
              </w:rPr>
              <w:t>Borrowing obligations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2,700,002</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156,645</w:t>
            </w:r>
          </w:p>
        </w:tc>
        <w:tc>
          <w:tcPr>
            <w:tcW w:w="52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881,843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1,254,998</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$ 406,516</w:t>
            </w:r>
          </w:p>
        </w:tc>
      </w:tr>
      <w:tr>
        <w:trPr>
          <w:trHeight w:val="243"/>
        </w:trPr>
        <w:tc>
          <w:tcPr>
            <w:tcW w:w="5220" w:type="dxa"/>
            <w:vAlign w:val="bottom"/>
            <w:gridSpan w:val="2"/>
          </w:tcPr>
          <w:p>
            <w:pPr>
              <w:spacing w:after="0"/>
              <w:rPr>
                <w:sz w:val="20"/>
                <w:szCs w:val="20"/>
                <w:color w:val="auto"/>
              </w:rPr>
            </w:pPr>
            <w:r>
              <w:rPr>
                <w:rFonts w:ascii="Arial" w:cs="Arial" w:eastAsia="Arial" w:hAnsi="Arial"/>
                <w:sz w:val="19"/>
                <w:szCs w:val="19"/>
                <w:color w:val="auto"/>
              </w:rPr>
              <w:t>Interest on borrowing obligations and swaps</w:t>
            </w:r>
            <w:r>
              <w:rPr>
                <w:rFonts w:ascii="Arial" w:cs="Arial" w:eastAsia="Arial" w:hAnsi="Arial"/>
                <w:sz w:val="10"/>
                <w:szCs w:val="10"/>
                <w:color w:val="auto"/>
              </w:rPr>
              <w:t>(1)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416,664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77,091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175,816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114,098</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49,659</w:t>
            </w: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color w:val="auto"/>
              </w:rPr>
              <w:t>Loan arrangement fees and commitments</w:t>
            </w:r>
          </w:p>
        </w:tc>
        <w:tc>
          <w:tcPr>
            <w:tcW w:w="20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7,376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3,821</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808</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9"/>
                <w:szCs w:val="19"/>
                <w:color w:val="auto"/>
              </w:rPr>
              <w:t>Finance lease payments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342,532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17,849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35,697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35,746</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253,240</w:t>
            </w: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color w:val="auto"/>
              </w:rPr>
              <w:t>Shipbuilding contracts</w:t>
            </w:r>
          </w:p>
        </w:tc>
        <w:tc>
          <w:tcPr>
            <w:tcW w:w="20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946,932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63,656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883,276</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9"/>
                <w:szCs w:val="19"/>
                <w:color w:val="auto"/>
              </w:rPr>
              <w:t>Operating lease obligations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4,255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1,586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1,632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670</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367</w:t>
            </w: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color w:val="auto"/>
              </w:rPr>
              <w:t>Purchase of depot spares</w:t>
            </w:r>
            <w:r>
              <w:rPr>
                <w:rFonts w:ascii="Arial" w:cs="Arial" w:eastAsia="Arial" w:hAnsi="Arial"/>
                <w:sz w:val="10"/>
                <w:szCs w:val="10"/>
                <w:color w:val="auto"/>
              </w:rPr>
              <w:t>(2)</w:t>
            </w:r>
          </w:p>
        </w:tc>
        <w:tc>
          <w:tcPr>
            <w:tcW w:w="20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7,340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2,000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3,340</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2,000</w:t>
            </w:r>
          </w:p>
        </w:tc>
      </w:tr>
      <w:tr>
        <w:trPr>
          <w:trHeight w:val="250"/>
        </w:trPr>
        <w:tc>
          <w:tcPr>
            <w:tcW w:w="5220" w:type="dxa"/>
            <w:vAlign w:val="bottom"/>
            <w:gridSpan w:val="2"/>
          </w:tcPr>
          <w:p>
            <w:pPr>
              <w:spacing w:after="0"/>
              <w:rPr>
                <w:sz w:val="20"/>
                <w:szCs w:val="20"/>
                <w:color w:val="auto"/>
              </w:rPr>
            </w:pPr>
            <w:r>
              <w:rPr>
                <w:rFonts w:ascii="Arial" w:cs="Arial" w:eastAsia="Arial" w:hAnsi="Arial"/>
                <w:sz w:val="19"/>
                <w:szCs w:val="19"/>
                <w:color w:val="auto"/>
              </w:rPr>
              <w:t>Reimbursement expenses</w:t>
            </w:r>
            <w:r>
              <w:rPr>
                <w:rFonts w:ascii="Arial" w:cs="Arial" w:eastAsia="Arial" w:hAnsi="Arial"/>
                <w:sz w:val="10"/>
                <w:szCs w:val="10"/>
                <w:color w:val="auto"/>
              </w:rPr>
              <w:t>(3)</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1,712</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1,712</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9"/>
              </w:rPr>
              <w:t>4,426,813</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b w:val="1"/>
                <w:bCs w:val="1"/>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320,648</w:t>
            </w:r>
          </w:p>
        </w:tc>
        <w:tc>
          <w:tcPr>
            <w:tcW w:w="52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b w:val="1"/>
                <w:bCs w:val="1"/>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9"/>
              </w:rPr>
              <w:t>1,983,011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75"/>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9"/>
              </w:rPr>
              <w:t>1,411,372</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$ 711,782</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80" w:right="80" w:hanging="200"/>
        <w:spacing w:after="0" w:line="251" w:lineRule="auto"/>
        <w:tabs>
          <w:tab w:leader="none" w:pos="280" w:val="left"/>
        </w:tabs>
        <w:numPr>
          <w:ilvl w:val="0"/>
          <w:numId w:val="53"/>
        </w:numPr>
        <w:rPr>
          <w:rFonts w:ascii="Arial" w:cs="Arial" w:eastAsia="Arial" w:hAnsi="Arial"/>
          <w:sz w:val="9"/>
          <w:szCs w:val="9"/>
          <w:color w:val="auto"/>
        </w:rPr>
      </w:pPr>
      <w:r>
        <w:rPr>
          <w:rFonts w:ascii="Arial" w:cs="Arial" w:eastAsia="Arial" w:hAnsi="Arial"/>
          <w:sz w:val="16"/>
          <w:szCs w:val="16"/>
          <w:color w:val="auto"/>
        </w:rPr>
        <w:t>Our interest commitment on long-term debt is calculated based on an assumed average applicable interest rate ranging from 2.33% to 5.36%, which takes into account average LIBOR of 1.02%, and the applicable margin spreads in our various debt agreements.</w:t>
      </w:r>
    </w:p>
    <w:p>
      <w:pPr>
        <w:spacing w:after="0" w:line="60" w:lineRule="exact"/>
        <w:rPr>
          <w:rFonts w:ascii="Arial" w:cs="Arial" w:eastAsia="Arial" w:hAnsi="Arial"/>
          <w:sz w:val="9"/>
          <w:szCs w:val="9"/>
          <w:color w:val="auto"/>
        </w:rPr>
      </w:pPr>
    </w:p>
    <w:p>
      <w:pPr>
        <w:jc w:val="both"/>
        <w:ind w:left="280" w:right="40" w:hanging="200"/>
        <w:spacing w:after="0"/>
        <w:tabs>
          <w:tab w:leader="none" w:pos="280" w:val="left"/>
        </w:tabs>
        <w:numPr>
          <w:ilvl w:val="0"/>
          <w:numId w:val="53"/>
        </w:numPr>
        <w:rPr>
          <w:rFonts w:ascii="Arial" w:cs="Arial" w:eastAsia="Arial" w:hAnsi="Arial"/>
          <w:sz w:val="9"/>
          <w:szCs w:val="9"/>
          <w:color w:val="auto"/>
        </w:rPr>
      </w:pPr>
      <w:r>
        <w:rPr>
          <w:rFonts w:ascii="Arial" w:cs="Arial" w:eastAsia="Arial" w:hAnsi="Arial"/>
          <w:sz w:val="16"/>
          <w:szCs w:val="16"/>
          <w:color w:val="auto"/>
        </w:rPr>
        <w:t>Following the acquisition of the eight vessels from MSL, GasLog through its subsidiaries is guarantor for the acquisition from MSL of depot spares with an aggregate value of $8.0 million of which depot spares with value $0.66 million have been acquired as of December 31, 2016. The remaining spares should be acquired before the end of the initial term of the charter party agreements.</w:t>
      </w:r>
    </w:p>
    <w:p>
      <w:pPr>
        <w:spacing w:after="0" w:line="69" w:lineRule="exact"/>
        <w:rPr>
          <w:rFonts w:ascii="Arial" w:cs="Arial" w:eastAsia="Arial" w:hAnsi="Arial"/>
          <w:sz w:val="9"/>
          <w:szCs w:val="9"/>
          <w:color w:val="auto"/>
        </w:rPr>
      </w:pPr>
    </w:p>
    <w:p>
      <w:pPr>
        <w:ind w:left="280" w:right="260" w:hanging="200"/>
        <w:spacing w:after="0" w:line="237" w:lineRule="auto"/>
        <w:tabs>
          <w:tab w:leader="none" w:pos="280" w:val="left"/>
        </w:tabs>
        <w:numPr>
          <w:ilvl w:val="0"/>
          <w:numId w:val="53"/>
        </w:numPr>
        <w:rPr>
          <w:rFonts w:ascii="Arial" w:cs="Arial" w:eastAsia="Arial" w:hAnsi="Arial"/>
          <w:sz w:val="9"/>
          <w:szCs w:val="9"/>
          <w:color w:val="auto"/>
        </w:rPr>
      </w:pPr>
      <w:r>
        <w:rPr>
          <w:rFonts w:ascii="Arial" w:cs="Arial" w:eastAsia="Arial" w:hAnsi="Arial"/>
          <w:sz w:val="16"/>
          <w:szCs w:val="16"/>
          <w:color w:val="auto"/>
        </w:rPr>
        <w:t>Following execution of a letter agreement between GasLog and MSL, GasLog will reimburse MSL the sum of $2.65 million for value as of November 1, 2015, adjusted for future value through January 2020 up to $3.80 million, allowing for the future use of the reimbursement amount against the funding of specific MSL projects, such as costs associated with change orders on LNG newbuildings and/or modifications of existing vessels as agreed between the parties. As of December 31, 2016, the outstanding commitment, after deducting costs already reimbursed by GasLog, was $1.31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8" w:name="page89"/>
    <w:bookmarkEnd w:id="88"/>
    <w:p>
      <w:pPr>
        <w:ind w:right="5420"/>
        <w:spacing w:after="0" w:line="411" w:lineRule="auto"/>
        <w:rPr>
          <w:sz w:val="20"/>
          <w:szCs w:val="20"/>
          <w:color w:val="auto"/>
        </w:rPr>
      </w:pPr>
      <w:r>
        <w:rPr>
          <w:rFonts w:ascii="Arial" w:cs="Arial" w:eastAsia="Arial" w:hAnsi="Arial"/>
          <w:sz w:val="19"/>
          <w:szCs w:val="19"/>
          <w:b w:val="1"/>
          <w:bCs w:val="1"/>
          <w:color w:val="auto"/>
        </w:rPr>
        <w:t>ITEM 6. DIRECTORS, SENIOR MANAGEMENT AND EMPLOYEES A. Directors and Senior Management</w:t>
      </w:r>
    </w:p>
    <w:p>
      <w:pPr>
        <w:ind w:right="80" w:firstLine="357"/>
        <w:spacing w:after="0" w:line="255" w:lineRule="auto"/>
        <w:rPr>
          <w:sz w:val="20"/>
          <w:szCs w:val="20"/>
          <w:color w:val="auto"/>
        </w:rPr>
      </w:pPr>
      <w:r>
        <w:rPr>
          <w:rFonts w:ascii="Arial" w:cs="Arial" w:eastAsia="Arial" w:hAnsi="Arial"/>
          <w:sz w:val="19"/>
          <w:szCs w:val="19"/>
          <w:color w:val="auto"/>
        </w:rPr>
        <w:t>The following table sets forth information regarding our directors and executive officers. The business address of each of our executive officers and directors listed below is Gildo Pastor Center, 7 Rue du Gabian, MC 98000, Monaco. Our telephone number at that address is +377 97 97 51 15. Members of our board of directors are elected annually, and each director elected holds office for a one-year term. The following directors have been determined by our board of directors to be independent: David P. Conner, William M. Friedrich, Dennis M. Houston, Donald J. Kintzer, Anthony S. Papadimitriou and Philip Radziwill. Officers are elected from time to time by vote of our board of directors and hold office until a successor is elected.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Age</w:t>
            </w:r>
          </w:p>
        </w:tc>
        <w:tc>
          <w:tcPr>
            <w:tcW w:w="300" w:type="dxa"/>
            <w:vAlign w:val="bottom"/>
          </w:tcPr>
          <w:p>
            <w:pPr>
              <w:spacing w:after="0"/>
              <w:rPr>
                <w:sz w:val="17"/>
                <w:szCs w:val="17"/>
                <w:color w:val="auto"/>
              </w:rPr>
            </w:pPr>
          </w:p>
        </w:tc>
        <w:tc>
          <w:tcPr>
            <w:tcW w:w="6000" w:type="dxa"/>
            <w:vAlign w:val="bottom"/>
            <w:tcBorders>
              <w:bottom w:val="single" w:sz="8" w:color="auto"/>
            </w:tcBorders>
          </w:tcPr>
          <w:p>
            <w:pPr>
              <w:ind w:left="2720"/>
              <w:spacing w:after="0"/>
              <w:rPr>
                <w:sz w:val="20"/>
                <w:szCs w:val="20"/>
                <w:color w:val="auto"/>
              </w:rPr>
            </w:pPr>
            <w:r>
              <w:rPr>
                <w:rFonts w:ascii="Arial" w:cs="Arial" w:eastAsia="Arial" w:hAnsi="Arial"/>
                <w:sz w:val="16"/>
                <w:szCs w:val="16"/>
                <w:b w:val="1"/>
                <w:bCs w:val="1"/>
                <w:color w:val="auto"/>
              </w:rPr>
              <w:t>Position</w:t>
            </w:r>
          </w:p>
        </w:tc>
      </w:tr>
      <w:tr>
        <w:trPr>
          <w:trHeight w:val="237"/>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Peter G. Livanos</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Chairman and Director</w:t>
            </w:r>
          </w:p>
        </w:tc>
      </w:tr>
      <w:tr>
        <w:trPr>
          <w:trHeight w:val="243"/>
        </w:trPr>
        <w:tc>
          <w:tcPr>
            <w:tcW w:w="4460" w:type="dxa"/>
            <w:vAlign w:val="bottom"/>
          </w:tcPr>
          <w:p>
            <w:pPr>
              <w:spacing w:after="0"/>
              <w:rPr>
                <w:sz w:val="20"/>
                <w:szCs w:val="20"/>
                <w:color w:val="auto"/>
              </w:rPr>
            </w:pPr>
            <w:r>
              <w:rPr>
                <w:rFonts w:ascii="Arial" w:cs="Arial" w:eastAsia="Arial" w:hAnsi="Arial"/>
                <w:sz w:val="19"/>
                <w:szCs w:val="19"/>
                <w:color w:val="auto"/>
              </w:rPr>
              <w:t>Paul A. Wogan</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54</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Chief Executive Officer and Director</w:t>
            </w:r>
          </w:p>
        </w:tc>
      </w:tr>
      <w:tr>
        <w:trPr>
          <w:trHeight w:val="243"/>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Bruce L. Blythe</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72</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tcPr>
          <w:p>
            <w:pPr>
              <w:spacing w:after="0"/>
              <w:rPr>
                <w:sz w:val="20"/>
                <w:szCs w:val="20"/>
                <w:color w:val="auto"/>
              </w:rPr>
            </w:pPr>
            <w:r>
              <w:rPr>
                <w:rFonts w:ascii="Arial" w:cs="Arial" w:eastAsia="Arial" w:hAnsi="Arial"/>
                <w:sz w:val="19"/>
                <w:szCs w:val="19"/>
                <w:color w:val="auto"/>
              </w:rPr>
              <w:t>David P. Conner</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68</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William M. Friedrich</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68</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tcPr>
          <w:p>
            <w:pPr>
              <w:spacing w:after="0"/>
              <w:rPr>
                <w:sz w:val="20"/>
                <w:szCs w:val="20"/>
                <w:color w:val="auto"/>
              </w:rPr>
            </w:pPr>
            <w:r>
              <w:rPr>
                <w:rFonts w:ascii="Arial" w:cs="Arial" w:eastAsia="Arial" w:hAnsi="Arial"/>
                <w:sz w:val="19"/>
                <w:szCs w:val="19"/>
                <w:color w:val="auto"/>
              </w:rPr>
              <w:t>Dennis M. Houston</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65</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Vice Chairman and Director</w:t>
            </w:r>
          </w:p>
        </w:tc>
      </w:tr>
      <w:tr>
        <w:trPr>
          <w:trHeight w:val="243"/>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Donald J. Kintzer</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69</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tcPr>
          <w:p>
            <w:pPr>
              <w:spacing w:after="0"/>
              <w:rPr>
                <w:sz w:val="20"/>
                <w:szCs w:val="20"/>
                <w:color w:val="auto"/>
              </w:rPr>
            </w:pPr>
            <w:r>
              <w:rPr>
                <w:rFonts w:ascii="Arial" w:cs="Arial" w:eastAsia="Arial" w:hAnsi="Arial"/>
                <w:sz w:val="19"/>
                <w:szCs w:val="19"/>
                <w:color w:val="auto"/>
              </w:rPr>
              <w:t>Julian R. Metherell</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Anthony S. Papadimitriou</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tcPr>
          <w:p>
            <w:pPr>
              <w:spacing w:after="0"/>
              <w:rPr>
                <w:sz w:val="20"/>
                <w:szCs w:val="20"/>
                <w:color w:val="auto"/>
              </w:rPr>
            </w:pPr>
            <w:r>
              <w:rPr>
                <w:rFonts w:ascii="Arial" w:cs="Arial" w:eastAsia="Arial" w:hAnsi="Arial"/>
                <w:sz w:val="19"/>
                <w:szCs w:val="19"/>
                <w:color w:val="auto"/>
              </w:rPr>
              <w:t>Philip Radziwill</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36</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Director</w:t>
            </w:r>
          </w:p>
        </w:tc>
      </w:tr>
      <w:tr>
        <w:trPr>
          <w:trHeight w:val="243"/>
        </w:trPr>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Simon P. Crowe</w:t>
            </w:r>
            <w:r>
              <w:rPr>
                <w:rFonts w:ascii="Arial" w:cs="Arial" w:eastAsia="Arial" w:hAnsi="Arial"/>
                <w:sz w:val="10"/>
                <w:szCs w:val="10"/>
                <w:color w:val="auto"/>
              </w:rPr>
              <w:t>(1)</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630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Chief Financial Officer</w:t>
            </w:r>
          </w:p>
        </w:tc>
      </w:tr>
      <w:tr>
        <w:trPr>
          <w:trHeight w:val="247"/>
        </w:trPr>
        <w:tc>
          <w:tcPr>
            <w:tcW w:w="4460" w:type="dxa"/>
            <w:vAlign w:val="bottom"/>
          </w:tcPr>
          <w:p>
            <w:pPr>
              <w:spacing w:after="0"/>
              <w:rPr>
                <w:sz w:val="20"/>
                <w:szCs w:val="20"/>
                <w:color w:val="auto"/>
              </w:rPr>
            </w:pPr>
            <w:r>
              <w:rPr>
                <w:rFonts w:ascii="Arial" w:cs="Arial" w:eastAsia="Arial" w:hAnsi="Arial"/>
                <w:sz w:val="19"/>
                <w:szCs w:val="19"/>
                <w:color w:val="auto"/>
              </w:rPr>
              <w:t>Graham Westgarth</w:t>
            </w:r>
            <w:r>
              <w:rPr>
                <w:rFonts w:ascii="Arial" w:cs="Arial" w:eastAsia="Arial" w:hAnsi="Arial"/>
                <w:sz w:val="10"/>
                <w:szCs w:val="10"/>
                <w:color w:val="auto"/>
              </w:rPr>
              <w:t>(2)</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62</w:t>
            </w:r>
          </w:p>
        </w:tc>
        <w:tc>
          <w:tcPr>
            <w:tcW w:w="6300" w:type="dxa"/>
            <w:vAlign w:val="bottom"/>
            <w:gridSpan w:val="2"/>
          </w:tcPr>
          <w:p>
            <w:pPr>
              <w:ind w:left="300"/>
              <w:spacing w:after="0"/>
              <w:rPr>
                <w:sz w:val="20"/>
                <w:szCs w:val="20"/>
                <w:color w:val="auto"/>
              </w:rPr>
            </w:pPr>
            <w:r>
              <w:rPr>
                <w:rFonts w:ascii="Arial" w:cs="Arial" w:eastAsia="Arial" w:hAnsi="Arial"/>
                <w:sz w:val="19"/>
                <w:szCs w:val="19"/>
                <w:color w:val="auto"/>
              </w:rPr>
              <w:t>Chief Operating Officer</w:t>
            </w:r>
          </w:p>
        </w:tc>
      </w:tr>
    </w:tbl>
    <w:p>
      <w:pPr>
        <w:spacing w:after="0" w:line="300" w:lineRule="exact"/>
        <w:rPr>
          <w:sz w:val="20"/>
          <w:szCs w:val="20"/>
          <w:color w:val="auto"/>
        </w:rPr>
      </w:pPr>
    </w:p>
    <w:p>
      <w:pPr>
        <w:ind w:left="280" w:right="40" w:hanging="200"/>
        <w:spacing w:after="0" w:line="251" w:lineRule="auto"/>
        <w:tabs>
          <w:tab w:leader="none" w:pos="280" w:val="left"/>
        </w:tabs>
        <w:numPr>
          <w:ilvl w:val="0"/>
          <w:numId w:val="54"/>
        </w:numPr>
        <w:rPr>
          <w:rFonts w:ascii="Arial" w:cs="Arial" w:eastAsia="Arial" w:hAnsi="Arial"/>
          <w:sz w:val="9"/>
          <w:szCs w:val="9"/>
          <w:color w:val="auto"/>
        </w:rPr>
      </w:pPr>
      <w:r>
        <w:rPr>
          <w:rFonts w:ascii="Arial" w:cs="Arial" w:eastAsia="Arial" w:hAnsi="Arial"/>
          <w:sz w:val="16"/>
          <w:szCs w:val="16"/>
          <w:color w:val="auto"/>
        </w:rPr>
        <w:t>The Company announced on January 17, 2017 that Mr. Crowe will step down as Chief Financial Officer. Mr. Crowe is currently transitioning with Mr. Alastair Maxwell which is expected to complete in March 2017.</w:t>
      </w:r>
    </w:p>
    <w:p>
      <w:pPr>
        <w:spacing w:after="0" w:line="60" w:lineRule="exact"/>
        <w:rPr>
          <w:rFonts w:ascii="Arial" w:cs="Arial" w:eastAsia="Arial" w:hAnsi="Arial"/>
          <w:sz w:val="9"/>
          <w:szCs w:val="9"/>
          <w:color w:val="auto"/>
        </w:rPr>
      </w:pPr>
    </w:p>
    <w:p>
      <w:pPr>
        <w:ind w:left="280" w:hanging="200"/>
        <w:spacing w:after="0"/>
        <w:tabs>
          <w:tab w:leader="none" w:pos="280" w:val="left"/>
        </w:tabs>
        <w:numPr>
          <w:ilvl w:val="0"/>
          <w:numId w:val="54"/>
        </w:numPr>
        <w:rPr>
          <w:rFonts w:ascii="Arial" w:cs="Arial" w:eastAsia="Arial" w:hAnsi="Arial"/>
          <w:sz w:val="9"/>
          <w:szCs w:val="9"/>
          <w:color w:val="auto"/>
        </w:rPr>
      </w:pPr>
      <w:r>
        <w:rPr>
          <w:rFonts w:ascii="Arial" w:cs="Arial" w:eastAsia="Arial" w:hAnsi="Arial"/>
          <w:sz w:val="16"/>
          <w:szCs w:val="16"/>
          <w:color w:val="auto"/>
        </w:rPr>
        <w:t>The Company announced on August 4, 2016 that Mr. Westgarth intends to step down as Chief Operating Officer in May 2017.</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On February 1, 2017, we announced that Mr. Alastair Maxwell will serve as Chief Financial Officer beginning in March 2017.</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Certain biographical information about each of these individuals is set forth below.</w:t>
      </w:r>
    </w:p>
    <w:p>
      <w:pPr>
        <w:spacing w:after="0" w:line="113"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b w:val="1"/>
          <w:bCs w:val="1"/>
          <w:color w:val="auto"/>
        </w:rPr>
        <w:t xml:space="preserve">Peter G. Livanos </w:t>
      </w:r>
      <w:r>
        <w:rPr>
          <w:rFonts w:ascii="Arial" w:cs="Arial" w:eastAsia="Arial" w:hAnsi="Arial"/>
          <w:sz w:val="19"/>
          <w:szCs w:val="19"/>
          <w:color w:val="auto"/>
        </w:rPr>
        <w:t>is our Chairman and a member of our board of directors. Mr. Livanos founded our subsidiary GasLog LNG Services in</w:t>
      </w:r>
      <w:r>
        <w:rPr>
          <w:rFonts w:ascii="Arial" w:cs="Arial" w:eastAsia="Arial" w:hAnsi="Arial"/>
          <w:sz w:val="19"/>
          <w:szCs w:val="19"/>
          <w:b w:val="1"/>
          <w:bCs w:val="1"/>
          <w:color w:val="auto"/>
        </w:rPr>
        <w:t xml:space="preserve"> </w:t>
      </w:r>
      <w:r>
        <w:rPr>
          <w:rFonts w:ascii="Arial" w:cs="Arial" w:eastAsia="Arial" w:hAnsi="Arial"/>
          <w:sz w:val="19"/>
          <w:szCs w:val="19"/>
          <w:color w:val="auto"/>
        </w:rPr>
        <w:t>2001 and has been a director of our subsidiary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and from July 2014 to December 2015 he served as Chairman. Mr. Livanos is a graduate of Columbia University. He is the first cousin of Philip Radziwill, a member of our board of directors.</w:t>
      </w:r>
    </w:p>
    <w:p>
      <w:pPr>
        <w:spacing w:after="0" w:line="73" w:lineRule="exact"/>
        <w:rPr>
          <w:sz w:val="20"/>
          <w:szCs w:val="20"/>
          <w:color w:val="auto"/>
        </w:rPr>
      </w:pPr>
    </w:p>
    <w:p>
      <w:pPr>
        <w:ind w:right="40" w:firstLine="357"/>
        <w:spacing w:after="0" w:line="279" w:lineRule="auto"/>
        <w:rPr>
          <w:sz w:val="20"/>
          <w:szCs w:val="20"/>
          <w:color w:val="auto"/>
        </w:rPr>
      </w:pPr>
      <w:r>
        <w:rPr>
          <w:rFonts w:ascii="Arial" w:cs="Arial" w:eastAsia="Arial" w:hAnsi="Arial"/>
          <w:sz w:val="18"/>
          <w:szCs w:val="18"/>
          <w:b w:val="1"/>
          <w:bCs w:val="1"/>
          <w:color w:val="auto"/>
        </w:rPr>
        <w:t xml:space="preserve">Paul A. Wogan </w:t>
      </w:r>
      <w:r>
        <w:rPr>
          <w:rFonts w:ascii="Arial" w:cs="Arial" w:eastAsia="Arial" w:hAnsi="Arial"/>
          <w:sz w:val="18"/>
          <w:szCs w:val="18"/>
          <w:color w:val="auto"/>
        </w:rPr>
        <w:t>has served as our CEO since January 2013 and has been a member of our board of directors since our annual general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in May 2015.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89" w:name="page90"/>
    <w:bookmarkEnd w:id="89"/>
    <w:p>
      <w:pPr>
        <w:ind w:right="20"/>
        <w:spacing w:after="0" w:line="267" w:lineRule="auto"/>
        <w:rPr>
          <w:sz w:val="20"/>
          <w:szCs w:val="20"/>
          <w:color w:val="auto"/>
        </w:rPr>
      </w:pPr>
      <w:r>
        <w:rPr>
          <w:rFonts w:ascii="Arial" w:cs="Arial" w:eastAsia="Arial" w:hAnsi="Arial"/>
          <w:sz w:val="19"/>
          <w:szCs w:val="19"/>
          <w:color w:val="auto"/>
        </w:rPr>
        <w:t>Association (Bermuda)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6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b w:val="1"/>
          <w:bCs w:val="1"/>
          <w:color w:val="auto"/>
        </w:rPr>
        <w:t xml:space="preserve">Bruce L. Blythe </w:t>
      </w:r>
      <w:r>
        <w:rPr>
          <w:rFonts w:ascii="Arial" w:cs="Arial" w:eastAsia="Arial" w:hAnsi="Arial"/>
          <w:sz w:val="19"/>
          <w:szCs w:val="19"/>
          <w:color w:val="auto"/>
        </w:rPr>
        <w:t>has been a member of our board of directors since October 2011. Mr. Blythe has been involved in the shipping industry for</w:t>
      </w:r>
      <w:r>
        <w:rPr>
          <w:rFonts w:ascii="Arial" w:cs="Arial" w:eastAsia="Arial" w:hAnsi="Arial"/>
          <w:sz w:val="19"/>
          <w:szCs w:val="19"/>
          <w:b w:val="1"/>
          <w:bCs w:val="1"/>
          <w:color w:val="auto"/>
        </w:rPr>
        <w:t xml:space="preserve"> </w:t>
      </w:r>
      <w:r>
        <w:rPr>
          <w:rFonts w:ascii="Arial" w:cs="Arial" w:eastAsia="Arial" w:hAnsi="Arial"/>
          <w:sz w:val="19"/>
          <w:szCs w:val="19"/>
          <w:color w:val="auto"/>
        </w:rPr>
        <w:t>over 20 years, having served as an advisor to the Livanos family since 1994. For 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as well as Drylog Ltd. Mr. Blythe holds an M.B.A. in finance and transportation and a B.A. in business administration from Pennsylvania State University.</w:t>
      </w:r>
    </w:p>
    <w:p>
      <w:pPr>
        <w:spacing w:after="0" w:line="71" w:lineRule="exact"/>
        <w:rPr>
          <w:sz w:val="20"/>
          <w:szCs w:val="20"/>
          <w:color w:val="auto"/>
        </w:rPr>
      </w:pPr>
    </w:p>
    <w:p>
      <w:pPr>
        <w:ind w:right="40" w:firstLine="357"/>
        <w:spacing w:after="0" w:line="293" w:lineRule="auto"/>
        <w:rPr>
          <w:sz w:val="20"/>
          <w:szCs w:val="20"/>
          <w:color w:val="auto"/>
        </w:rPr>
      </w:pPr>
      <w:r>
        <w:rPr>
          <w:rFonts w:ascii="Arial" w:cs="Arial" w:eastAsia="Arial" w:hAnsi="Arial"/>
          <w:sz w:val="17"/>
          <w:szCs w:val="17"/>
          <w:b w:val="1"/>
          <w:bCs w:val="1"/>
          <w:color w:val="auto"/>
        </w:rPr>
        <w:t xml:space="preserve">David P. Conner </w:t>
      </w:r>
      <w:r>
        <w:rPr>
          <w:rFonts w:ascii="Arial" w:cs="Arial" w:eastAsia="Arial" w:hAnsi="Arial"/>
          <w:sz w:val="17"/>
          <w:szCs w:val="17"/>
          <w:color w:val="auto"/>
        </w:rPr>
        <w:t>has been a member of our board of directors since the 2016 AGM. Mr. Conner has a long history in the banking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most recently as chief executive officer of OCBC Bank Ltd. in Singapore from 2002 to 2012. Prior to OCBC, Mr. Conner worked for Citibank for 26 years. Until recently, Mr. Conner served as a director on the board of OCBC Bank Ltd., where he also sat on the executive committee and risk management committee. In 2015, Mr. Conner was appointed a member of the Washington University Medical Finance Committee and he became chair of the committee in July 2016. On January 1, 2016 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45" w:lineRule="exact"/>
        <w:rPr>
          <w:sz w:val="20"/>
          <w:szCs w:val="20"/>
          <w:color w:val="auto"/>
        </w:rPr>
      </w:pPr>
    </w:p>
    <w:p>
      <w:pPr>
        <w:ind w:right="280" w:firstLine="357"/>
        <w:spacing w:after="0" w:line="276" w:lineRule="auto"/>
        <w:rPr>
          <w:sz w:val="20"/>
          <w:szCs w:val="20"/>
          <w:color w:val="auto"/>
        </w:rPr>
      </w:pPr>
      <w:r>
        <w:rPr>
          <w:rFonts w:ascii="Arial" w:cs="Arial" w:eastAsia="Arial" w:hAnsi="Arial"/>
          <w:sz w:val="18"/>
          <w:szCs w:val="18"/>
          <w:b w:val="1"/>
          <w:bCs w:val="1"/>
          <w:color w:val="auto"/>
        </w:rPr>
        <w:t xml:space="preserve">William M. Friedrich </w:t>
      </w:r>
      <w:r>
        <w:rPr>
          <w:rFonts w:ascii="Arial" w:cs="Arial" w:eastAsia="Arial" w:hAnsi="Arial"/>
          <w:sz w:val="18"/>
          <w:szCs w:val="18"/>
          <w:color w:val="auto"/>
        </w:rPr>
        <w:t>has been a member of our board of directors since October 2011. From 1995 until his retirement in 2008, Mr.</w:t>
      </w:r>
      <w:r>
        <w:rPr>
          <w:rFonts w:ascii="Arial" w:cs="Arial" w:eastAsia="Arial" w:hAnsi="Arial"/>
          <w:sz w:val="18"/>
          <w:szCs w:val="18"/>
          <w:b w:val="1"/>
          <w:bCs w:val="1"/>
          <w:color w:val="auto"/>
        </w:rPr>
        <w:t xml:space="preserve"> </w:t>
      </w:r>
      <w:r>
        <w:rPr>
          <w:rFonts w:ascii="Arial" w:cs="Arial" w:eastAsia="Arial" w:hAnsi="Arial"/>
          <w:sz w:val="18"/>
          <w:szCs w:val="18"/>
          <w:color w:val="auto"/>
        </w:rPr>
        <w:t>Friedrich was employed at BG Group. Mr. Friedrich held several senior executive 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57"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b w:val="1"/>
          <w:bCs w:val="1"/>
          <w:color w:val="auto"/>
        </w:rPr>
        <w:t xml:space="preserve">Dennis M. Houston </w:t>
      </w:r>
      <w:r>
        <w:rPr>
          <w:rFonts w:ascii="Arial" w:cs="Arial" w:eastAsia="Arial" w:hAnsi="Arial"/>
          <w:sz w:val="19"/>
          <w:szCs w:val="19"/>
          <w:color w:val="auto"/>
        </w:rPr>
        <w:t>has been a member of our board of directors since June 2013 and has served as our Vice-Chairman and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director since May 2016. At the time he joined our board, Mr. Houston had 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PBF Energy Inc., Argus Media Limited L.L.C. and ABS Group and is an active member of several other energy related organizations. Mr. Houston also sits on the board of the Onassis Foundation. He holds a B.S. in Chemical Engineering from the University of Illinois and an Honorary Doctorate of Public Administration Degree from Massachusetts Maritime Academy.</w:t>
      </w:r>
    </w:p>
    <w:p>
      <w:pPr>
        <w:spacing w:after="0" w:line="73"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b w:val="1"/>
          <w:bCs w:val="1"/>
          <w:color w:val="auto"/>
        </w:rPr>
        <w:t xml:space="preserve">Donald J. Kintzer </w:t>
      </w:r>
      <w:r>
        <w:rPr>
          <w:rFonts w:ascii="Arial" w:cs="Arial" w:eastAsia="Arial" w:hAnsi="Arial"/>
          <w:sz w:val="18"/>
          <w:szCs w:val="18"/>
          <w:color w:val="auto"/>
        </w:rPr>
        <w:t>has been a member of our board of directors since November 2014. He is a retired partner of PricewaterhouseCoopers</w:t>
      </w:r>
      <w:r>
        <w:rPr>
          <w:rFonts w:ascii="Arial" w:cs="Arial" w:eastAsia="Arial" w:hAnsi="Arial"/>
          <w:sz w:val="18"/>
          <w:szCs w:val="18"/>
          <w:b w:val="1"/>
          <w:bCs w:val="1"/>
          <w:color w:val="auto"/>
        </w:rPr>
        <w:t xml:space="preserve"> </w:t>
      </w:r>
      <w:r>
        <w:rPr>
          <w:rFonts w:ascii="Arial" w:cs="Arial" w:eastAsia="Arial" w:hAnsi="Arial"/>
          <w:sz w:val="18"/>
          <w:szCs w:val="18"/>
          <w:color w:val="auto"/>
        </w:rPr>
        <w:t>LLP, or “PwC”, having retired in 2008 after an association of over 31 years. He was admitted to the partnership in 1988 and served in various roles and locations during his career. From 2005 to 2008, he was the leader (managing partner) of PwC’s West Region (U.S.) Advisory practice and a member of PwC’s national (U.S.) leadership team. Mr. Kintzer is a member of the board of directors of California Bank of Commerce and a member of the board of governors of Lawrence Livermore National Security, LLC and Los Alamos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is a certified public accountant (inactive) and a member of the American Institute of Certified Public Accountants and the California Society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CPAs. Mr. Kintzer received an A.B. from Lafayette College and an M.B.A. from Pennsylvania State University. Prior to graduate school,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Mr. Kintzer served as an officer in the United States Air Force. Mr. Kintzer was appointed chairman of our Audit &amp; Risk Committee in March</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2015.</w:t>
      </w:r>
    </w:p>
    <w:p>
      <w:pPr>
        <w:spacing w:after="0" w:line="97"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b w:val="1"/>
          <w:bCs w:val="1"/>
          <w:color w:val="auto"/>
        </w:rPr>
        <w:t xml:space="preserve">Julian R. Metherell </w:t>
      </w:r>
      <w:r>
        <w:rPr>
          <w:rFonts w:ascii="Arial" w:cs="Arial" w:eastAsia="Arial" w:hAnsi="Arial"/>
          <w:sz w:val="19"/>
          <w:szCs w:val="19"/>
          <w:color w:val="auto"/>
        </w:rPr>
        <w:t>has been a member of our board of directors since October 2011. Mr. Metherell was the chief financial officer and a</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71"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b w:val="1"/>
          <w:bCs w:val="1"/>
          <w:color w:val="auto"/>
        </w:rPr>
        <w:t xml:space="preserve">Anthony S. Papadimitriou </w:t>
      </w:r>
      <w:r>
        <w:rPr>
          <w:rFonts w:ascii="Arial" w:cs="Arial" w:eastAsia="Arial" w:hAnsi="Arial"/>
          <w:sz w:val="19"/>
          <w:szCs w:val="19"/>
          <w:color w:val="auto"/>
        </w:rPr>
        <w:t>has been a member of our board of directors since November 2011, when he was designated by the Onassis</w:t>
      </w:r>
      <w:r>
        <w:rPr>
          <w:rFonts w:ascii="Arial" w:cs="Arial" w:eastAsia="Arial" w:hAnsi="Arial"/>
          <w:sz w:val="19"/>
          <w:szCs w:val="19"/>
          <w:b w:val="1"/>
          <w:bCs w:val="1"/>
          <w:color w:val="auto"/>
        </w:rPr>
        <w:t xml:space="preserve"> </w:t>
      </w:r>
      <w:r>
        <w:rPr>
          <w:rFonts w:ascii="Arial" w:cs="Arial" w:eastAsia="Arial" w:hAnsi="Arial"/>
          <w:sz w:val="19"/>
          <w:szCs w:val="19"/>
          <w:color w:val="auto"/>
        </w:rPr>
        <w:t>Foundation to serve as one of our directors. Mr. Papadimitriou is the managing 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Aix-en-Provence, a B.Sc. from the London School of Economics and a Ph.D. from the National and Kapodistrian University of Athens. Mr. Papadimitriou was appointed to the Board of GasLog Partners in May 2015.</w:t>
      </w:r>
    </w:p>
    <w:p>
      <w:pPr>
        <w:spacing w:after="0" w:line="77" w:lineRule="exact"/>
        <w:rPr>
          <w:sz w:val="20"/>
          <w:szCs w:val="20"/>
          <w:color w:val="auto"/>
        </w:rPr>
      </w:pPr>
    </w:p>
    <w:p>
      <w:pPr>
        <w:ind w:right="120" w:firstLine="357"/>
        <w:spacing w:after="0" w:line="276" w:lineRule="auto"/>
        <w:rPr>
          <w:sz w:val="20"/>
          <w:szCs w:val="20"/>
          <w:color w:val="auto"/>
        </w:rPr>
      </w:pPr>
      <w:r>
        <w:rPr>
          <w:rFonts w:ascii="Arial" w:cs="Arial" w:eastAsia="Arial" w:hAnsi="Arial"/>
          <w:sz w:val="18"/>
          <w:szCs w:val="18"/>
          <w:b w:val="1"/>
          <w:bCs w:val="1"/>
          <w:color w:val="auto"/>
        </w:rPr>
        <w:t xml:space="preserve">Philip Radziwill </w:t>
      </w:r>
      <w:r>
        <w:rPr>
          <w:rFonts w:ascii="Arial" w:cs="Arial" w:eastAsia="Arial" w:hAnsi="Arial"/>
          <w:sz w:val="18"/>
          <w:szCs w:val="18"/>
          <w:color w:val="auto"/>
        </w:rPr>
        <w:t>has been a member of our board of directors since October 2011. Mr. Radziwill also serves as an advisor of SCP Clover</w:t>
      </w:r>
      <w:r>
        <w:rPr>
          <w:rFonts w:ascii="Arial" w:cs="Arial" w:eastAsia="Arial" w:hAnsi="Arial"/>
          <w:sz w:val="18"/>
          <w:szCs w:val="18"/>
          <w:b w:val="1"/>
          <w:bCs w:val="1"/>
          <w:color w:val="auto"/>
        </w:rPr>
        <w:t xml:space="preserve"> </w:t>
      </w:r>
      <w:r>
        <w:rPr>
          <w:rFonts w:ascii="Arial" w:cs="Arial" w:eastAsia="Arial" w:hAnsi="Arial"/>
          <w:sz w:val="18"/>
          <w:szCs w:val="18"/>
          <w:color w:val="auto"/>
        </w:rPr>
        <w:t>Maritime, a company that manages assets and investments of the Radziwill family, including the family’s investment in the Company. From 2006 to 2009, Mr. Radziwill was employed in the equity group at Moore Capital Management LLC, a private investment management firm based in New York, where he focused on a long/short equity strategy within the energy industry. Prior to joining Moore Capital Management, Mr. Radziwill was employed as an investment banker at Goldman, Sachs &amp; Co. within the Industrial &amp; Natural Resources group. Mr. Radziwill is a graduate of Brown University. He is the first cousin of Peter G. Livanos, our Chairman.</w:t>
      </w:r>
    </w:p>
    <w:p>
      <w:pPr>
        <w:spacing w:after="0" w:line="57"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b w:val="1"/>
          <w:bCs w:val="1"/>
          <w:color w:val="auto"/>
        </w:rPr>
        <w:t xml:space="preserve">Simon P. Crowe </w:t>
      </w:r>
      <w:r>
        <w:rPr>
          <w:rFonts w:ascii="Arial" w:cs="Arial" w:eastAsia="Arial" w:hAnsi="Arial"/>
          <w:sz w:val="19"/>
          <w:szCs w:val="19"/>
          <w:color w:val="auto"/>
        </w:rPr>
        <w:t>has served as our chief financial officer (“CFO”) since April 2013. He has also served as CFO of our subsidiary GasLog</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since its inception. Mr. Crowe will step down from both of these positions in March 2017. From 2009 until 2012, Mr. Crowe was chief financial officer of Subsea 7, an engineering, construction and services contractor to the offshore energy industry. Subsea 7 is a global business, listed on the Norwegian Stock Exchange that employs 12,000 people and operates in over 15 countries. Prior to 2009, Mr. Crowe worked for Transocean Ltd., the world’s largest offshore drilling contractor, most recently as vice president, strategy and planning, and prior to that as Finance Director for Transocean Ltd.’s Europe and Africa operations. Mr. Crowe is a member of the Chartered Institute of Management Accountants. Mr. Crowe holds a degree in physics from the University of Liverpool.</w:t>
      </w:r>
    </w:p>
    <w:p>
      <w:pPr>
        <w:spacing w:after="0" w:line="71" w:lineRule="exact"/>
        <w:rPr>
          <w:sz w:val="20"/>
          <w:szCs w:val="20"/>
          <w:color w:val="auto"/>
        </w:rPr>
      </w:pPr>
    </w:p>
    <w:p>
      <w:pPr>
        <w:ind w:firstLine="357"/>
        <w:spacing w:after="0" w:line="261" w:lineRule="auto"/>
        <w:rPr>
          <w:sz w:val="20"/>
          <w:szCs w:val="20"/>
          <w:color w:val="auto"/>
        </w:rPr>
      </w:pPr>
      <w:r>
        <w:rPr>
          <w:rFonts w:ascii="Arial" w:cs="Arial" w:eastAsia="Arial" w:hAnsi="Arial"/>
          <w:sz w:val="19"/>
          <w:szCs w:val="19"/>
          <w:b w:val="1"/>
          <w:bCs w:val="1"/>
          <w:color w:val="auto"/>
        </w:rPr>
        <w:t xml:space="preserve">Alastair Maxwell </w:t>
      </w:r>
      <w:r>
        <w:rPr>
          <w:rFonts w:ascii="Arial" w:cs="Arial" w:eastAsia="Arial" w:hAnsi="Arial"/>
          <w:sz w:val="19"/>
          <w:szCs w:val="19"/>
          <w:color w:val="auto"/>
        </w:rPr>
        <w:t>joined GasLog on February 1, 2017 and will serve as Chief Financial Officer (“CFO”) beginning in March 2017. He will</w:t>
      </w:r>
      <w:r>
        <w:rPr>
          <w:rFonts w:ascii="Arial" w:cs="Arial" w:eastAsia="Arial" w:hAnsi="Arial"/>
          <w:sz w:val="19"/>
          <w:szCs w:val="19"/>
          <w:b w:val="1"/>
          <w:bCs w:val="1"/>
          <w:color w:val="auto"/>
        </w:rPr>
        <w:t xml:space="preserve"> </w:t>
      </w:r>
      <w:r>
        <w:rPr>
          <w:rFonts w:ascii="Arial" w:cs="Arial" w:eastAsia="Arial" w:hAnsi="Arial"/>
          <w:sz w:val="19"/>
          <w:szCs w:val="19"/>
          <w:color w:val="auto"/>
        </w:rPr>
        <w:t>also serve as CFO of GasLog Partners beginning in March 2017. Prior to joining GasLog, Mr. Maxwell worked in the investment banking industry for 29 years, most recently with Goldman Sachs from 2010 to 2016 where he was a partner and Co-Head of the Global Energy Group with responsibility for relationships with a wide range of corporate and other clients. Previously, from 1998 to 2010, he was with Morgan Stanley, most recently as Managing Director and Head of Energy in the EMEA region based in London and</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1" w:name="page92"/>
    <w:bookmarkEnd w:id="91"/>
    <w:p>
      <w:pPr>
        <w:ind w:right="420"/>
        <w:spacing w:after="0" w:line="267" w:lineRule="auto"/>
        <w:rPr>
          <w:sz w:val="20"/>
          <w:szCs w:val="20"/>
          <w:color w:val="auto"/>
        </w:rPr>
      </w:pPr>
      <w:r>
        <w:rPr>
          <w:rFonts w:ascii="Arial" w:cs="Arial" w:eastAsia="Arial" w:hAnsi="Arial"/>
          <w:sz w:val="19"/>
          <w:szCs w:val="19"/>
          <w:color w:val="auto"/>
        </w:rPr>
        <w:t>prior to that as Executive Director and Head of Latin America Utilities based in New York. From 1987 to 1998 he was at Dresdner Kleinwort Benson in a series of roles in the Utilities and M&amp;A Groups based in London, Spain, and Brazil. Mr. Maxwell studied Modern Languages (Spanish and Portuguese) at Worcester College, Oxford.</w:t>
      </w:r>
    </w:p>
    <w:p>
      <w:pPr>
        <w:spacing w:after="0" w:line="62"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b w:val="1"/>
          <w:bCs w:val="1"/>
          <w:color w:val="auto"/>
        </w:rPr>
        <w:t xml:space="preserve">Graham Westgarth </w:t>
      </w:r>
      <w:r>
        <w:rPr>
          <w:rFonts w:ascii="Arial" w:cs="Arial" w:eastAsia="Arial" w:hAnsi="Arial"/>
          <w:sz w:val="17"/>
          <w:szCs w:val="17"/>
          <w:color w:val="auto"/>
        </w:rPr>
        <w:t>has served as our chief operating officer (“COO”) since June 2013. Mr. Westgarth will step down from this position in</w:t>
      </w:r>
      <w:r>
        <w:rPr>
          <w:rFonts w:ascii="Arial" w:cs="Arial" w:eastAsia="Arial" w:hAnsi="Arial"/>
          <w:sz w:val="17"/>
          <w:szCs w:val="17"/>
          <w:b w:val="1"/>
          <w:bCs w:val="1"/>
          <w:color w:val="auto"/>
        </w:rPr>
        <w:t xml:space="preserve"> </w:t>
      </w:r>
      <w:r>
        <w:rPr>
          <w:rFonts w:ascii="Arial" w:cs="Arial" w:eastAsia="Arial" w:hAnsi="Arial"/>
          <w:sz w:val="17"/>
          <w:szCs w:val="17"/>
          <w:color w:val="auto"/>
        </w:rPr>
        <w:t>May 2017. He previously served as our Executive Vice President, Operations and Strategy, from January 2013 until June 2013. He has also served as COO of our subsidiary GasLog Partners since its inception.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He is an ex-Master Mariner and graduate of the Columbia University Senior Executive Development Program.</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Board Leadership Structure</w:t>
      </w:r>
    </w:p>
    <w:p>
      <w:pPr>
        <w:spacing w:after="0" w:line="1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board leadership structure consists of our Chairman, the vice chairman/ senior independent director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shareholders.</w:t>
      </w:r>
    </w:p>
    <w:p>
      <w:pPr>
        <w:spacing w:after="0" w:line="48" w:lineRule="exact"/>
        <w:rPr>
          <w:sz w:val="20"/>
          <w:szCs w:val="20"/>
          <w:color w:val="auto"/>
        </w:rPr>
      </w:pPr>
    </w:p>
    <w:p>
      <w:pPr>
        <w:ind w:right="680" w:firstLine="357"/>
        <w:spacing w:after="0" w:line="283" w:lineRule="auto"/>
        <w:rPr>
          <w:sz w:val="20"/>
          <w:szCs w:val="20"/>
          <w:color w:val="auto"/>
        </w:rPr>
      </w:pPr>
      <w:r>
        <w:rPr>
          <w:rFonts w:ascii="Arial" w:cs="Arial" w:eastAsia="Arial" w:hAnsi="Arial"/>
          <w:sz w:val="19"/>
          <w:szCs w:val="19"/>
          <w:color w:val="auto"/>
        </w:rPr>
        <w:t>Dennis M. Houston, who serves as our senior independent director, acts as a liaison to facilitate communication between independent directors and our Chairman to ensure that the board functions in an effective manner.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Compensation of Directors and Senior Management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non-executive directors receive:</w:t>
      </w:r>
    </w:p>
    <w:p>
      <w:pPr>
        <w:spacing w:after="0" w:line="106" w:lineRule="exact"/>
        <w:rPr>
          <w:sz w:val="20"/>
          <w:szCs w:val="20"/>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 annual fee of $120,000;</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 additional annual fee of $20,000 to the senior independent director;</w:t>
      </w:r>
    </w:p>
    <w:p>
      <w:pPr>
        <w:spacing w:after="0" w:line="105" w:lineRule="exact"/>
        <w:rPr>
          <w:rFonts w:ascii="Arial" w:cs="Arial" w:eastAsia="Arial" w:hAnsi="Arial"/>
          <w:sz w:val="19"/>
          <w:szCs w:val="19"/>
          <w:color w:val="auto"/>
        </w:rPr>
      </w:pPr>
    </w:p>
    <w:p>
      <w:pPr>
        <w:ind w:left="540" w:right="240" w:hanging="168"/>
        <w:spacing w:after="0" w:line="312"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annual fees of $100,000 to the Chairman of the board, $50,000 to the chairman of the audit and risk committee and $20,000 to the chairmen of the compensation committee, corporate governance and nominating committee and HSSE committee;</w:t>
      </w:r>
    </w:p>
    <w:p>
      <w:pPr>
        <w:spacing w:after="0" w:line="15" w:lineRule="exact"/>
        <w:rPr>
          <w:rFonts w:ascii="Arial" w:cs="Arial" w:eastAsia="Arial" w:hAnsi="Arial"/>
          <w:sz w:val="18"/>
          <w:szCs w:val="18"/>
          <w:color w:val="auto"/>
        </w:rPr>
      </w:pPr>
    </w:p>
    <w:p>
      <w:pPr>
        <w:ind w:left="540" w:right="600" w:hanging="168"/>
        <w:spacing w:after="0" w:line="267"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additional annual fees of $25,000 to each member of the audit and risk committee and $10,000 to each member of the compensation committee, corporate governance and nominating committee and HSSE committee (in each case other than the chairmen of such committees); and</w:t>
      </w:r>
    </w:p>
    <w:p>
      <w:pPr>
        <w:spacing w:after="0" w:line="54" w:lineRule="exact"/>
        <w:rPr>
          <w:rFonts w:ascii="Arial" w:cs="Arial" w:eastAsia="Arial" w:hAnsi="Arial"/>
          <w:sz w:val="19"/>
          <w:szCs w:val="19"/>
          <w:color w:val="auto"/>
        </w:rPr>
      </w:pPr>
    </w:p>
    <w:p>
      <w:pPr>
        <w:ind w:left="540" w:right="84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additional annual fees of $20,000 to each board member who also serves as a board member of GasLog Partners (in lieu of direct compensation from GasLog Partners for such service).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aggregate annual fees paid to non-executive directors in 2016 was $1.5 million.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of directors may determine that a portion of the above fees will be paid in shares rather than cash.</w:t>
      </w:r>
    </w:p>
    <w:p>
      <w:pPr>
        <w:spacing w:after="0" w:line="119"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2" w:name="page93"/>
    <w:bookmarkEnd w:id="92"/>
    <w:p>
      <w:pPr>
        <w:ind w:firstLine="357"/>
        <w:spacing w:after="0" w:line="286" w:lineRule="auto"/>
        <w:rPr>
          <w:sz w:val="20"/>
          <w:szCs w:val="20"/>
          <w:color w:val="auto"/>
        </w:rPr>
      </w:pPr>
      <w:r>
        <w:rPr>
          <w:rFonts w:ascii="Arial" w:cs="Arial" w:eastAsia="Arial" w:hAnsi="Arial"/>
          <w:sz w:val="17"/>
          <w:szCs w:val="17"/>
          <w:color w:val="auto"/>
        </w:rPr>
        <w:t>For 2016, our executive officers were Paul Wogan, Simon Crowe and Graham Westgarth. Compensation for our executive officers in 2016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factor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2016, the Company performance objectives were measured against three equally-weighted key business indicators: Free Cash Flow per Share, Absolute Return on Invested Capital and three-year rolling average Relative Total Shareholder Return. In addition, Company performance is evaluated against a safety factor based on Personal Safety, Significant Incidents and Leading Indicators, in which a failure to meet the safety target may result in a reduction of the Company performance payout factor. Under the individual and Company performance objectives, stretch goals are established, which, if met, can result in a payout of up to 120.0% of the individual’s target payout. The Company discretionary component may not increase an individual’s payment to more than 200.0% of his or her target payout. The amounts paid to our executive officers in 2016 pursuant to the MIP were determined based on the following weightings: individual performance (30.0%), Company performance (50.0%) and Company discretion (20.0%).</w:t>
      </w:r>
    </w:p>
    <w:p>
      <w:pPr>
        <w:spacing w:after="0" w:line="58"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The aggregate amount of cash compensation, including cash incentive compensation, paid to our executive officers for the year ended December 31, 2016 was $2.69 million.</w:t>
      </w:r>
    </w:p>
    <w:p>
      <w:pPr>
        <w:spacing w:after="0" w:line="5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In addition, each of our executive officers was eligible to receive equity-based compensation awards in accordance with the 2013 Omnibus Incentive Compensation Plan, or the “Plan”. On April 1, 2016, we granted our executive officers an aggregate of 232,871 stock options and 58,377 restricted stock units under the Plan, with an aggregate fair value as of the grant date of $1.08 million. The stock options have an exercise price per share of $9.28 and will vest in three equal annual installments, beginning on the first anniversary of the grant date, subject to the recipient’s continued service. The restricted stock units vest on the third anniversary of the grant date, subject to the recipient’s continued service. The stock options and the restricted stock units may be settled in cash or common shares, or a combination thereof, at our discretion.</w:t>
      </w:r>
    </w:p>
    <w:p>
      <w:pPr>
        <w:spacing w:after="0" w:line="4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We generally determine during the February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7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We did not set aside or accrue any amounts in the year ended December 31, 2016 to provide pension, retirement or similar benefits to our directors or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Board Practices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Our board of directors consists of ten members. The board of directors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 of directors.</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77" w:right="339" w:bottom="1440" w:gutter="0" w:footer="0" w:header="0"/>
        </w:sectPr>
      </w:pPr>
    </w:p>
    <w:bookmarkStart w:id="93" w:name="page94"/>
    <w:bookmarkEnd w:id="93"/>
    <w:p>
      <w:pPr>
        <w:ind w:right="60"/>
        <w:spacing w:after="0" w:line="271" w:lineRule="auto"/>
        <w:rPr>
          <w:sz w:val="20"/>
          <w:szCs w:val="20"/>
          <w:color w:val="auto"/>
        </w:rPr>
      </w:pPr>
      <w:r>
        <w:rPr>
          <w:rFonts w:ascii="Arial" w:cs="Arial" w:eastAsia="Arial" w:hAnsi="Arial"/>
          <w:sz w:val="18"/>
          <w:szCs w:val="18"/>
          <w:color w:val="auto"/>
        </w:rPr>
        <w:t>“foreign private issuer” to follow its home country practice in lieu of the listing requirements of the NYSE, including (i) the requirement that a majority of the board of directors consist of independent directors, (ii) the requirement that the nominating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 and corporate governance and compensation committees. Six of our ten directors qualify as independent.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and Risk Committee</w:t>
      </w:r>
    </w:p>
    <w:p>
      <w:pPr>
        <w:spacing w:after="0" w:line="119" w:lineRule="exact"/>
        <w:rPr>
          <w:sz w:val="20"/>
          <w:szCs w:val="20"/>
          <w:color w:val="auto"/>
        </w:rPr>
      </w:pPr>
    </w:p>
    <w:p>
      <w:pPr>
        <w:ind w:right="360" w:firstLine="357"/>
        <w:spacing w:after="0" w:line="262" w:lineRule="auto"/>
        <w:rPr>
          <w:sz w:val="20"/>
          <w:szCs w:val="20"/>
          <w:color w:val="auto"/>
        </w:rPr>
      </w:pPr>
      <w:r>
        <w:rPr>
          <w:rFonts w:ascii="Arial" w:cs="Arial" w:eastAsia="Arial" w:hAnsi="Arial"/>
          <w:sz w:val="19"/>
          <w:szCs w:val="19"/>
          <w:color w:val="auto"/>
        </w:rPr>
        <w:t>Our audit and risk committee consists of Messrs. Conner, Friedrich, Houston and Kintzer with Mr. Kintzer serving as the committee chairman. Our board of directors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59" w:lineRule="exact"/>
        <w:rPr>
          <w:sz w:val="20"/>
          <w:szCs w:val="20"/>
          <w:color w:val="auto"/>
        </w:rPr>
      </w:pPr>
    </w:p>
    <w:p>
      <w:pPr>
        <w:ind w:left="540" w:right="88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24" w:lineRule="exact"/>
        <w:rPr>
          <w:rFonts w:ascii="Arial" w:cs="Arial" w:eastAsia="Arial" w:hAnsi="Arial"/>
          <w:sz w:val="19"/>
          <w:szCs w:val="19"/>
          <w:color w:val="auto"/>
        </w:rPr>
      </w:pPr>
    </w:p>
    <w:p>
      <w:pPr>
        <w:ind w:left="540" w:right="260" w:hanging="168"/>
        <w:spacing w:after="0" w:line="267"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54"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discussing with management and the independent auditors, and making recommendations to our board regarding the approval of, the annual audited financial statements and any periodic financial statements;</w:t>
      </w:r>
    </w:p>
    <w:p>
      <w:pPr>
        <w:spacing w:after="0" w:line="38"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discussing earnings press releases, as well as financial information and earnings guidance provided to analysts and rating agencies, with management and the independent auditors;</w:t>
      </w:r>
    </w:p>
    <w:p>
      <w:pPr>
        <w:spacing w:after="0" w:line="38"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discussing policies with respect to financial risk assessment and risk management and monitoring our financial risk and risk management systems;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meeting periodically and separately with management, our internal audit group and the independent auditors;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reviewing with the independent auditors any audit problems or difficulties and management’s responses;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setting clear hiring policies for employees or former employees of the independent auditors;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annually reviewing the adequacy of the audit and risk committee’s written charter;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periodically reviewing the budget, responsibilities and organizational structure of the internal audit department;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procedures for the consideration of all related-party transactions, including matters involving potential conflicts of interest;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4" w:name="page95"/>
    <w:bookmarkEnd w:id="94"/>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reporting regularly to the full board of directors;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and risk committee by the board of directors from time to time.</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1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Our compensation committee consists of Messrs. Blythe, Friedrich, Metherell and Radziwill, with Mr. Metherell serving as the committee chairman. The compensation committee is responsible for:</w:t>
      </w:r>
    </w:p>
    <w:p>
      <w:pPr>
        <w:spacing w:after="0" w:line="38" w:lineRule="exact"/>
        <w:rPr>
          <w:sz w:val="20"/>
          <w:szCs w:val="20"/>
          <w:color w:val="auto"/>
        </w:rPr>
      </w:pPr>
    </w:p>
    <w:p>
      <w:pPr>
        <w:ind w:left="540" w:right="46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making recommendations to the full board of directors with respect to the compensation of directors, senior management, the head of internal audit and other managerial employees reporting to the CEO;</w:t>
      </w:r>
    </w:p>
    <w:p>
      <w:pPr>
        <w:spacing w:after="0" w:line="24"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overseeing and making recommendations to the full board of directors with respect to any of the Company’s long-term incentive plans, including any equity-based compensation plans to be adopted;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committee by the board of directors from time to time.</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Governance and Nominating Committee</w:t>
      </w:r>
    </w:p>
    <w:p>
      <w:pPr>
        <w:spacing w:after="0" w:line="119"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Our corporate governance and nominating committee consists of Messrs. Blythe, Houston, Livanos and Papadimitriou, with Mr. Houston serving as the committee chairman. The corporate governance and nominating committee is responsible for:</w:t>
      </w:r>
    </w:p>
    <w:p>
      <w:pPr>
        <w:spacing w:after="0" w:line="38" w:lineRule="exact"/>
        <w:rPr>
          <w:sz w:val="20"/>
          <w:szCs w:val="20"/>
          <w:color w:val="auto"/>
        </w:rPr>
      </w:pPr>
    </w:p>
    <w:p>
      <w:pPr>
        <w:ind w:left="540" w:right="120" w:hanging="168"/>
        <w:spacing w:after="0" w:line="313"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identifying and recommending candidates, consistent with criteria approved by the full board of directors, for nomination to be elected by shareholders at annual meetings and for approval of the board of directors to fill board vacancies as and when they arise between annual meetings, as well as putting in place short- and long-term succession plans for senior management and the CEO direct reports;</w:t>
      </w:r>
    </w:p>
    <w:p>
      <w:pPr>
        <w:spacing w:after="0" w:line="18" w:lineRule="exact"/>
        <w:rPr>
          <w:rFonts w:ascii="Arial" w:cs="Arial" w:eastAsia="Arial" w:hAnsi="Arial"/>
          <w:sz w:val="17"/>
          <w:szCs w:val="17"/>
          <w:color w:val="auto"/>
        </w:rPr>
      </w:pPr>
    </w:p>
    <w:p>
      <w:pPr>
        <w:ind w:left="540" w:right="2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developing and recommending to the full board of directors’ corporate governance guidelines applicable to the Company and keeping such guidelines under review;</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overseeing self-evaluations conducted by the board of directors and its committees and overseeing evaluations of senior management; and</w:t>
      </w:r>
    </w:p>
    <w:p>
      <w:pPr>
        <w:spacing w:after="0" w:line="128" w:lineRule="exact"/>
        <w:rPr>
          <w:rFonts w:ascii="Arial" w:cs="Arial" w:eastAsia="Arial" w:hAnsi="Arial"/>
          <w:sz w:val="17"/>
          <w:szCs w:val="17"/>
          <w:color w:val="auto"/>
        </w:rPr>
      </w:pPr>
    </w:p>
    <w:p>
      <w:pPr>
        <w:ind w:left="54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handling such other matters that are specifically delegated to the corporate governance and nominating committee by the board of directors from time to time.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Safety, Security and Environmental Committee</w:t>
      </w:r>
    </w:p>
    <w:p>
      <w:pPr>
        <w:spacing w:after="0" w:line="119"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Our health, safety, security and environmental, or “HSSE”, committee consists of Messrs. Friedrich, Livanos and Wogan, with Mr. Friedrich serving as the committee chairman. The HSSE committee is responsible for:</w:t>
      </w:r>
    </w:p>
    <w:p>
      <w:pPr>
        <w:spacing w:after="0" w:line="38"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overseeing the Company’s top-level HSSE policies (including those relating to operational risks);</w:t>
      </w:r>
    </w:p>
    <w:p>
      <w:pPr>
        <w:spacing w:after="0" w:line="92"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reviewing the Company’s HSSE policies (including those relating to operational risks) on an annual basis and recommending changes to such policies to the Company’s management team;</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reports from management, evaluating the effectiveness of the Company’s systems to achieve the established HSSE policies;</w:t>
      </w:r>
    </w:p>
    <w:p>
      <w:pPr>
        <w:spacing w:after="0" w:line="117" w:lineRule="exact"/>
        <w:rPr>
          <w:rFonts w:ascii="Arial" w:cs="Arial" w:eastAsia="Arial" w:hAnsi="Arial"/>
          <w:sz w:val="18"/>
          <w:szCs w:val="18"/>
          <w:color w:val="auto"/>
        </w:rPr>
      </w:pPr>
    </w:p>
    <w:p>
      <w:pPr>
        <w:ind w:left="540" w:right="540" w:hanging="16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receiving reports from management relating to any serious accidents or fatalities and reviewing recommended actions to be taken by management in connection therewith;</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whether the Company’s HSSE policies take appropriate account of internal and external developments and expectations;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evaluating and overseeing the quality of reporting systems required by third parties on HSSE related matters; and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64" w:right="319" w:bottom="1440" w:gutter="0" w:footer="0" w:header="0"/>
        </w:sectPr>
      </w:pPr>
    </w:p>
    <w:bookmarkStart w:id="95" w:name="page96"/>
    <w:bookmarkEnd w:id="95"/>
    <w:p>
      <w:pPr>
        <w:ind w:left="380"/>
        <w:spacing w:after="0"/>
        <w:rPr>
          <w:sz w:val="20"/>
          <w:szCs w:val="20"/>
          <w:color w:val="auto"/>
        </w:rPr>
      </w:pPr>
      <w:r>
        <w:rPr>
          <w:rFonts w:ascii="Arial" w:cs="Arial" w:eastAsia="Arial" w:hAnsi="Arial"/>
          <w:sz w:val="19"/>
          <w:szCs w:val="19"/>
          <w:color w:val="auto"/>
        </w:rPr>
        <w:t>• assessing the systems within the Company for ensuring compliance with HSSE related laws, regulations and policies.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Senior Independent Director</w:t>
      </w:r>
    </w:p>
    <w:p>
      <w:pPr>
        <w:spacing w:after="0" w:line="11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Mr. Houston, an independent director, currently serves as our senior independent director. Mr. Friedrich served as our senior independent director from March 2012 to May 2016. Our senior independent director is responsible for:</w:t>
      </w:r>
    </w:p>
    <w:p>
      <w:pPr>
        <w:spacing w:after="0" w:line="38" w:lineRule="exact"/>
        <w:rPr>
          <w:sz w:val="20"/>
          <w:szCs w:val="20"/>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presiding at board and shareholder meetings if the Chairman of the board is absent;</w:t>
      </w:r>
    </w:p>
    <w:p>
      <w:pPr>
        <w:spacing w:after="0" w:line="92"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meeting with the other members of the board without the Chairman present on at least an annual basis in order to evaluate and appraise the performance of the Chairman;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chairing the corporate governance and nominating committee when considering succession to the role of the Chairman of the board;</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chairing meetings of our independent directors;</w:t>
      </w:r>
    </w:p>
    <w:p>
      <w:pPr>
        <w:spacing w:after="0" w:line="105"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acting as a liaison, if required, to facilitate communication between independent directors and our Chairman, Chief Executive Officer and any member of senior management;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performing such other functions as the board may direct or request from time to time.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w:t>
      </w:r>
    </w:p>
    <w:p>
      <w:pPr>
        <w:spacing w:after="0" w:line="125"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have adopted a Code of Business Conduct and Ethics for all directors, officers, employees and agents of the Company.</w:t>
      </w:r>
    </w:p>
    <w:p>
      <w:pPr>
        <w:spacing w:after="0" w:line="119"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u w:val="single" w:color="auto"/>
          <w:color w:val="auto"/>
        </w:rPr>
        <w:t>http://www.gaslogltd.com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on or connected to our website is not a part of this annual report. We will also provide a paper copy of any of these documents upon the written request of a shareholder at no cost. Shareholders may direct their requests to the attention of our General Counsel, c/o GasLog Monaco S.A.M., Gildo Pastor Center, 7 Rue du Gabian, MC 98000, Monaco.</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Employees</w:t>
      </w:r>
    </w:p>
    <w:p>
      <w:pPr>
        <w:spacing w:after="0" w:line="125"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As of December 31, 2016, we had 173 full-time employees and contractors, based in our offices in Greece, Monaco, London, New York, Singapore or the newbuildings site in South Korea. In addition to our shore-based employees and contractors, we had approximately 1,360 seafaring staff serving on our owned and managed ships. These seafarers are retained through crewing agencies based in Ukraine, the Philippines and Spain or, in the case of Greek seafarers, through direct hire. As we take delivery of our newbuildings, we expect to retain a significant number of additional seafarers qualified to man and operate our new ships, as well as additional shore-based personnel. We intend to focus our seafaring hiring efforts in the Ukrainian, Philippine and Spanish markets, where we have crewing agency agreements in place, and in Greece.</w:t>
      </w:r>
    </w:p>
    <w:p>
      <w:pPr>
        <w:spacing w:after="0" w:line="4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LNG marine transportation is a specialized area requiring technically skilled officers and personnel with specialized training. We regard attracting and retaining motivated, well-qualified seagoing and shore-based personnel as a top priority, and we offer our people competitive compensation packages. In addition, we provide intensive onboard training for our officers and crew to instill a culture of the highest operational and safety standards. As a result, we have historically enjoyed high retention rates. In 2016, our retention rate was 95% for senior seagoing officers, 98% for other officers and 99% for shore staff.</w:t>
      </w:r>
    </w:p>
    <w:p>
      <w:pPr>
        <w:spacing w:after="0" w:line="77" w:lineRule="exact"/>
        <w:rPr>
          <w:sz w:val="20"/>
          <w:szCs w:val="20"/>
          <w:color w:val="auto"/>
        </w:rPr>
      </w:pPr>
    </w:p>
    <w:p>
      <w:pPr>
        <w:ind w:right="280" w:firstLine="357"/>
        <w:spacing w:after="0" w:line="344" w:lineRule="auto"/>
        <w:rPr>
          <w:sz w:val="20"/>
          <w:szCs w:val="20"/>
          <w:color w:val="auto"/>
        </w:rPr>
      </w:pPr>
      <w:r>
        <w:rPr>
          <w:rFonts w:ascii="Arial" w:cs="Arial" w:eastAsia="Arial" w:hAnsi="Arial"/>
          <w:sz w:val="17"/>
          <w:szCs w:val="17"/>
          <w:color w:val="auto"/>
        </w:rPr>
        <w:t>Although we have historically experienced high employee retention rates, the demand for technically skilled officers and crews to serve on LNG carriers has been increasing as the global fleet of LNG carriers continues to grow. This increased demand has and may continue to put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96" w:name="page97"/>
    <w:bookmarkEnd w:id="96"/>
    <w:p>
      <w:pPr>
        <w:ind w:right="160"/>
        <w:spacing w:after="0" w:line="267" w:lineRule="auto"/>
        <w:rPr>
          <w:sz w:val="20"/>
          <w:szCs w:val="20"/>
          <w:color w:val="auto"/>
        </w:rPr>
      </w:pPr>
      <w:r>
        <w:rPr>
          <w:rFonts w:ascii="Arial" w:cs="Arial" w:eastAsia="Arial" w:hAnsi="Arial"/>
          <w:sz w:val="19"/>
          <w:szCs w:val="19"/>
          <w:color w:val="auto"/>
        </w:rPr>
        <w:t>inflationary cost pressure on ensuring qualified and well trained crew are available to us. However, we expect that the impact of cost increases would be mitigated to some extent by certain provisions in our time charters, including automatic periodic adjustment provisions and cost review provisions.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 Share Ownership</w:t>
      </w:r>
    </w:p>
    <w:p>
      <w:pPr>
        <w:spacing w:after="0" w:line="125"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269" w:lineRule="exact"/>
        <w:rPr>
          <w:sz w:val="20"/>
          <w:szCs w:val="20"/>
          <w:color w:val="auto"/>
        </w:rPr>
      </w:pPr>
    </w:p>
    <w:p>
      <w:pPr>
        <w:ind w:right="4560"/>
        <w:spacing w:after="0" w:line="418" w:lineRule="auto"/>
        <w:rPr>
          <w:sz w:val="20"/>
          <w:szCs w:val="20"/>
          <w:color w:val="auto"/>
        </w:rPr>
      </w:pPr>
      <w:r>
        <w:rPr>
          <w:rFonts w:ascii="Arial" w:cs="Arial" w:eastAsia="Arial" w:hAnsi="Arial"/>
          <w:sz w:val="19"/>
          <w:szCs w:val="19"/>
          <w:b w:val="1"/>
          <w:bCs w:val="1"/>
          <w:color w:val="auto"/>
        </w:rPr>
        <w:t>ITEM 7. MAJOR SHAREHOLDERS AND RELATED PARTY TRANSACTIONS A. Major Shareholders</w:t>
      </w:r>
    </w:p>
    <w:p>
      <w:pPr>
        <w:spacing w:after="0" w:line="1"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The following table sets forth certain information regarding the beneficial ownership of our outstanding common shares and Preference Shares as of February 27, 2017 held by:</w:t>
      </w:r>
    </w:p>
    <w:p>
      <w:pPr>
        <w:spacing w:after="0" w:line="25" w:lineRule="exact"/>
        <w:rPr>
          <w:sz w:val="20"/>
          <w:szCs w:val="20"/>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of our executive officers;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of our directors;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our directors and officers as a group;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holder known to us to beneficially own 5.0% or more of our shares;</w:t>
      </w:r>
    </w:p>
    <w:p>
      <w:pPr>
        <w:spacing w:after="0" w:line="119"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Beneficial ownership is determined in accordance with SEC rules. Percentage computations are based on an aggregate of 80,993,126 common shares and 4,600,000 Preference Shares outstanding as of February 27, 2017. Each issued and outstanding common share will entitle the shareholder to one vote. Information for certain holders is based on their latest filings with the SEC or information delivered to us. Except as noted below, the address of all shareholders, officers and directors identified in the table and the accompanying footnotes below is in care of our principal executive offices.</w:t>
      </w: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3"/>
          </w:tcPr>
          <w:p>
            <w:pPr>
              <w:jc w:val="right"/>
              <w:ind w:right="409"/>
              <w:spacing w:after="0" w:line="179" w:lineRule="exact"/>
              <w:rPr>
                <w:sz w:val="20"/>
                <w:szCs w:val="20"/>
                <w:color w:val="auto"/>
              </w:rPr>
            </w:pPr>
            <w:r>
              <w:rPr>
                <w:rFonts w:ascii="Arial" w:cs="Arial" w:eastAsia="Arial" w:hAnsi="Arial"/>
                <w:sz w:val="16"/>
                <w:szCs w:val="16"/>
                <w:b w:val="1"/>
                <w:bCs w:val="1"/>
                <w:color w:val="auto"/>
              </w:rPr>
              <w:t>Common Shares</w:t>
            </w:r>
          </w:p>
        </w:tc>
        <w:tc>
          <w:tcPr>
            <w:tcW w:w="300" w:type="dxa"/>
            <w:vAlign w:val="bottom"/>
          </w:tcPr>
          <w:p>
            <w:pPr>
              <w:spacing w:after="0"/>
              <w:rPr>
                <w:sz w:val="15"/>
                <w:szCs w:val="15"/>
                <w:color w:val="auto"/>
              </w:rPr>
            </w:pPr>
          </w:p>
        </w:tc>
        <w:tc>
          <w:tcPr>
            <w:tcW w:w="1660" w:type="dxa"/>
            <w:vAlign w:val="bottom"/>
            <w:gridSpan w:val="3"/>
          </w:tcPr>
          <w:p>
            <w:pPr>
              <w:jc w:val="right"/>
              <w:ind w:right="125"/>
              <w:spacing w:after="0" w:line="179" w:lineRule="exact"/>
              <w:rPr>
                <w:sz w:val="20"/>
                <w:szCs w:val="20"/>
                <w:color w:val="auto"/>
              </w:rPr>
            </w:pPr>
            <w:r>
              <w:rPr>
                <w:rFonts w:ascii="Arial" w:cs="Arial" w:eastAsia="Arial" w:hAnsi="Arial"/>
                <w:sz w:val="16"/>
                <w:szCs w:val="16"/>
                <w:b w:val="1"/>
                <w:bCs w:val="1"/>
                <w:color w:val="auto"/>
              </w:rPr>
              <w:t>Preference Shares</w:t>
            </w:r>
          </w:p>
        </w:tc>
        <w:tc>
          <w:tcPr>
            <w:tcW w:w="0" w:type="dxa"/>
            <w:vAlign w:val="bottom"/>
          </w:tcPr>
          <w:p>
            <w:pPr>
              <w:spacing w:after="0"/>
              <w:rPr>
                <w:sz w:val="1"/>
                <w:szCs w:val="1"/>
                <w:color w:val="auto"/>
              </w:rPr>
            </w:pPr>
          </w:p>
        </w:tc>
      </w:tr>
      <w:tr>
        <w:trPr>
          <w:trHeight w:val="199"/>
        </w:trPr>
        <w:tc>
          <w:tcPr>
            <w:tcW w:w="7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 of Beneficial Owner</w:t>
            </w:r>
          </w:p>
        </w:tc>
        <w:tc>
          <w:tcPr>
            <w:tcW w:w="28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6"/>
                <w:szCs w:val="16"/>
                <w:b w:val="1"/>
                <w:bCs w:val="1"/>
                <w:color w:val="auto"/>
              </w:rPr>
              <w:t>Beneficially Owned</w:t>
            </w:r>
          </w:p>
        </w:tc>
        <w:tc>
          <w:tcPr>
            <w:tcW w:w="30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6"/>
                <w:szCs w:val="16"/>
                <w:b w:val="1"/>
                <w:bCs w:val="1"/>
                <w:color w:val="auto"/>
                <w:w w:val="99"/>
              </w:rPr>
              <w:t>Beneficially Owned</w:t>
            </w:r>
          </w:p>
        </w:tc>
        <w:tc>
          <w:tcPr>
            <w:tcW w:w="0" w:type="dxa"/>
            <w:vAlign w:val="bottom"/>
          </w:tcPr>
          <w:p>
            <w:pPr>
              <w:spacing w:after="0"/>
              <w:rPr>
                <w:sz w:val="1"/>
                <w:szCs w:val="1"/>
                <w:color w:val="auto"/>
              </w:rPr>
            </w:pPr>
          </w:p>
        </w:tc>
      </w:tr>
      <w:tr>
        <w:trPr>
          <w:trHeight w:val="169"/>
        </w:trPr>
        <w:tc>
          <w:tcPr>
            <w:tcW w:w="7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94"/>
              <w:spacing w:after="0" w:line="169" w:lineRule="exact"/>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4"/>
                <w:szCs w:val="14"/>
                <w:color w:val="auto"/>
              </w:rPr>
            </w:pPr>
          </w:p>
        </w:tc>
        <w:tc>
          <w:tcPr>
            <w:tcW w:w="720" w:type="dxa"/>
            <w:vAlign w:val="bottom"/>
          </w:tcPr>
          <w:p>
            <w:pPr>
              <w:jc w:val="right"/>
              <w:ind w:right="9"/>
              <w:spacing w:after="0" w:line="169" w:lineRule="exact"/>
              <w:rPr>
                <w:sz w:val="20"/>
                <w:szCs w:val="20"/>
                <w:color w:val="auto"/>
              </w:rPr>
            </w:pPr>
            <w:r>
              <w:rPr>
                <w:rFonts w:ascii="Arial" w:cs="Arial" w:eastAsia="Arial" w:hAnsi="Arial"/>
                <w:sz w:val="16"/>
                <w:szCs w:val="16"/>
                <w:b w:val="1"/>
                <w:bCs w:val="1"/>
                <w:color w:val="auto"/>
              </w:rPr>
              <w:t>Percent</w:t>
            </w:r>
          </w:p>
        </w:tc>
        <w:tc>
          <w:tcPr>
            <w:tcW w:w="30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Percent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9"/>
                <w:szCs w:val="19"/>
                <w:i w:val="1"/>
                <w:iCs w:val="1"/>
                <w:color w:val="auto"/>
              </w:rPr>
              <w:t>Directors and officers</w:t>
            </w:r>
          </w:p>
        </w:tc>
        <w:tc>
          <w:tcPr>
            <w:tcW w:w="280" w:type="dxa"/>
            <w:vAlign w:val="bottom"/>
            <w:shd w:val="clear" w:color="auto" w:fill="E5FFFF"/>
          </w:tcPr>
          <w:p>
            <w:pPr>
              <w:spacing w:after="0"/>
              <w:rPr>
                <w:sz w:val="19"/>
                <w:szCs w:val="19"/>
                <w:color w:val="auto"/>
              </w:rPr>
            </w:pPr>
          </w:p>
        </w:tc>
        <w:tc>
          <w:tcPr>
            <w:tcW w:w="112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0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60" w:type="dxa"/>
            <w:vAlign w:val="bottom"/>
            <w:tcBorders>
              <w:top w:val="single" w:sz="8" w:color="auto"/>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Peter G. Livanos</w:t>
            </w:r>
            <w:r>
              <w:rPr>
                <w:rFonts w:ascii="Arial" w:cs="Arial" w:eastAsia="Arial" w:hAnsi="Arial"/>
                <w:sz w:val="10"/>
                <w:szCs w:val="10"/>
                <w:color w:val="auto"/>
              </w:rPr>
              <w:t>(1)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32,537,019</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40.16%</w:t>
            </w:r>
          </w:p>
        </w:tc>
        <w:tc>
          <w:tcPr>
            <w:tcW w:w="30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Paul A. Wogan</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Bruce L. Blythe</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David P. Conner</w:t>
            </w:r>
          </w:p>
        </w:tc>
        <w:tc>
          <w:tcPr>
            <w:tcW w:w="28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William M. Friedrich</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129"/>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ind w:right="47"/>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Dennis M. Houston</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Donald J. Kintzer</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129"/>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ind w:right="47"/>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Julian R. Metherell</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Anthony S. Papadimitriou</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Philip Radziwill</w:t>
            </w:r>
          </w:p>
        </w:tc>
        <w:tc>
          <w:tcPr>
            <w:tcW w:w="28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Simon P. Crowe</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Graham Westgarth</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9"/>
                <w:szCs w:val="19"/>
                <w:b w:val="1"/>
                <w:bCs w:val="1"/>
                <w:color w:val="auto"/>
              </w:rPr>
              <w:t>All directors and officers as a group</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33,334,065</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41.38%</w:t>
            </w:r>
          </w:p>
        </w:tc>
        <w:tc>
          <w:tcPr>
            <w:tcW w:w="1000" w:type="dxa"/>
            <w:vAlign w:val="bottom"/>
            <w:gridSpan w:val="2"/>
          </w:tcPr>
          <w:p>
            <w:pPr>
              <w:jc w:val="right"/>
              <w:ind w:right="47"/>
              <w:spacing w:after="0"/>
              <w:rPr>
                <w:sz w:val="20"/>
                <w:szCs w:val="20"/>
                <w:color w:val="auto"/>
              </w:rPr>
            </w:pPr>
            <w:r>
              <w:rPr>
                <w:rFonts w:ascii="Arial" w:cs="Arial" w:eastAsia="Arial" w:hAnsi="Arial"/>
                <w:sz w:val="19"/>
                <w:szCs w:val="19"/>
                <w:b w:val="1"/>
                <w:bCs w:val="1"/>
                <w:color w:val="auto"/>
              </w:rPr>
              <w:t>*</w:t>
            </w:r>
          </w:p>
        </w:tc>
        <w:tc>
          <w:tcPr>
            <w:tcW w:w="960" w:type="dxa"/>
            <w:vAlign w:val="bottom"/>
            <w:gridSpan w:val="2"/>
          </w:tcPr>
          <w:p>
            <w:pPr>
              <w:jc w:val="right"/>
              <w:ind w:right="25"/>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i w:val="1"/>
                <w:iCs w:val="1"/>
                <w:color w:val="auto"/>
              </w:rPr>
              <w:t>Other 5.0% beneficial owners</w:t>
            </w:r>
          </w:p>
        </w:tc>
        <w:tc>
          <w:tcPr>
            <w:tcW w:w="280" w:type="dxa"/>
            <w:vAlign w:val="bottom"/>
            <w:shd w:val="clear" w:color="auto" w:fill="E5FFFF"/>
          </w:tcPr>
          <w:p>
            <w:pPr>
              <w:spacing w:after="0"/>
              <w:rPr>
                <w:sz w:val="19"/>
                <w:szCs w:val="19"/>
                <w:color w:val="auto"/>
              </w:rPr>
            </w:pPr>
          </w:p>
        </w:tc>
        <w:tc>
          <w:tcPr>
            <w:tcW w:w="11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9"/>
                <w:szCs w:val="19"/>
                <w:color w:val="auto"/>
              </w:rPr>
              <w:t>Alexander S. Onassis Foundation</w:t>
            </w:r>
            <w:r>
              <w:rPr>
                <w:rFonts w:ascii="Arial" w:cs="Arial" w:eastAsia="Arial" w:hAnsi="Arial"/>
                <w:sz w:val="10"/>
                <w:szCs w:val="10"/>
                <w:color w:val="auto"/>
              </w:rPr>
              <w:t>(2)</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6,987,004</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8.68%</w:t>
            </w:r>
          </w:p>
        </w:tc>
        <w:tc>
          <w:tcPr>
            <w:tcW w:w="30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9"/>
                <w:szCs w:val="19"/>
                <w:color w:val="auto"/>
              </w:rPr>
              <w:t>Fairview Capital Investment Management, LLC</w:t>
            </w:r>
            <w:r>
              <w:rPr>
                <w:rFonts w:ascii="Arial" w:cs="Arial" w:eastAsia="Arial" w:hAnsi="Arial"/>
                <w:sz w:val="10"/>
                <w:szCs w:val="10"/>
                <w:color w:val="auto"/>
              </w:rPr>
              <w:t>(3)</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5,230,953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6.49%</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7"/>
        </w:trPr>
        <w:tc>
          <w:tcPr>
            <w:tcW w:w="7040" w:type="dxa"/>
            <w:vAlign w:val="bottom"/>
            <w:gridSpan w:val="2"/>
          </w:tcPr>
          <w:p>
            <w:pPr>
              <w:spacing w:after="0"/>
              <w:rPr>
                <w:sz w:val="20"/>
                <w:szCs w:val="20"/>
                <w:color w:val="auto"/>
              </w:rPr>
            </w:pPr>
            <w:r>
              <w:rPr>
                <w:rFonts w:ascii="Arial" w:cs="Arial" w:eastAsia="Arial" w:hAnsi="Arial"/>
                <w:sz w:val="19"/>
                <w:szCs w:val="19"/>
                <w:color w:val="auto"/>
              </w:rPr>
              <w:t>FMR LLC</w:t>
            </w:r>
            <w:r>
              <w:rPr>
                <w:rFonts w:ascii="Arial" w:cs="Arial" w:eastAsia="Arial" w:hAnsi="Arial"/>
                <w:sz w:val="10"/>
                <w:szCs w:val="10"/>
                <w:color w:val="auto"/>
              </w:rPr>
              <w:t>(4)</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6,467,166</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8.03%</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975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0" w:lineRule="exact"/>
        <w:rPr>
          <w:sz w:val="20"/>
          <w:szCs w:val="20"/>
          <w:color w:val="auto"/>
        </w:rPr>
      </w:pPr>
    </w:p>
    <w:p>
      <w:pPr>
        <w:ind w:left="280" w:hanging="200"/>
        <w:spacing w:after="0"/>
        <w:tabs>
          <w:tab w:leader="none" w:pos="280" w:val="left"/>
        </w:tabs>
        <w:numPr>
          <w:ilvl w:val="0"/>
          <w:numId w:val="63"/>
        </w:numPr>
        <w:rPr>
          <w:rFonts w:ascii="Arial" w:cs="Arial" w:eastAsia="Arial" w:hAnsi="Arial"/>
          <w:sz w:val="8"/>
          <w:szCs w:val="8"/>
          <w:color w:val="auto"/>
        </w:rPr>
      </w:pPr>
      <w:r>
        <w:rPr>
          <w:rFonts w:ascii="Arial" w:cs="Arial" w:eastAsia="Arial" w:hAnsi="Arial"/>
          <w:sz w:val="13"/>
          <w:szCs w:val="13"/>
          <w:color w:val="auto"/>
        </w:rPr>
        <w:t>By virtue of common shares held (a) directly, (b) indirectly through Blenheim Holdings Ltd., or “Blenheim Holdings”, in which Mr. Livanos has a majority ownership interest,</w:t>
      </w:r>
    </w:p>
    <w:p>
      <w:pPr>
        <w:spacing w:after="0" w:line="40" w:lineRule="exact"/>
        <w:rPr>
          <w:rFonts w:ascii="Arial" w:cs="Arial" w:eastAsia="Arial" w:hAnsi="Arial"/>
          <w:sz w:val="8"/>
          <w:szCs w:val="8"/>
          <w:color w:val="auto"/>
        </w:rPr>
      </w:pPr>
    </w:p>
    <w:p>
      <w:pPr>
        <w:ind w:left="280" w:right="60" w:hanging="2"/>
        <w:spacing w:after="0" w:line="261" w:lineRule="auto"/>
        <w:tabs>
          <w:tab w:leader="none" w:pos="495" w:val="left"/>
        </w:tabs>
        <w:numPr>
          <w:ilvl w:val="1"/>
          <w:numId w:val="63"/>
        </w:numPr>
        <w:rPr>
          <w:rFonts w:ascii="Arial" w:cs="Arial" w:eastAsia="Arial" w:hAnsi="Arial"/>
          <w:sz w:val="14"/>
          <w:szCs w:val="14"/>
          <w:color w:val="auto"/>
        </w:rPr>
      </w:pPr>
      <w:r>
        <w:rPr>
          <w:rFonts w:ascii="Arial" w:cs="Arial" w:eastAsia="Arial" w:hAnsi="Arial"/>
          <w:sz w:val="14"/>
          <w:szCs w:val="14"/>
          <w:color w:val="auto"/>
        </w:rPr>
        <w:t>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w:t>
      </w:r>
    </w:p>
    <w:p>
      <w:pPr>
        <w:ind w:left="540" w:hanging="262"/>
        <w:spacing w:after="0"/>
        <w:tabs>
          <w:tab w:leader="none" w:pos="5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Mr. Livanos can effectively control the Company through direct and indirect ownership</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7" w:name="page98"/>
    <w:bookmarkEnd w:id="97"/>
    <w:p>
      <w:pPr>
        <w:ind w:left="280" w:right="460"/>
        <w:spacing w:after="0" w:line="321" w:lineRule="auto"/>
        <w:rPr>
          <w:sz w:val="20"/>
          <w:szCs w:val="20"/>
          <w:color w:val="auto"/>
        </w:rPr>
      </w:pPr>
      <w:r>
        <w:rPr>
          <w:rFonts w:ascii="Arial" w:cs="Arial" w:eastAsia="Arial" w:hAnsi="Arial"/>
          <w:sz w:val="14"/>
          <w:szCs w:val="14"/>
          <w:color w:val="auto"/>
        </w:rPr>
        <w:t>interests. Mr. Livanos’s ownership interest changed in connection with the purchase by Blenheim Holdings of certain outstanding manager shares in January 2012, and a transfer by Blenheim Holdings of 657,090 shares to one of its minority shareholders in March 2014 in exchange for such shareholder’s interest in Blenheim Holdings.</w:t>
      </w:r>
    </w:p>
    <w:p>
      <w:pPr>
        <w:spacing w:after="0" w:line="15" w:lineRule="exact"/>
        <w:rPr>
          <w:sz w:val="20"/>
          <w:szCs w:val="20"/>
          <w:color w:val="auto"/>
        </w:rPr>
      </w:pPr>
    </w:p>
    <w:p>
      <w:pPr>
        <w:ind w:left="280" w:right="40" w:hanging="200"/>
        <w:spacing w:after="0"/>
        <w:tabs>
          <w:tab w:leader="none" w:pos="280" w:val="left"/>
        </w:tabs>
        <w:numPr>
          <w:ilvl w:val="0"/>
          <w:numId w:val="65"/>
        </w:numPr>
        <w:rPr>
          <w:rFonts w:ascii="Arial" w:cs="Arial" w:eastAsia="Arial" w:hAnsi="Arial"/>
          <w:sz w:val="9"/>
          <w:szCs w:val="9"/>
          <w:color w:val="auto"/>
        </w:rPr>
      </w:pPr>
      <w:r>
        <w:rPr>
          <w:rFonts w:ascii="Arial" w:cs="Arial" w:eastAsia="Arial" w:hAnsi="Arial"/>
          <w:sz w:val="16"/>
          <w:szCs w:val="16"/>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69" w:lineRule="exact"/>
        <w:rPr>
          <w:rFonts w:ascii="Arial" w:cs="Arial" w:eastAsia="Arial" w:hAnsi="Arial"/>
          <w:sz w:val="9"/>
          <w:szCs w:val="9"/>
          <w:color w:val="auto"/>
        </w:rPr>
      </w:pPr>
    </w:p>
    <w:p>
      <w:pPr>
        <w:ind w:left="280" w:right="640" w:hanging="200"/>
        <w:spacing w:after="0" w:line="283" w:lineRule="auto"/>
        <w:tabs>
          <w:tab w:leader="none" w:pos="280" w:val="left"/>
        </w:tabs>
        <w:numPr>
          <w:ilvl w:val="0"/>
          <w:numId w:val="65"/>
        </w:numPr>
        <w:rPr>
          <w:rFonts w:ascii="Arial" w:cs="Arial" w:eastAsia="Arial" w:hAnsi="Arial"/>
          <w:sz w:val="8"/>
          <w:szCs w:val="8"/>
          <w:color w:val="auto"/>
        </w:rPr>
      </w:pPr>
      <w:r>
        <w:rPr>
          <w:rFonts w:ascii="Arial" w:cs="Arial" w:eastAsia="Arial" w:hAnsi="Arial"/>
          <w:sz w:val="15"/>
          <w:szCs w:val="15"/>
          <w:color w:val="auto"/>
        </w:rPr>
        <w:t>Based on information contained in the Schedule 13G filed with the SEC on February 14, 2017, Fairview Capital Investment Management, LLC has shared voting and dispositive power over 5,230,953 common shares with Fairview Capital, Andrew F. Mathieson, Scott W. Clark, and Darlington Partners L.P.</w:t>
      </w:r>
    </w:p>
    <w:p>
      <w:pPr>
        <w:spacing w:after="0" w:line="38" w:lineRule="exact"/>
        <w:rPr>
          <w:rFonts w:ascii="Arial" w:cs="Arial" w:eastAsia="Arial" w:hAnsi="Arial"/>
          <w:sz w:val="8"/>
          <w:szCs w:val="8"/>
          <w:color w:val="auto"/>
        </w:rPr>
      </w:pPr>
    </w:p>
    <w:p>
      <w:pPr>
        <w:ind w:left="100" w:right="5140" w:hanging="20"/>
        <w:spacing w:after="0" w:line="365" w:lineRule="auto"/>
        <w:tabs>
          <w:tab w:leader="none" w:pos="274" w:val="left"/>
        </w:tabs>
        <w:numPr>
          <w:ilvl w:val="0"/>
          <w:numId w:val="65"/>
        </w:numPr>
        <w:rPr>
          <w:rFonts w:ascii="Arial" w:cs="Arial" w:eastAsia="Arial" w:hAnsi="Arial"/>
          <w:sz w:val="9"/>
          <w:szCs w:val="9"/>
          <w:color w:val="auto"/>
        </w:rPr>
      </w:pPr>
      <w:r>
        <w:rPr>
          <w:rFonts w:ascii="Arial" w:cs="Arial" w:eastAsia="Arial" w:hAnsi="Arial"/>
          <w:sz w:val="16"/>
          <w:szCs w:val="16"/>
          <w:color w:val="auto"/>
        </w:rPr>
        <w:t>Based on information contained in the Schedule 13G filed with the SEC on February 14, 2017. * Less than 1.0%.</w:t>
      </w:r>
    </w:p>
    <w:p>
      <w:pPr>
        <w:spacing w:after="0" w:line="1" w:lineRule="exact"/>
        <w:rPr>
          <w:sz w:val="20"/>
          <w:szCs w:val="20"/>
          <w:color w:val="auto"/>
        </w:rPr>
      </w:pPr>
    </w:p>
    <w:p>
      <w:pPr>
        <w:jc w:val="both"/>
        <w:ind w:right="280" w:firstLine="357"/>
        <w:spacing w:after="0" w:line="344" w:lineRule="auto"/>
        <w:rPr>
          <w:sz w:val="20"/>
          <w:szCs w:val="20"/>
          <w:color w:val="auto"/>
        </w:rPr>
      </w:pPr>
      <w:r>
        <w:rPr>
          <w:rFonts w:ascii="Arial" w:cs="Arial" w:eastAsia="Arial" w:hAnsi="Arial"/>
          <w:sz w:val="17"/>
          <w:szCs w:val="17"/>
          <w:color w:val="auto"/>
        </w:rPr>
        <w:t>In March 2012, we completed a registered public offering of our common shares and our common shares began trading on the NYSE. Our major shareholders have the same voting rights as our other shareholders. As of February 17, 2017, we had approximately 11,674 shareholders.</w:t>
      </w:r>
    </w:p>
    <w:p>
      <w:pPr>
        <w:spacing w:after="0" w:line="7" w:lineRule="exact"/>
        <w:rPr>
          <w:sz w:val="20"/>
          <w:szCs w:val="20"/>
          <w:color w:val="auto"/>
        </w:rPr>
      </w:pPr>
    </w:p>
    <w:p>
      <w:pPr>
        <w:ind w:right="140" w:firstLine="357"/>
        <w:spacing w:after="0" w:line="270" w:lineRule="auto"/>
        <w:rPr>
          <w:sz w:val="20"/>
          <w:szCs w:val="20"/>
          <w:color w:val="auto"/>
        </w:rPr>
      </w:pPr>
      <w:r>
        <w:rPr>
          <w:rFonts w:ascii="Arial" w:cs="Arial" w:eastAsia="Arial" w:hAnsi="Arial"/>
          <w:sz w:val="18"/>
          <w:szCs w:val="18"/>
          <w:color w:val="auto"/>
        </w:rPr>
        <w:t>Holders of our Preference Shares generally have no voting rights except (i) in respect of amendments to the Memorandum of Association which would adversely vary the rights of the Preference Shares or,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Related Party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Relationship with GasLog Partners</w:t>
      </w:r>
    </w:p>
    <w:p>
      <w:pPr>
        <w:spacing w:after="0" w:line="125"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GasLog Partners was formed by us in January 2014 to own, operate and acquire LNG carriers engaged in LNG transportation under long-term charters, which we define as charters of five full years or more. In May 2014, the Partnership completed its initial public offering and its common units began trading on the NYSE. The Partnership conducts its operations through its vessel-owning subsidiaries and as of February 27, 2017, had a fleet of nine LNG carriers. As of February 27, 2017, we hold a 27.57%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Quarterly Cash Dividends</w:t>
      </w:r>
    </w:p>
    <w:p>
      <w:pPr>
        <w:spacing w:after="0" w:line="119" w:lineRule="exact"/>
        <w:rPr>
          <w:sz w:val="20"/>
          <w:szCs w:val="20"/>
          <w:color w:val="auto"/>
        </w:rPr>
      </w:pPr>
    </w:p>
    <w:p>
      <w:pPr>
        <w:ind w:right="200" w:firstLine="357"/>
        <w:spacing w:after="0" w:line="297" w:lineRule="auto"/>
        <w:rPr>
          <w:sz w:val="20"/>
          <w:szCs w:val="20"/>
          <w:color w:val="auto"/>
        </w:rPr>
      </w:pPr>
      <w:r>
        <w:rPr>
          <w:rFonts w:ascii="Arial" w:cs="Arial" w:eastAsia="Arial" w:hAnsi="Arial"/>
          <w:sz w:val="17"/>
          <w:szCs w:val="17"/>
          <w:color w:val="auto"/>
        </w:rPr>
        <w:t>We are entitled to distributions on our general and limited partner interests in GasLog Partners. These interests consist of common units, subordinated units, incentive distribution rights and general partner interests. Under the Partnership Agreement, during the subordination period, the holders of the common units will have the right to receive distributions of available cash from operating surplus in an amount equal to the minimum quarterly distribution of $0.375 per unit per quarter, plus any arrearages in the payment of minimum quarterly distribution on the common units from prior quarters, before any distributions of available cash from operating surplus may be made on the subordinated units.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98" w:name="page99"/>
    <w:bookmarkEnd w:id="98"/>
    <w:p>
      <w:pPr>
        <w:ind w:right="280" w:firstLine="357"/>
        <w:spacing w:after="0" w:line="283" w:lineRule="auto"/>
        <w:rPr>
          <w:sz w:val="20"/>
          <w:szCs w:val="20"/>
          <w:color w:val="auto"/>
        </w:rPr>
      </w:pPr>
      <w:r>
        <w:rPr>
          <w:rFonts w:ascii="Arial" w:cs="Arial" w:eastAsia="Arial" w:hAnsi="Arial"/>
          <w:sz w:val="19"/>
          <w:szCs w:val="19"/>
          <w:color w:val="auto"/>
        </w:rPr>
        <w:t>The amount of the minimum quarterly distribution is $0.375 per unit or $1.50 per unit on an annualized basis and is made in the following manner, during the subordination period:</w:t>
      </w:r>
    </w:p>
    <w:p>
      <w:pPr>
        <w:spacing w:after="0" w:line="38" w:lineRule="exact"/>
        <w:rPr>
          <w:sz w:val="20"/>
          <w:szCs w:val="20"/>
          <w:color w:val="auto"/>
        </w:rPr>
      </w:pPr>
    </w:p>
    <w:p>
      <w:pPr>
        <w:ind w:left="54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first, 98.0% to the common unitholders, pro rata, and 2.0% to the general partner until each common unit has received a minimum quarterly distribution of $0.375;</w:t>
      </w:r>
    </w:p>
    <w:p>
      <w:pPr>
        <w:spacing w:after="0" w:line="38"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second, 98.0% to the common unitholders, pro rata, and 2.0% to the general partner, until each common unit has received an amount equal to any arrearages in payment of the minimum quarterly distribution on the common units for prior quarters during the subordination period; and</w:t>
      </w:r>
    </w:p>
    <w:p>
      <w:pPr>
        <w:spacing w:after="0" w:line="54" w:lineRule="exact"/>
        <w:rPr>
          <w:rFonts w:ascii="Arial" w:cs="Arial" w:eastAsia="Arial" w:hAnsi="Arial"/>
          <w:sz w:val="19"/>
          <w:szCs w:val="19"/>
          <w:color w:val="auto"/>
        </w:rPr>
      </w:pPr>
    </w:p>
    <w:p>
      <w:pPr>
        <w:ind w:left="540" w:right="52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third, 98.0% to the holders of subordinated units, pro rata, and 2.0% to the general partner until each subordinated unit has received a minimum quarterly distribution of $0.375.</w:t>
      </w:r>
    </w:p>
    <w:p>
      <w:pPr>
        <w:spacing w:after="0" w:line="52"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We currently hold all of the incentive distribution rights in GasLog Partners. Incentive distribution rights represent the right to receive an increasing percentage of quarterly distributions of available cash from operating surplus after the minimum quarterly distribution and the target distribution levels have been achieved.</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for any quarter:</w:t>
      </w:r>
    </w:p>
    <w:p>
      <w:pPr>
        <w:spacing w:after="0" w:line="92" w:lineRule="exact"/>
        <w:rPr>
          <w:sz w:val="20"/>
          <w:szCs w:val="20"/>
          <w:color w:val="auto"/>
        </w:rPr>
      </w:pPr>
    </w:p>
    <w:p>
      <w:pPr>
        <w:ind w:left="540" w:right="16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GasLog Partners has distributed available cash from operating surplus to the common and subordinated unitholders in an amount equal to the minimum quarterly distribution; and</w:t>
      </w:r>
    </w:p>
    <w:p>
      <w:pPr>
        <w:spacing w:after="0" w:line="38"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GasLog Partners has distributed available cash from operating surplus on outstanding common units in an amount necessary to eliminate any cumulative arrearages in payment of the minimum quarterly distribution;</w:t>
      </w:r>
    </w:p>
    <w:p>
      <w:pPr>
        <w:spacing w:after="0" w:line="52" w:lineRule="exact"/>
        <w:rPr>
          <w:sz w:val="20"/>
          <w:szCs w:val="20"/>
          <w:color w:val="auto"/>
        </w:rPr>
      </w:pPr>
    </w:p>
    <w:p>
      <w:pPr>
        <w:ind w:right="180"/>
        <w:spacing w:after="0" w:line="283" w:lineRule="auto"/>
        <w:rPr>
          <w:sz w:val="20"/>
          <w:szCs w:val="20"/>
          <w:color w:val="auto"/>
        </w:rPr>
      </w:pPr>
      <w:r>
        <w:rPr>
          <w:rFonts w:ascii="Arial" w:cs="Arial" w:eastAsia="Arial" w:hAnsi="Arial"/>
          <w:sz w:val="19"/>
          <w:szCs w:val="19"/>
          <w:color w:val="auto"/>
        </w:rPr>
        <w:t>then, GasLog Partners will distribute any additional available cash from operating surplus for that quarter among the unitholders and the general partner in the following manner:</w:t>
      </w:r>
    </w:p>
    <w:p>
      <w:pPr>
        <w:spacing w:after="0" w:line="38" w:lineRule="exact"/>
        <w:rPr>
          <w:sz w:val="20"/>
          <w:szCs w:val="20"/>
          <w:color w:val="auto"/>
        </w:rPr>
      </w:pPr>
    </w:p>
    <w:p>
      <w:pPr>
        <w:ind w:left="540" w:right="20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first, 98.0% to all unitholders, pro rata, and 2.0% to the general partner, until each unitholder receives a total of $0.43125 per unit for that quarter;</w:t>
      </w:r>
    </w:p>
    <w:p>
      <w:pPr>
        <w:spacing w:after="0" w:line="38"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second, 85.0% to all unitholders, pro rata, 2.0% to the general partner and 13.0% to the holders of the incentive distribution rights, pro rata, until each unitholder receives a total of $0.46875 per unit for that quarter;</w:t>
      </w:r>
    </w:p>
    <w:p>
      <w:pPr>
        <w:spacing w:after="0" w:line="38"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third, 75.0% to all unitholders, pro rata, 2.0% to the general partner and 23.0% to the holders of the incentive distribution rights, pro rata, until each unitholder receives a total of $0.5625 per unit for that quarter; and</w:t>
      </w:r>
    </w:p>
    <w:p>
      <w:pPr>
        <w:spacing w:after="0" w:line="38"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thereafter, 50.0% to all unitholders, pro rata, 2.0% to the general partner and 48.0% to the holders of the incentive distribution rights, pro rata.</w:t>
      </w:r>
    </w:p>
    <w:p>
      <w:pPr>
        <w:spacing w:after="0" w:line="52"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the general partner maintains its 2.0% general partner interest and that the Partnership does not issue additional classes of equity securities.</w:t>
      </w:r>
    </w:p>
    <w:p>
      <w:pPr>
        <w:spacing w:after="0" w:line="4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received total distributions from GasLog Partners of $21.53 million in 2016.</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Agreement</w:t>
      </w:r>
    </w:p>
    <w:p>
      <w:pPr>
        <w:spacing w:after="0" w:line="119"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On May 12, 2014, we entered into an omnibus agreement with GasLog Partners and certain of its subsidiaries. The following discussion describes certain provisions of the omnibus agreement.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99" w:name="page100"/>
    <w:bookmarkEnd w:id="99"/>
    <w:p>
      <w:pPr>
        <w:ind w:left="360"/>
        <w:spacing w:after="0"/>
        <w:rPr>
          <w:sz w:val="20"/>
          <w:szCs w:val="20"/>
          <w:color w:val="auto"/>
        </w:rPr>
      </w:pPr>
      <w:r>
        <w:rPr>
          <w:rFonts w:ascii="Arial" w:cs="Arial" w:eastAsia="Arial" w:hAnsi="Arial"/>
          <w:sz w:val="19"/>
          <w:szCs w:val="19"/>
          <w:i w:val="1"/>
          <w:iCs w:val="1"/>
          <w:color w:val="auto"/>
        </w:rPr>
        <w:t>Noncompetition; Five-Year Vessel Restricted Business Opportunities</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For purposes of this section, we refer to these vessels, together with any related charters, as “Five-Year Vessels” and to all other LNG carriers, together with any related charters, as “Non-Five-Year Vessels”. In the event that we acquire, operate or put under charter a Five-Year Vessel, then we will be required, within 30 calendar days after the consummation of the acquisition or the commencement of the operations or charter, to notify GasLog Partners and offer it the opportunity to purchase such Five-Year Vessel at fair market value. The restrictions in this paragraph will not prevent us or any of our controlled affiliates (other than GasLog Partners and its subsidiaries) from:</w:t>
      </w:r>
    </w:p>
    <w:p>
      <w:pPr>
        <w:spacing w:after="0" w:line="67" w:lineRule="exact"/>
        <w:rPr>
          <w:sz w:val="20"/>
          <w:szCs w:val="20"/>
          <w:color w:val="auto"/>
        </w:rPr>
      </w:pPr>
    </w:p>
    <w:p>
      <w:pPr>
        <w:ind w:left="780" w:hanging="323"/>
        <w:spacing w:after="0"/>
        <w:tabs>
          <w:tab w:leader="none" w:pos="7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acquiring, owning, operating or chartering Non-Five-Year Vessels;</w:t>
      </w:r>
    </w:p>
    <w:p>
      <w:pPr>
        <w:spacing w:after="0" w:line="92" w:lineRule="exact"/>
        <w:rPr>
          <w:rFonts w:ascii="Arial" w:cs="Arial" w:eastAsia="Arial" w:hAnsi="Arial"/>
          <w:sz w:val="19"/>
          <w:szCs w:val="19"/>
          <w:color w:val="auto"/>
        </w:rPr>
      </w:pPr>
    </w:p>
    <w:p>
      <w:pPr>
        <w:ind w:left="780" w:right="140" w:hanging="323"/>
        <w:spacing w:after="0" w:line="267" w:lineRule="auto"/>
        <w:tabs>
          <w:tab w:leader="none" w:pos="7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54" w:lineRule="exact"/>
        <w:rPr>
          <w:rFonts w:ascii="Arial" w:cs="Arial" w:eastAsia="Arial" w:hAnsi="Arial"/>
          <w:sz w:val="19"/>
          <w:szCs w:val="19"/>
          <w:color w:val="auto"/>
        </w:rPr>
      </w:pPr>
    </w:p>
    <w:p>
      <w:pPr>
        <w:jc w:val="both"/>
        <w:ind w:left="780" w:right="120" w:hanging="323"/>
        <w:spacing w:after="0" w:line="267" w:lineRule="auto"/>
        <w:tabs>
          <w:tab w:leader="none" w:pos="7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putting a Non-Five-Year Vessel under charter for five full years or more if we offer to sell the vessel to GasLog Partners for fair market value (x) promptly after the time it becomes a Five-Year Vessel and (y) at each renewal or extension of that charter for five full years or more;</w:t>
      </w:r>
    </w:p>
    <w:p>
      <w:pPr>
        <w:spacing w:after="0" w:line="54" w:lineRule="exact"/>
        <w:rPr>
          <w:rFonts w:ascii="Arial" w:cs="Arial" w:eastAsia="Arial" w:hAnsi="Arial"/>
          <w:sz w:val="19"/>
          <w:szCs w:val="19"/>
          <w:color w:val="auto"/>
        </w:rPr>
      </w:pPr>
    </w:p>
    <w:p>
      <w:pPr>
        <w:ind w:left="780" w:right="20" w:hanging="323"/>
        <w:spacing w:after="0" w:line="283" w:lineRule="auto"/>
        <w:tabs>
          <w:tab w:leader="none" w:pos="7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acquiring one or more Five-Year Vessels as part of the acquisition of a controlling interest in a business or package of assets and owning, operating or chartering those vessels; provided, however, that:</w:t>
      </w:r>
    </w:p>
    <w:p>
      <w:pPr>
        <w:spacing w:after="0" w:line="38" w:lineRule="exact"/>
        <w:rPr>
          <w:rFonts w:ascii="Arial" w:cs="Arial" w:eastAsia="Arial" w:hAnsi="Arial"/>
          <w:sz w:val="19"/>
          <w:szCs w:val="19"/>
          <w:color w:val="auto"/>
        </w:rPr>
      </w:pPr>
    </w:p>
    <w:p>
      <w:pPr>
        <w:ind w:left="1160" w:right="20" w:hanging="314"/>
        <w:spacing w:after="0" w:line="262" w:lineRule="auto"/>
        <w:tabs>
          <w:tab w:leader="none" w:pos="1160" w:val="left"/>
        </w:tabs>
        <w:numPr>
          <w:ilvl w:val="2"/>
          <w:numId w:val="69"/>
        </w:numPr>
        <w:rPr>
          <w:rFonts w:ascii="Arial" w:cs="Arial" w:eastAsia="Arial" w:hAnsi="Arial"/>
          <w:sz w:val="19"/>
          <w:szCs w:val="19"/>
          <w:color w:val="auto"/>
        </w:rPr>
      </w:pPr>
      <w:r>
        <w:rPr>
          <w:rFonts w:ascii="Arial" w:cs="Arial" w:eastAsia="Arial" w:hAnsi="Arial"/>
          <w:sz w:val="19"/>
          <w:szCs w:val="19"/>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58" w:lineRule="exact"/>
        <w:rPr>
          <w:rFonts w:ascii="Arial" w:cs="Arial" w:eastAsia="Arial" w:hAnsi="Arial"/>
          <w:sz w:val="19"/>
          <w:szCs w:val="19"/>
          <w:color w:val="auto"/>
        </w:rPr>
      </w:pPr>
    </w:p>
    <w:p>
      <w:pPr>
        <w:jc w:val="both"/>
        <w:ind w:left="1160" w:right="20" w:hanging="325"/>
        <w:spacing w:after="0" w:line="297" w:lineRule="auto"/>
        <w:tabs>
          <w:tab w:leader="none" w:pos="1160" w:val="left"/>
        </w:tabs>
        <w:numPr>
          <w:ilvl w:val="2"/>
          <w:numId w:val="69"/>
        </w:numPr>
        <w:rPr>
          <w:rFonts w:ascii="Arial" w:cs="Arial" w:eastAsia="Arial" w:hAnsi="Arial"/>
          <w:sz w:val="17"/>
          <w:szCs w:val="17"/>
          <w:color w:val="auto"/>
        </w:rPr>
      </w:pPr>
      <w:r>
        <w:rPr>
          <w:rFonts w:ascii="Arial" w:cs="Arial" w:eastAsia="Arial" w:hAnsi="Arial"/>
          <w:sz w:val="17"/>
          <w:szCs w:val="17"/>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32" w:lineRule="exact"/>
        <w:rPr>
          <w:rFonts w:ascii="Arial" w:cs="Arial" w:eastAsia="Arial" w:hAnsi="Arial"/>
          <w:sz w:val="17"/>
          <w:szCs w:val="17"/>
          <w:color w:val="auto"/>
        </w:rPr>
      </w:pPr>
    </w:p>
    <w:p>
      <w:pPr>
        <w:ind w:left="900" w:hanging="321"/>
        <w:spacing w:after="0"/>
        <w:tabs>
          <w:tab w:leader="none" w:pos="9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acquiring a non-controlling equity ownership, voting or profit participation interest in any company, business or pool of assets;</w:t>
      </w:r>
    </w:p>
    <w:p>
      <w:pPr>
        <w:spacing w:after="0" w:line="105" w:lineRule="exact"/>
        <w:rPr>
          <w:rFonts w:ascii="Arial" w:cs="Arial" w:eastAsia="Arial" w:hAnsi="Arial"/>
          <w:sz w:val="19"/>
          <w:szCs w:val="19"/>
          <w:color w:val="auto"/>
        </w:rPr>
      </w:pPr>
    </w:p>
    <w:p>
      <w:pPr>
        <w:ind w:left="900" w:right="440" w:hanging="321"/>
        <w:spacing w:after="0" w:line="283" w:lineRule="auto"/>
        <w:tabs>
          <w:tab w:leader="none" w:pos="9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acquiring, owning, operating or chartering any Five-Year Vessel if GasLog Partners does not fulfill its obligation to purchase such vessel in accordance with the terms of any existing or future agreement;</w:t>
      </w:r>
    </w:p>
    <w:p>
      <w:pPr>
        <w:spacing w:after="0" w:line="38" w:lineRule="exact"/>
        <w:rPr>
          <w:rFonts w:ascii="Arial" w:cs="Arial" w:eastAsia="Arial" w:hAnsi="Arial"/>
          <w:sz w:val="19"/>
          <w:szCs w:val="19"/>
          <w:color w:val="auto"/>
        </w:rPr>
      </w:pPr>
    </w:p>
    <w:p>
      <w:pPr>
        <w:ind w:left="900" w:right="120" w:hanging="321"/>
        <w:spacing w:after="0" w:line="312"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GasLog Partners described in paragraphs (2), (3) and (4) above pending its determination whether to accept such offers and pending the closing of any offers it accepts;</w:t>
      </w:r>
    </w:p>
    <w:p>
      <w:pPr>
        <w:spacing w:after="0" w:line="15" w:lineRule="exact"/>
        <w:rPr>
          <w:rFonts w:ascii="Arial" w:cs="Arial" w:eastAsia="Arial" w:hAnsi="Arial"/>
          <w:sz w:val="18"/>
          <w:szCs w:val="18"/>
          <w:color w:val="auto"/>
        </w:rPr>
      </w:pPr>
    </w:p>
    <w:p>
      <w:pPr>
        <w:ind w:left="900" w:hanging="321"/>
        <w:spacing w:after="0"/>
        <w:tabs>
          <w:tab w:leader="none" w:pos="9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providing ship management services relating to any vessel;</w:t>
      </w:r>
    </w:p>
    <w:p>
      <w:pPr>
        <w:spacing w:after="0" w:line="105" w:lineRule="exact"/>
        <w:rPr>
          <w:rFonts w:ascii="Arial" w:cs="Arial" w:eastAsia="Arial" w:hAnsi="Arial"/>
          <w:sz w:val="19"/>
          <w:szCs w:val="19"/>
          <w:color w:val="auto"/>
        </w:rPr>
      </w:pPr>
    </w:p>
    <w:p>
      <w:pPr>
        <w:ind w:left="900" w:right="100" w:hanging="321"/>
        <w:spacing w:after="0" w:line="283" w:lineRule="auto"/>
        <w:tabs>
          <w:tab w:leader="none" w:pos="9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owning or operating any Five-Year Vessel that we owned on the closing date of GasLog Partners’ IPO and that was not part of its fleet as of such date; or</w:t>
      </w:r>
    </w:p>
    <w:p>
      <w:pPr>
        <w:spacing w:after="0" w:line="38" w:lineRule="exact"/>
        <w:rPr>
          <w:rFonts w:ascii="Arial" w:cs="Arial" w:eastAsia="Arial" w:hAnsi="Arial"/>
          <w:sz w:val="19"/>
          <w:szCs w:val="19"/>
          <w:color w:val="auto"/>
        </w:rPr>
      </w:pPr>
    </w:p>
    <w:p>
      <w:pPr>
        <w:ind w:left="900" w:right="380" w:hanging="418"/>
        <w:spacing w:after="0" w:line="283" w:lineRule="auto"/>
        <w:tabs>
          <w:tab w:leader="none" w:pos="9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acquiring, owning, operating or chartering a Five-Year Vessel if GasLog Partners has previously advised us that it consents to such acquisition, ownership, operation or charter.</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00" w:name="page101"/>
    <w:bookmarkEnd w:id="100"/>
    <w:p>
      <w:pPr>
        <w:ind w:firstLine="357"/>
        <w:spacing w:after="0" w:line="313" w:lineRule="auto"/>
        <w:rPr>
          <w:sz w:val="20"/>
          <w:szCs w:val="20"/>
          <w:color w:val="auto"/>
        </w:rPr>
      </w:pPr>
      <w:r>
        <w:rPr>
          <w:rFonts w:ascii="Arial" w:cs="Arial" w:eastAsia="Arial" w:hAnsi="Arial"/>
          <w:sz w:val="17"/>
          <w:szCs w:val="17"/>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32"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In addition, under the omnibus agreement GasLog Partners has agreed, and has caused its subsidiaries to agree, to acquire, own, operate or charter Five-Year Vessels only. The restrictions in this paragraph will not:</w:t>
      </w:r>
    </w:p>
    <w:p>
      <w:pPr>
        <w:spacing w:after="0" w:line="38" w:lineRule="exact"/>
        <w:rPr>
          <w:sz w:val="20"/>
          <w:szCs w:val="20"/>
          <w:color w:val="auto"/>
        </w:rPr>
      </w:pPr>
    </w:p>
    <w:p>
      <w:pPr>
        <w:ind w:left="780" w:right="40" w:hanging="323"/>
        <w:spacing w:after="0" w:line="283" w:lineRule="auto"/>
        <w:tabs>
          <w:tab w:leader="none" w:pos="7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prevent GasLog Partners or any of its subsidiaries from owning, operating or chartering any Non-Five-Year Vessel that was previously a Five-Year Vessel while owned by GasLog Partners or any of its subsidiaries;</w:t>
      </w:r>
    </w:p>
    <w:p>
      <w:pPr>
        <w:spacing w:after="0" w:line="24" w:lineRule="exact"/>
        <w:rPr>
          <w:rFonts w:ascii="Arial" w:cs="Arial" w:eastAsia="Arial" w:hAnsi="Arial"/>
          <w:sz w:val="19"/>
          <w:szCs w:val="19"/>
          <w:color w:val="auto"/>
        </w:rPr>
      </w:pPr>
    </w:p>
    <w:p>
      <w:pPr>
        <w:ind w:left="780" w:right="520" w:hanging="323"/>
        <w:spacing w:after="0" w:line="339" w:lineRule="auto"/>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1" w:lineRule="exact"/>
        <w:rPr>
          <w:rFonts w:ascii="Arial" w:cs="Arial" w:eastAsia="Arial" w:hAnsi="Arial"/>
          <w:sz w:val="17"/>
          <w:szCs w:val="17"/>
          <w:color w:val="auto"/>
        </w:rPr>
      </w:pPr>
    </w:p>
    <w:p>
      <w:pPr>
        <w:ind w:left="1160" w:right="20" w:hanging="314"/>
        <w:spacing w:after="0" w:line="262" w:lineRule="auto"/>
        <w:tabs>
          <w:tab w:leader="none" w:pos="11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58" w:lineRule="exact"/>
        <w:rPr>
          <w:rFonts w:ascii="Arial" w:cs="Arial" w:eastAsia="Arial" w:hAnsi="Arial"/>
          <w:sz w:val="19"/>
          <w:szCs w:val="19"/>
          <w:color w:val="auto"/>
        </w:rPr>
      </w:pPr>
    </w:p>
    <w:p>
      <w:pPr>
        <w:ind w:left="1160" w:hanging="325"/>
        <w:spacing w:after="0" w:line="258" w:lineRule="auto"/>
        <w:tabs>
          <w:tab w:leader="none" w:pos="11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a majority or more of the value of the business or assets acquired is attributable to Non-Five-Year Vessels, as determined in good faith by GasLog Partners, the Partnership 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62" w:lineRule="exact"/>
        <w:rPr>
          <w:rFonts w:ascii="Arial" w:cs="Arial" w:eastAsia="Arial" w:hAnsi="Arial"/>
          <w:sz w:val="19"/>
          <w:szCs w:val="19"/>
          <w:color w:val="auto"/>
        </w:rPr>
      </w:pPr>
    </w:p>
    <w:p>
      <w:pPr>
        <w:ind w:left="780" w:right="40" w:hanging="323"/>
        <w:spacing w:after="0" w:line="267" w:lineRule="auto"/>
        <w:tabs>
          <w:tab w:leader="none" w:pos="7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54" w:lineRule="exact"/>
        <w:rPr>
          <w:rFonts w:ascii="Arial" w:cs="Arial" w:eastAsia="Arial" w:hAnsi="Arial"/>
          <w:sz w:val="19"/>
          <w:szCs w:val="19"/>
          <w:color w:val="auto"/>
        </w:rPr>
      </w:pPr>
    </w:p>
    <w:p>
      <w:pPr>
        <w:ind w:left="780" w:right="300" w:hanging="323"/>
        <w:spacing w:after="0" w:line="283" w:lineRule="auto"/>
        <w:tabs>
          <w:tab w:leader="none" w:pos="7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52" w:lineRule="exact"/>
        <w:rPr>
          <w:sz w:val="20"/>
          <w:szCs w:val="20"/>
          <w:color w:val="auto"/>
        </w:rPr>
      </w:pPr>
    </w:p>
    <w:p>
      <w:pPr>
        <w:ind w:right="340" w:firstLine="357"/>
        <w:spacing w:after="0" w:line="267" w:lineRule="auto"/>
        <w:rPr>
          <w:sz w:val="20"/>
          <w:szCs w:val="20"/>
          <w:color w:val="auto"/>
        </w:rPr>
      </w:pPr>
      <w:r>
        <w:rPr>
          <w:rFonts w:ascii="Arial" w:cs="Arial" w:eastAsia="Arial" w:hAnsi="Arial"/>
          <w:sz w:val="19"/>
          <w:szCs w:val="19"/>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68"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owned and operated by us immediately prior to the Partnership’s acquisition of such vessels. See “—Indemnification”.</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at the time that is the later of the date of the change of control and the date on which all of our outstanding subordinated units have converted to common units.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LNG Carrier Purchase Options</w:t>
      </w:r>
    </w:p>
    <w:p>
      <w:pPr>
        <w:spacing w:after="0" w:line="119"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 xml:space="preserve">Under the omnibus agreement, GasLog Partners has the option to purchase from us: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andthe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Glasgow</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within 36 months after we notify the Partnership’s board of directors of the vessel’s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acceptance by her charterer, (ii)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within 36 months after the closing of our IPO on May 12, 2014 which option will expire in May 2017 if not extended, and (iii) as provided for under the addendum to the omnibus agreement dated April 21, 2015 among GasLog, GasLog Partners, the general partner and GasLog Partners Holdings LLC,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right to acquire GAS-twenty six Ltd. with its long-term bareboat charter of (and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within 36 months after the completion of their acquisition by GasLog on March 31, 2015. In addition, on April 21, 2015, we signed an agreement with MSL for newbuildings Hull Nos. 2130, 2800 and 2131 to be chartered to MSL upon deliveries in 2018 and 2019 respectively, for average initial terms of approximately 9.5 years. Within 30 days of the commencement of each charter, we will be required to offer GasLog Partners an opportunity to purchase each vessel at fair market value as determined pursuant to the omnibus agreement.</w:t>
      </w:r>
    </w:p>
    <w:p>
      <w:pPr>
        <w:spacing w:after="0" w:line="53"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On July 11, 2016, we signed an agreement with Total for newbuilding Hull No. 2801 to be chartered to Total upon delivery in 2018 for an initial term of seven years. Within 30 days of the commencement of the charter, we will be required to offer GasLog Partners the opportunity to purchase the vessel at fair market value as determined pursuant to the omnibus agreement.</w:t>
      </w:r>
    </w:p>
    <w:p>
      <w:pPr>
        <w:spacing w:after="0" w:line="68" w:lineRule="exact"/>
        <w:rPr>
          <w:sz w:val="20"/>
          <w:szCs w:val="20"/>
          <w:color w:val="auto"/>
        </w:rPr>
      </w:pPr>
    </w:p>
    <w:p>
      <w:pPr>
        <w:ind w:right="320" w:firstLine="357"/>
        <w:spacing w:after="0" w:line="289" w:lineRule="auto"/>
        <w:rPr>
          <w:sz w:val="20"/>
          <w:szCs w:val="20"/>
          <w:color w:val="auto"/>
        </w:rPr>
      </w:pPr>
      <w:r>
        <w:rPr>
          <w:rFonts w:ascii="Arial" w:cs="Arial" w:eastAsia="Arial" w:hAnsi="Arial"/>
          <w:sz w:val="18"/>
          <w:szCs w:val="18"/>
          <w:color w:val="auto"/>
        </w:rPr>
        <w:t>Furthermore, on October 20, 2016, we signed an agreement with Centrica for newbuilding Hull No. 2212 to be chartered to Centrica upon delivery in 2019 for an initial term of seven years. Within 30 days of the commencement of the charter, we will be required to offer GasLog Partners the opportunity to purchase the vessel at fair market value as determined pursuant to the omnibus agreement.</w:t>
      </w:r>
    </w:p>
    <w:p>
      <w:pPr>
        <w:spacing w:after="0" w:line="4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In each case, 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76"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i w:val="1"/>
          <w:iCs w:val="1"/>
          <w:color w:val="auto"/>
        </w:rPr>
        <w:t>Rights of First Offer</w:t>
      </w:r>
    </w:p>
    <w:p>
      <w:pPr>
        <w:spacing w:after="0" w:line="119"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46"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77"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at the time that is the later of the date of the change of control and the date on which all of GasLog Partners’ outstanding subordinated units have converted to common units. On the date on which a majority of GasLog Partners’ directors ceases to consist of directors that were (i) appointed by the Partnership’s general partner prior to its first annual meeting of unitholders and (ii) recommended for election by a majority of the Partnership’s appointed directors, the provisions related to the rights of first offer granted to the Partnership by us shall terminate immediately.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omnibus agreement, a “change of control” means, with respect to any “applicable person”, any of the following events:</w:t>
      </w:r>
    </w:p>
    <w:p>
      <w:pPr>
        <w:spacing w:after="0" w:line="39" w:lineRule="exact"/>
        <w:rPr>
          <w:sz w:val="20"/>
          <w:szCs w:val="20"/>
          <w:color w:val="auto"/>
        </w:rPr>
      </w:pPr>
    </w:p>
    <w:p>
      <w:pPr>
        <w:ind w:right="80" w:firstLine="8"/>
        <w:spacing w:after="0" w:line="268" w:lineRule="auto"/>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Indemnification</w:t>
      </w:r>
    </w:p>
    <w:p>
      <w:pPr>
        <w:spacing w:after="0" w:line="119" w:lineRule="exact"/>
        <w:rPr>
          <w:sz w:val="20"/>
          <w:szCs w:val="20"/>
          <w:color w:val="auto"/>
        </w:rPr>
      </w:pPr>
    </w:p>
    <w:p>
      <w:pPr>
        <w:ind w:right="740" w:firstLine="357"/>
        <w:spacing w:after="0" w:line="283" w:lineRule="auto"/>
        <w:rPr>
          <w:sz w:val="20"/>
          <w:szCs w:val="20"/>
          <w:color w:val="auto"/>
        </w:rPr>
      </w:pPr>
      <w:r>
        <w:rPr>
          <w:rFonts w:ascii="Arial" w:cs="Arial" w:eastAsia="Arial" w:hAnsi="Arial"/>
          <w:sz w:val="19"/>
          <w:szCs w:val="19"/>
          <w:color w:val="auto"/>
        </w:rPr>
        <w:t>Under the omnibus agreement, we will indemnify GasLog Partners after the closing of its IPO for a period of five years (and we will indemnify the Partnership for a period of at least three years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03" w:name="page104"/>
    <w:bookmarkEnd w:id="103"/>
    <w:p>
      <w:pPr>
        <w:spacing w:after="0" w:line="258" w:lineRule="auto"/>
        <w:rPr>
          <w:sz w:val="20"/>
          <w:szCs w:val="20"/>
          <w:color w:val="auto"/>
        </w:rPr>
      </w:pPr>
      <w:r>
        <w:rPr>
          <w:rFonts w:ascii="Arial" w:cs="Arial" w:eastAsia="Arial" w:hAnsi="Arial"/>
          <w:sz w:val="19"/>
          <w:szCs w:val="19"/>
          <w:color w:val="auto"/>
        </w:rPr>
        <w:t>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 million on the amount of indemnity coverage provided by us for environmental and toxic tort liabilities. No claim may be made unless the aggregate dollar amount of all claims exceeds $500,000, in which case we are liable for claims only to the extent such aggregate amount exceeds $500,000.</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also indemnify GasLog Partners for liabilities related to:</w:t>
      </w:r>
    </w:p>
    <w:p>
      <w:pPr>
        <w:spacing w:after="0" w:line="106" w:lineRule="exact"/>
        <w:rPr>
          <w:sz w:val="20"/>
          <w:szCs w:val="20"/>
          <w:color w:val="auto"/>
        </w:rPr>
      </w:pPr>
    </w:p>
    <w:p>
      <w:pPr>
        <w:jc w:val="both"/>
        <w:ind w:left="540" w:right="200" w:hanging="168"/>
        <w:spacing w:after="0" w:line="267"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40"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certain tax liabilities attributable to the operation of the assets contributed or sold to the Partnership prior to the time they were contributed or sold.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Restrictive Covenant Agreement</w:t>
      </w:r>
    </w:p>
    <w:p>
      <w:pPr>
        <w:spacing w:after="0" w:line="125" w:lineRule="exact"/>
        <w:rPr>
          <w:sz w:val="20"/>
          <w:szCs w:val="20"/>
          <w:color w:val="auto"/>
        </w:rPr>
      </w:pPr>
    </w:p>
    <w:p>
      <w:pPr>
        <w:ind w:right="60" w:firstLine="357"/>
        <w:spacing w:after="0" w:line="313" w:lineRule="auto"/>
        <w:rPr>
          <w:sz w:val="20"/>
          <w:szCs w:val="20"/>
          <w:color w:val="auto"/>
        </w:rPr>
      </w:pPr>
      <w:r>
        <w:rPr>
          <w:rFonts w:ascii="Arial" w:cs="Arial" w:eastAsia="Arial" w:hAnsi="Arial"/>
          <w:sz w:val="17"/>
          <w:szCs w:val="17"/>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Notwithstanding these restrictions, Mr. Livanos is permitted to engage in the following activities:</w:t>
      </w:r>
    </w:p>
    <w:p>
      <w:pPr>
        <w:spacing w:after="0" w:line="106" w:lineRule="exact"/>
        <w:rPr>
          <w:sz w:val="20"/>
          <w:szCs w:val="20"/>
          <w:color w:val="auto"/>
        </w:rPr>
      </w:pPr>
    </w:p>
    <w:p>
      <w:pPr>
        <w:ind w:left="540" w:hanging="168"/>
        <w:spacing w:after="0"/>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passive ownership (a) of minority interests in any business that is not primarily engaged in owning, operating or managing LNG vessels or</w:t>
      </w:r>
    </w:p>
    <w:p>
      <w:pPr>
        <w:spacing w:after="0" w:line="5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(b) constituting less than 5.0% of any publicly listed company; and</w:t>
      </w:r>
    </w:p>
    <w:p>
      <w:pPr>
        <w:spacing w:after="0" w:line="89" w:lineRule="exact"/>
        <w:rPr>
          <w:rFonts w:ascii="Arial" w:cs="Arial" w:eastAsia="Arial" w:hAnsi="Arial"/>
          <w:sz w:val="17"/>
          <w:szCs w:val="17"/>
          <w:color w:val="auto"/>
        </w:rPr>
      </w:pPr>
    </w:p>
    <w:p>
      <w:pPr>
        <w:ind w:left="540" w:right="200" w:hanging="168"/>
        <w:spacing w:after="0" w:line="281"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restrictions described above do not apply to transactions by independent fund managers not acting under the direction or control of Mr.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Livanos or Blenheim Holdings.</w:t>
      </w:r>
    </w:p>
    <w:p>
      <w:pPr>
        <w:spacing w:after="0" w:line="103"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As noted above, Mr. Livanos and Blenheim Holdings are permitted under the terms of the restrictive covenant agreement to dispose of our common shares in the following circumstances:</w:t>
      </w:r>
    </w:p>
    <w:p>
      <w:pPr>
        <w:spacing w:after="0" w:line="38" w:lineRule="exact"/>
        <w:rPr>
          <w:sz w:val="20"/>
          <w:szCs w:val="20"/>
          <w:color w:val="auto"/>
        </w:rPr>
      </w:pPr>
    </w:p>
    <w:p>
      <w:pPr>
        <w:ind w:left="540" w:right="120" w:hanging="168"/>
        <w:spacing w:after="0" w:line="267"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pursuant to any transfer by Blenheim Holdings to its shareholders (including any division of the ownership interests in Blenheim Holdings of Mr. Livanos and members of the Radziwill family), provided that the transferee or transferees agree to be bound by the share transfer restrictions of the restrictive covenant agreement;</w:t>
      </w:r>
    </w:p>
    <w:p>
      <w:pPr>
        <w:spacing w:after="0" w:line="54"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pursuant to any private sale to a strategic investor in the Company, provided that the strategic investor agrees to be bound by the share transfer restrictions of the restrictive covenant agreement;</w:t>
      </w:r>
    </w:p>
    <w:p>
      <w:pPr>
        <w:spacing w:after="0" w:line="38"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connection with any sale or transfer that would result in a change in control of the Company, provided that such change in control has been approved by our board of directors;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transactions relating to shares acquired following the effective date of the restrictive covenant agreement.</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For purposes of the restrictive covenant agreement, a “change of control” means Mr. Livanos and Blenheim Holdings cease to beneficially own, in the aggregate, at least 38.0% of the issued and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04" w:name="page105"/>
    <w:bookmarkEnd w:id="104"/>
    <w:p>
      <w:pPr>
        <w:spacing w:after="0" w:line="283" w:lineRule="auto"/>
        <w:rPr>
          <w:sz w:val="20"/>
          <w:szCs w:val="20"/>
          <w:color w:val="auto"/>
        </w:rPr>
      </w:pPr>
      <w:r>
        <w:rPr>
          <w:rFonts w:ascii="Arial" w:cs="Arial" w:eastAsia="Arial" w:hAnsi="Arial"/>
          <w:sz w:val="19"/>
          <w:szCs w:val="19"/>
          <w:color w:val="auto"/>
        </w:rPr>
        <w:t>outstanding share capital of the Company. The share transfer restrictions described above will terminate as to any person that ceases to beneficially own, or does not beneficially own, at least 20.0% of our issued and outstanding share capital.</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 Agreement</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On April 4, 2012, we entered into a registration rights agreement with certain of our shareholders,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Subscription Agreements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On January 16, 2014, we entered into subscription agreements with certain of our directors and officers for a concurrent private placement of 2,317,460 common shares at a price of $15.75 per share.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125" w:lineRule="exact"/>
        <w:rPr>
          <w:sz w:val="20"/>
          <w:szCs w:val="20"/>
          <w:color w:val="auto"/>
        </w:rPr>
      </w:pPr>
    </w:p>
    <w:p>
      <w:pPr>
        <w:ind w:right="40" w:firstLine="357"/>
        <w:spacing w:after="0" w:line="302" w:lineRule="auto"/>
        <w:rPr>
          <w:sz w:val="20"/>
          <w:szCs w:val="20"/>
          <w:color w:val="auto"/>
        </w:rPr>
      </w:pPr>
      <w:r>
        <w:rPr>
          <w:rFonts w:ascii="Arial" w:cs="Arial" w:eastAsia="Arial" w:hAnsi="Arial"/>
          <w:sz w:val="17"/>
          <w:szCs w:val="17"/>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Office Space and Related Arrangements</w:t>
      </w:r>
    </w:p>
    <w:p>
      <w:pPr>
        <w:spacing w:after="0" w:line="125" w:lineRule="exact"/>
        <w:rPr>
          <w:sz w:val="20"/>
          <w:szCs w:val="20"/>
          <w:color w:val="auto"/>
        </w:rPr>
      </w:pPr>
    </w:p>
    <w:p>
      <w:pPr>
        <w:ind w:right="40" w:firstLine="357"/>
        <w:spacing w:after="0" w:line="312" w:lineRule="auto"/>
        <w:rPr>
          <w:sz w:val="20"/>
          <w:szCs w:val="20"/>
          <w:color w:val="auto"/>
        </w:rPr>
      </w:pPr>
      <w:r>
        <w:rPr>
          <w:rFonts w:ascii="Arial" w:cs="Arial" w:eastAsia="Arial" w:hAnsi="Arial"/>
          <w:sz w:val="18"/>
          <w:szCs w:val="18"/>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2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Egypt LNG</w:t>
      </w:r>
    </w:p>
    <w:p>
      <w:pPr>
        <w:spacing w:after="0" w:line="112" w:lineRule="exact"/>
        <w:rPr>
          <w:sz w:val="20"/>
          <w:szCs w:val="20"/>
          <w:color w:val="auto"/>
        </w:rPr>
      </w:pPr>
    </w:p>
    <w:p>
      <w:pPr>
        <w:ind w:right="540" w:firstLine="357"/>
        <w:spacing w:after="0" w:line="262" w:lineRule="auto"/>
        <w:rPr>
          <w:sz w:val="20"/>
          <w:szCs w:val="20"/>
          <w:color w:val="auto"/>
        </w:rPr>
      </w:pPr>
      <w:r>
        <w:rPr>
          <w:rFonts w:ascii="Arial" w:cs="Arial" w:eastAsia="Arial" w:hAnsi="Arial"/>
          <w:sz w:val="19"/>
          <w:szCs w:val="19"/>
          <w:color w:val="auto"/>
        </w:rPr>
        <w:t xml:space="preserve">We have a 25.0% ownership interest in Egypt LNG, whose principal asset is the LNG carrier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which is currently operating under a 20-year time charter with a subsidiary of BG Group. Through our subsidiary GasLog LNG Services, we supervised the construction of the </w:t>
      </w:r>
      <w:r>
        <w:rPr>
          <w:rFonts w:ascii="Arial" w:cs="Arial" w:eastAsia="Arial" w:hAnsi="Arial"/>
          <w:sz w:val="19"/>
          <w:szCs w:val="19"/>
          <w:i w:val="1"/>
          <w:iCs w:val="1"/>
          <w:color w:val="auto"/>
        </w:rPr>
        <w:t>Methane Nile Eagle</w:t>
      </w:r>
      <w:r>
        <w:rPr>
          <w:rFonts w:ascii="Arial" w:cs="Arial" w:eastAsia="Arial" w:hAnsi="Arial"/>
          <w:sz w:val="19"/>
          <w:szCs w:val="19"/>
          <w:color w:val="auto"/>
        </w:rPr>
        <w:t>, which was delivered from the shipyard in 2007. Pursuant to a ship management agreement between GasLog LNG Services and Egypt LNG, the vessel has operated under our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05" w:name="page106"/>
    <w:bookmarkEnd w:id="105"/>
    <w:p>
      <w:pPr>
        <w:ind w:right="80"/>
        <w:spacing w:after="0" w:line="302" w:lineRule="auto"/>
        <w:rPr>
          <w:sz w:val="20"/>
          <w:szCs w:val="20"/>
          <w:color w:val="auto"/>
        </w:rPr>
      </w:pPr>
      <w:r>
        <w:rPr>
          <w:rFonts w:ascii="Arial" w:cs="Arial" w:eastAsia="Arial" w:hAnsi="Arial"/>
          <w:sz w:val="17"/>
          <w:szCs w:val="17"/>
          <w:color w:val="auto"/>
        </w:rPr>
        <w:t xml:space="preserve">technical management since its delivery. From January 1, 2016 to December 31, 2016, we received a total of approximately $0.21 million in revenues from Egypt LNG in respect of our vessel management services. On October 29, 2015, Egypt LNG and BG Group mutually agreed to lay up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for a period of approximately one year. The charterer continued to pay charter hire costs adjusted for net savings in operating expenses and insurance as a result of the vessel being laid up.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was re-activated on October 15, 2016.</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Consulting Services Agreements</w:t>
      </w:r>
    </w:p>
    <w:p>
      <w:pPr>
        <w:spacing w:after="0" w:line="125"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46" w:lineRule="exact"/>
        <w:rPr>
          <w:sz w:val="20"/>
          <w:szCs w:val="20"/>
          <w:color w:val="auto"/>
        </w:rPr>
      </w:pPr>
    </w:p>
    <w:p>
      <w:pPr>
        <w:ind w:right="340" w:firstLine="357"/>
        <w:spacing w:after="0" w:line="281" w:lineRule="auto"/>
        <w:rPr>
          <w:sz w:val="20"/>
          <w:szCs w:val="20"/>
          <w:color w:val="auto"/>
        </w:rPr>
      </w:pPr>
      <w:r>
        <w:rPr>
          <w:rFonts w:ascii="Arial" w:cs="Arial" w:eastAsia="Arial" w:hAnsi="Arial"/>
          <w:sz w:val="18"/>
          <w:szCs w:val="18"/>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2016 in the sum of US$100,000 and an ongoing consultancy arrangement fee of US$12,000 per month for a minimum of 12 days per month, terminable upon notice by GasLog.</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Transactions</w:t>
      </w:r>
    </w:p>
    <w:p>
      <w:pPr>
        <w:spacing w:after="0" w:line="125"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For a description of additional related party transactions, see Note 20 to our consolidated financial statements included elsewhere in this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Procedures for Review and Approval of Related Party Transactions</w:t>
      </w:r>
    </w:p>
    <w:p>
      <w:pPr>
        <w:spacing w:after="0" w:line="125" w:lineRule="exact"/>
        <w:rPr>
          <w:sz w:val="20"/>
          <w:szCs w:val="20"/>
          <w:color w:val="auto"/>
        </w:rPr>
      </w:pPr>
    </w:p>
    <w:p>
      <w:pPr>
        <w:ind w:right="340" w:firstLine="357"/>
        <w:spacing w:after="0" w:line="262" w:lineRule="auto"/>
        <w:rPr>
          <w:sz w:val="20"/>
          <w:szCs w:val="20"/>
          <w:color w:val="auto"/>
        </w:rPr>
      </w:pPr>
      <w:r>
        <w:rPr>
          <w:rFonts w:ascii="Arial" w:cs="Arial" w:eastAsia="Arial" w:hAnsi="Arial"/>
          <w:sz w:val="19"/>
          <w:szCs w:val="19"/>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Interests of Experts and Counsel</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Consolidated Statements and Other Financial Information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“Item 18. Financial Statements” below.</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Proceedings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these claims would be covered by insurance, subject to customary deductibles. However, those claims, even if lacking merit, could result in the expenditure of significant financial and managerial resources.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Preference Shares Dividend Requirements</w:t>
      </w:r>
    </w:p>
    <w:p>
      <w:pPr>
        <w:spacing w:after="0" w:line="125" w:lineRule="exact"/>
        <w:rPr>
          <w:sz w:val="20"/>
          <w:szCs w:val="20"/>
          <w:color w:val="auto"/>
        </w:rPr>
      </w:pPr>
    </w:p>
    <w:p>
      <w:pPr>
        <w:ind w:right="320" w:firstLine="357"/>
        <w:spacing w:after="0" w:line="291" w:lineRule="auto"/>
        <w:rPr>
          <w:sz w:val="20"/>
          <w:szCs w:val="20"/>
          <w:color w:val="auto"/>
        </w:rPr>
      </w:pPr>
      <w:r>
        <w:rPr>
          <w:rFonts w:ascii="Arial" w:cs="Arial" w:eastAsia="Arial" w:hAnsi="Arial"/>
          <w:sz w:val="17"/>
          <w:szCs w:val="17"/>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8.75% per annum per $25.00 of liquidation preference per share (equal to $2.18750 per annum per share). The dividend rates are not subject to adjustment. We paid dividends to holders of our Preference Shares of $0.510417 per share on July 1, 2015 and $0.546875 per share on October 1, 2015, January 4, 2016, April 1, 2016, July 1, 2016, October 3, 2016 and January 3, 2017. Our Preference Shares dividend payment obligations impact our future liquidity needs.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Shares Dividend Policy</w:t>
      </w:r>
    </w:p>
    <w:p>
      <w:pPr>
        <w:spacing w:after="0" w:line="125"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of $0.11 per share on March 25, 2013, June 11, 2013 and September 13, 2013, $0.12 per share on December 9, 2013, March 25, 2014, June 11, 2014 and September 8, 2014, and $0.14 per share on December 5, 2014, March 13, 2015, August 20, 2015, November 19, 2015, March 17, 2016, May 26, 2016, August 25, 2016 and November 24, 2016.</w:t>
      </w:r>
    </w:p>
    <w:p>
      <w:pPr>
        <w:spacing w:after="0" w:line="44"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The declaration and payment of any dividend is subject to the discretion of our board of directors and the requirements of Bermuda law. In addition, our credit facilities impose limitations on our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Factors—Risks Related to Our Business” for a discussion of risks related to our ability to pay dividends.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Set out below is a table showing the dividends declared on our common shares in 2012, 2013, 2014, 2015 and 2016.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69"/>
        </w:trPr>
        <w:tc>
          <w:tcPr>
            <w:tcW w:w="5860" w:type="dxa"/>
            <w:vAlign w:val="bottom"/>
          </w:tcPr>
          <w:p>
            <w:pPr>
              <w:spacing w:after="0"/>
              <w:rPr>
                <w:sz w:val="14"/>
                <w:szCs w:val="14"/>
                <w:color w:val="auto"/>
              </w:rPr>
            </w:pPr>
          </w:p>
        </w:tc>
        <w:tc>
          <w:tcPr>
            <w:tcW w:w="540" w:type="dxa"/>
            <w:vAlign w:val="bottom"/>
            <w:tcBorders>
              <w:bottom w:val="single" w:sz="8" w:color="auto"/>
            </w:tcBorders>
          </w:tcPr>
          <w:p>
            <w:pPr>
              <w:jc w:val="right"/>
              <w:ind w:right="9"/>
              <w:spacing w:after="0" w:line="169" w:lineRule="exact"/>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52"/>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7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6"/>
                <w:szCs w:val="16"/>
                <w:b w:val="1"/>
                <w:bCs w:val="1"/>
                <w:color w:val="auto"/>
                <w:w w:val="95"/>
              </w:rPr>
              <w:t>2015</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89"/>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9"/>
              <w:spacing w:after="0" w:line="169" w:lineRule="exact"/>
              <w:rPr>
                <w:sz w:val="20"/>
                <w:szCs w:val="20"/>
                <w:color w:val="auto"/>
              </w:rPr>
            </w:pPr>
            <w:r>
              <w:rPr>
                <w:rFonts w:ascii="Arial" w:cs="Arial" w:eastAsia="Arial" w:hAnsi="Arial"/>
                <w:sz w:val="16"/>
                <w:szCs w:val="16"/>
                <w:b w:val="1"/>
                <w:bCs w:val="1"/>
                <w:color w:val="auto"/>
              </w:rPr>
              <w:t>Total</w:t>
            </w:r>
          </w:p>
        </w:tc>
      </w:tr>
      <w:tr>
        <w:trPr>
          <w:trHeight w:val="237"/>
        </w:trPr>
        <w:tc>
          <w:tcPr>
            <w:tcW w:w="5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40" w:type="dxa"/>
            <w:vAlign w:val="bottom"/>
            <w:gridSpan w:val="8"/>
          </w:tcPr>
          <w:p>
            <w:pPr>
              <w:jc w:val="center"/>
              <w:ind w:right="269"/>
              <w:spacing w:after="0"/>
              <w:rPr>
                <w:sz w:val="20"/>
                <w:szCs w:val="20"/>
                <w:color w:val="auto"/>
              </w:rPr>
            </w:pPr>
            <w:r>
              <w:rPr>
                <w:rFonts w:ascii="Arial" w:cs="Arial" w:eastAsia="Arial" w:hAnsi="Arial"/>
                <w:sz w:val="16"/>
                <w:szCs w:val="16"/>
                <w:b w:val="1"/>
                <w:bCs w:val="1"/>
                <w:color w:val="auto"/>
                <w:w w:val="88"/>
              </w:rPr>
              <w:t>(Expressed in millions of U.S. dollars)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5860" w:type="dxa"/>
            <w:vAlign w:val="bottom"/>
            <w:shd w:val="clear" w:color="auto" w:fill="E5FFFF"/>
          </w:tcPr>
          <w:p>
            <w:pPr>
              <w:spacing w:after="0"/>
              <w:rPr>
                <w:sz w:val="20"/>
                <w:szCs w:val="20"/>
                <w:color w:val="auto"/>
              </w:rPr>
            </w:pPr>
            <w:r>
              <w:rPr>
                <w:rFonts w:ascii="Arial" w:cs="Arial" w:eastAsia="Arial" w:hAnsi="Arial"/>
                <w:sz w:val="19"/>
                <w:szCs w:val="19"/>
                <w:color w:val="auto"/>
              </w:rPr>
              <w:t>Common share dividend declared</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$ 6.91</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$ 28.29</w:t>
            </w:r>
          </w:p>
        </w:tc>
        <w:tc>
          <w:tcPr>
            <w:tcW w:w="9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$ 39.84</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45.08</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$ 45.10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165.22</w:t>
            </w:r>
          </w:p>
        </w:tc>
      </w:tr>
      <w:tr>
        <w:trPr>
          <w:trHeight w:val="247"/>
        </w:trPr>
        <w:tc>
          <w:tcPr>
            <w:tcW w:w="5860" w:type="dxa"/>
            <w:vAlign w:val="bottom"/>
          </w:tcPr>
          <w:p>
            <w:pPr>
              <w:spacing w:after="0"/>
              <w:rPr>
                <w:sz w:val="20"/>
                <w:szCs w:val="20"/>
                <w:color w:val="auto"/>
              </w:rPr>
            </w:pPr>
            <w:r>
              <w:rPr>
                <w:rFonts w:ascii="Arial" w:cs="Arial" w:eastAsia="Arial" w:hAnsi="Arial"/>
                <w:sz w:val="19"/>
                <w:szCs w:val="19"/>
                <w:color w:val="auto"/>
              </w:rPr>
              <w:t>Preference share dividend declared</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7.38</w:t>
            </w:r>
          </w:p>
        </w:tc>
        <w:tc>
          <w:tcPr>
            <w:tcW w:w="3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$ 10.06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17.44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Significant Changes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“Item 18. Financial Statements—Note 29. Subsequent Events” below.</w:t>
      </w:r>
    </w:p>
    <w:p>
      <w:pPr>
        <w:spacing w:after="0" w:line="119"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b w:val="1"/>
          <w:bCs w:val="1"/>
          <w:color w:val="auto"/>
        </w:rPr>
        <w:t>ITEM 9. THE OFFER AND LISTING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Trading on the New York Stock Exchange</w:t>
      </w:r>
    </w:p>
    <w:p>
      <w:pPr>
        <w:spacing w:after="0" w:line="119" w:lineRule="exact"/>
        <w:rPr>
          <w:sz w:val="20"/>
          <w:szCs w:val="20"/>
          <w:color w:val="auto"/>
        </w:rPr>
      </w:pPr>
    </w:p>
    <w:p>
      <w:pPr>
        <w:ind w:right="400" w:firstLine="357"/>
        <w:spacing w:after="0" w:line="261" w:lineRule="auto"/>
        <w:rPr>
          <w:sz w:val="20"/>
          <w:szCs w:val="20"/>
          <w:color w:val="auto"/>
        </w:rPr>
      </w:pPr>
      <w:r>
        <w:rPr>
          <w:rFonts w:ascii="Arial" w:cs="Arial" w:eastAsia="Arial" w:hAnsi="Arial"/>
          <w:sz w:val="19"/>
          <w:szCs w:val="19"/>
          <w:color w:val="auto"/>
        </w:rPr>
        <w:t>Since our IPO in the United States in 2012, our common shares have been listed on the NYSE under the symbol “GLOG”. The following table shows the high and low closing sales prices for our common shares during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78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6"/>
                <w:szCs w:val="16"/>
                <w:b w:val="1"/>
                <w:bCs w:val="1"/>
                <w:color w:val="auto"/>
              </w:rPr>
              <w:t>Price Range</w:t>
            </w:r>
          </w:p>
        </w:tc>
      </w:tr>
      <w:tr>
        <w:trPr>
          <w:trHeight w:val="169"/>
        </w:trPr>
        <w:tc>
          <w:tcPr>
            <w:tcW w:w="9780" w:type="dxa"/>
            <w:vAlign w:val="bottom"/>
          </w:tcPr>
          <w:p>
            <w:pPr>
              <w:spacing w:after="0"/>
              <w:rPr>
                <w:sz w:val="14"/>
                <w:szCs w:val="14"/>
                <w:color w:val="auto"/>
              </w:rPr>
            </w:pPr>
          </w:p>
        </w:tc>
        <w:tc>
          <w:tcPr>
            <w:tcW w:w="66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Low</w:t>
            </w:r>
          </w:p>
        </w:tc>
      </w:tr>
      <w:tr>
        <w:trPr>
          <w:trHeight w:val="237"/>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Year ended December 31, 2013</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$ 17.41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$ 11.93</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Year ended December 31, 2014</w:t>
            </w:r>
          </w:p>
        </w:tc>
        <w:tc>
          <w:tcPr>
            <w:tcW w:w="660" w:type="dxa"/>
            <w:vAlign w:val="bottom"/>
          </w:tcPr>
          <w:p>
            <w:pPr>
              <w:jc w:val="right"/>
              <w:spacing w:after="0"/>
              <w:rPr>
                <w:sz w:val="20"/>
                <w:szCs w:val="20"/>
                <w:color w:val="auto"/>
              </w:rPr>
            </w:pPr>
            <w:r>
              <w:rPr>
                <w:rFonts w:ascii="Arial" w:cs="Arial" w:eastAsia="Arial" w:hAnsi="Arial"/>
                <w:sz w:val="19"/>
                <w:szCs w:val="19"/>
                <w:color w:val="auto"/>
              </w:rPr>
              <w:t>31.89</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15.95</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Year ended December 31,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23.41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7.46</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Year ended December 31, 2016</w:t>
            </w:r>
          </w:p>
        </w:tc>
        <w:tc>
          <w:tcPr>
            <w:tcW w:w="660" w:type="dxa"/>
            <w:vAlign w:val="bottom"/>
          </w:tcPr>
          <w:p>
            <w:pPr>
              <w:jc w:val="right"/>
              <w:spacing w:after="0"/>
              <w:rPr>
                <w:sz w:val="20"/>
                <w:szCs w:val="20"/>
                <w:color w:val="auto"/>
              </w:rPr>
            </w:pPr>
            <w:r>
              <w:rPr>
                <w:rFonts w:ascii="Arial" w:cs="Arial" w:eastAsia="Arial" w:hAnsi="Arial"/>
                <w:sz w:val="19"/>
                <w:szCs w:val="19"/>
                <w:color w:val="auto"/>
              </w:rPr>
              <w:t>17.05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5.78</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20.53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16.64</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Second Quarter 2015</w:t>
            </w:r>
          </w:p>
        </w:tc>
        <w:tc>
          <w:tcPr>
            <w:tcW w:w="660" w:type="dxa"/>
            <w:vAlign w:val="bottom"/>
          </w:tcPr>
          <w:p>
            <w:pPr>
              <w:jc w:val="right"/>
              <w:spacing w:after="0"/>
              <w:rPr>
                <w:sz w:val="20"/>
                <w:szCs w:val="20"/>
                <w:color w:val="auto"/>
              </w:rPr>
            </w:pPr>
            <w:r>
              <w:rPr>
                <w:rFonts w:ascii="Arial" w:cs="Arial" w:eastAsia="Arial" w:hAnsi="Arial"/>
                <w:sz w:val="19"/>
                <w:szCs w:val="19"/>
                <w:color w:val="auto"/>
              </w:rPr>
              <w:t>23.41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19.18</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Third Quarter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19.16</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9.02</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Fourth Quarter 2015</w:t>
            </w:r>
          </w:p>
        </w:tc>
        <w:tc>
          <w:tcPr>
            <w:tcW w:w="660" w:type="dxa"/>
            <w:vAlign w:val="bottom"/>
          </w:tcPr>
          <w:p>
            <w:pPr>
              <w:jc w:val="right"/>
              <w:spacing w:after="0"/>
              <w:rPr>
                <w:sz w:val="20"/>
                <w:szCs w:val="20"/>
                <w:color w:val="auto"/>
              </w:rPr>
            </w:pPr>
            <w:r>
              <w:rPr>
                <w:rFonts w:ascii="Arial" w:cs="Arial" w:eastAsia="Arial" w:hAnsi="Arial"/>
                <w:sz w:val="19"/>
                <w:szCs w:val="19"/>
                <w:color w:val="auto"/>
              </w:rPr>
              <w:t>12.75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7.46</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11.96</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5.78</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Second Quarter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14.00</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9.17</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Third Quarter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12.47</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Fourth Quarter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17.05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14.35</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First Quarter 2017 (January 1, 2017 to February 27, 2017)</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15.25</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August 2016</w:t>
            </w:r>
          </w:p>
        </w:tc>
        <w:tc>
          <w:tcPr>
            <w:tcW w:w="660" w:type="dxa"/>
            <w:vAlign w:val="bottom"/>
          </w:tcPr>
          <w:p>
            <w:pPr>
              <w:jc w:val="right"/>
              <w:spacing w:after="0"/>
              <w:rPr>
                <w:sz w:val="20"/>
                <w:szCs w:val="20"/>
                <w:color w:val="auto"/>
              </w:rPr>
            </w:pPr>
            <w:r>
              <w:rPr>
                <w:rFonts w:ascii="Arial" w:cs="Arial" w:eastAsia="Arial" w:hAnsi="Arial"/>
                <w:sz w:val="19"/>
                <w:szCs w:val="19"/>
                <w:color w:val="auto"/>
              </w:rPr>
              <w:t>14.84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12.47</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September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14.55</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12.67</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October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17.05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14.35</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November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14.90</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December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16.55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15.10</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January 2017</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16.45</w:t>
            </w:r>
          </w:p>
        </w:tc>
      </w:tr>
      <w:tr>
        <w:trPr>
          <w:trHeight w:val="247"/>
        </w:trPr>
        <w:tc>
          <w:tcPr>
            <w:tcW w:w="9780" w:type="dxa"/>
            <w:vAlign w:val="bottom"/>
          </w:tcPr>
          <w:p>
            <w:pPr>
              <w:spacing w:after="0"/>
              <w:rPr>
                <w:sz w:val="20"/>
                <w:szCs w:val="20"/>
                <w:color w:val="auto"/>
              </w:rPr>
            </w:pPr>
            <w:r>
              <w:rPr>
                <w:rFonts w:ascii="Arial" w:cs="Arial" w:eastAsia="Arial" w:hAnsi="Arial"/>
                <w:sz w:val="19"/>
                <w:szCs w:val="19"/>
                <w:color w:val="auto"/>
              </w:rPr>
              <w:t>February 2017 February 1, 2017 to February 27, 2017)</w:t>
            </w:r>
          </w:p>
        </w:tc>
        <w:tc>
          <w:tcPr>
            <w:tcW w:w="660" w:type="dxa"/>
            <w:vAlign w:val="bottom"/>
          </w:tcPr>
          <w:p>
            <w:pPr>
              <w:jc w:val="right"/>
              <w:spacing w:after="0"/>
              <w:rPr>
                <w:sz w:val="20"/>
                <w:szCs w:val="20"/>
                <w:color w:val="auto"/>
              </w:rPr>
            </w:pPr>
            <w:r>
              <w:rPr>
                <w:rFonts w:ascii="Arial" w:cs="Arial" w:eastAsia="Arial" w:hAnsi="Arial"/>
                <w:sz w:val="19"/>
                <w:szCs w:val="19"/>
                <w:color w:val="auto"/>
              </w:rPr>
              <w:t>17.00</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15.25</w:t>
            </w:r>
          </w:p>
        </w:tc>
      </w:tr>
    </w:tbl>
    <w:p>
      <w:pPr>
        <w:spacing w:after="0" w:line="91" w:lineRule="exact"/>
        <w:rPr>
          <w:sz w:val="20"/>
          <w:szCs w:val="20"/>
          <w:color w:val="auto"/>
        </w:rPr>
      </w:pPr>
    </w:p>
    <w:p>
      <w:pPr>
        <w:ind w:right="460" w:firstLine="357"/>
        <w:spacing w:after="0" w:line="261" w:lineRule="auto"/>
        <w:rPr>
          <w:sz w:val="20"/>
          <w:szCs w:val="20"/>
          <w:color w:val="auto"/>
        </w:rPr>
      </w:pPr>
      <w:r>
        <w:rPr>
          <w:rFonts w:ascii="Arial" w:cs="Arial" w:eastAsia="Arial" w:hAnsi="Arial"/>
          <w:sz w:val="19"/>
          <w:szCs w:val="19"/>
          <w:color w:val="auto"/>
        </w:rPr>
        <w:t>Our Preference Shares have been trading on the New York Stock Exchange under the symbol “GLOG PR A” since March 31, 2015. The following table shows the high and low closing sales prices for our Preference Shares during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78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6"/>
                <w:szCs w:val="16"/>
                <w:b w:val="1"/>
                <w:bCs w:val="1"/>
                <w:color w:val="auto"/>
              </w:rPr>
              <w:t>Price Range</w:t>
            </w:r>
          </w:p>
        </w:tc>
      </w:tr>
      <w:tr>
        <w:trPr>
          <w:trHeight w:val="169"/>
        </w:trPr>
        <w:tc>
          <w:tcPr>
            <w:tcW w:w="9780" w:type="dxa"/>
            <w:vAlign w:val="bottom"/>
          </w:tcPr>
          <w:p>
            <w:pPr>
              <w:spacing w:after="0"/>
              <w:rPr>
                <w:sz w:val="14"/>
                <w:szCs w:val="14"/>
                <w:color w:val="auto"/>
              </w:rPr>
            </w:pPr>
          </w:p>
        </w:tc>
        <w:tc>
          <w:tcPr>
            <w:tcW w:w="66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Low</w:t>
            </w:r>
          </w:p>
        </w:tc>
      </w:tr>
      <w:tr>
        <w:trPr>
          <w:trHeight w:val="237"/>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Year ended December 31, 2015 (March 31, 2015 to December 31,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$ 26.10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$ 18.38</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Year ended December 31, 2016</w:t>
            </w:r>
          </w:p>
        </w:tc>
        <w:tc>
          <w:tcPr>
            <w:tcW w:w="660" w:type="dxa"/>
            <w:vAlign w:val="bottom"/>
          </w:tcPr>
          <w:p>
            <w:pPr>
              <w:jc w:val="right"/>
              <w:spacing w:after="0"/>
              <w:rPr>
                <w:sz w:val="20"/>
                <w:szCs w:val="20"/>
                <w:color w:val="auto"/>
              </w:rPr>
            </w:pPr>
            <w:r>
              <w:rPr>
                <w:rFonts w:ascii="Arial" w:cs="Arial" w:eastAsia="Arial" w:hAnsi="Arial"/>
                <w:sz w:val="19"/>
                <w:szCs w:val="19"/>
                <w:color w:val="auto"/>
              </w:rPr>
              <w:t>26.61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13.75</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Second Quarter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25.99</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25.15</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Third Quarter 2015</w:t>
            </w:r>
          </w:p>
        </w:tc>
        <w:tc>
          <w:tcPr>
            <w:tcW w:w="660" w:type="dxa"/>
            <w:vAlign w:val="bottom"/>
          </w:tcPr>
          <w:p>
            <w:pPr>
              <w:jc w:val="right"/>
              <w:spacing w:after="0"/>
              <w:rPr>
                <w:sz w:val="20"/>
                <w:szCs w:val="20"/>
                <w:color w:val="auto"/>
              </w:rPr>
            </w:pPr>
            <w:r>
              <w:rPr>
                <w:rFonts w:ascii="Arial" w:cs="Arial" w:eastAsia="Arial" w:hAnsi="Arial"/>
                <w:sz w:val="19"/>
                <w:szCs w:val="19"/>
                <w:color w:val="auto"/>
              </w:rPr>
              <w:t>26.10</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22.04</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Fourth Quarter 2015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24.87</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18.38</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First Quarter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22.70</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13.75</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Second Quarter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24.64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22.21</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Third Quarter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25.93</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24.18</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Fourth Quarter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26.61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24.93</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First Quarter 2017 (January 1, 2017 to February 27, 2017)</w:t>
            </w:r>
          </w:p>
        </w:tc>
        <w:tc>
          <w:tcPr>
            <w:tcW w:w="660" w:type="dxa"/>
            <w:vAlign w:val="bottom"/>
          </w:tcPr>
          <w:p>
            <w:pPr>
              <w:jc w:val="right"/>
              <w:spacing w:after="0"/>
              <w:rPr>
                <w:sz w:val="20"/>
                <w:szCs w:val="20"/>
                <w:color w:val="auto"/>
              </w:rPr>
            </w:pPr>
            <w:r>
              <w:rPr>
                <w:rFonts w:ascii="Arial" w:cs="Arial" w:eastAsia="Arial" w:hAnsi="Arial"/>
                <w:sz w:val="19"/>
                <w:szCs w:val="19"/>
                <w:color w:val="auto"/>
              </w:rPr>
              <w:t>25.79</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24.77</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August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25.70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25.00</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September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25.93</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25.06</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October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26.61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25.25</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November 2016</w:t>
            </w:r>
          </w:p>
        </w:tc>
        <w:tc>
          <w:tcPr>
            <w:tcW w:w="660" w:type="dxa"/>
            <w:vAlign w:val="bottom"/>
          </w:tcPr>
          <w:p>
            <w:pPr>
              <w:jc w:val="right"/>
              <w:spacing w:after="0"/>
              <w:rPr>
                <w:sz w:val="20"/>
                <w:szCs w:val="20"/>
                <w:color w:val="auto"/>
              </w:rPr>
            </w:pPr>
            <w:r>
              <w:rPr>
                <w:rFonts w:ascii="Arial" w:cs="Arial" w:eastAsia="Arial" w:hAnsi="Arial"/>
                <w:sz w:val="19"/>
                <w:szCs w:val="19"/>
                <w:color w:val="auto"/>
              </w:rPr>
              <w:t>25.95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24.93</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December 2016</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26.14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25.03</w:t>
            </w:r>
          </w:p>
        </w:tc>
      </w:tr>
      <w:tr>
        <w:trPr>
          <w:trHeight w:val="243"/>
        </w:trPr>
        <w:tc>
          <w:tcPr>
            <w:tcW w:w="9780" w:type="dxa"/>
            <w:vAlign w:val="bottom"/>
          </w:tcPr>
          <w:p>
            <w:pPr>
              <w:spacing w:after="0"/>
              <w:rPr>
                <w:sz w:val="20"/>
                <w:szCs w:val="20"/>
                <w:color w:val="auto"/>
              </w:rPr>
            </w:pPr>
            <w:r>
              <w:rPr>
                <w:rFonts w:ascii="Arial" w:cs="Arial" w:eastAsia="Arial" w:hAnsi="Arial"/>
                <w:sz w:val="19"/>
                <w:szCs w:val="19"/>
                <w:color w:val="auto"/>
              </w:rPr>
              <w:t>January 2017</w:t>
            </w:r>
          </w:p>
        </w:tc>
        <w:tc>
          <w:tcPr>
            <w:tcW w:w="660" w:type="dxa"/>
            <w:vAlign w:val="bottom"/>
          </w:tcPr>
          <w:p>
            <w:pPr>
              <w:jc w:val="right"/>
              <w:spacing w:after="0"/>
              <w:rPr>
                <w:sz w:val="20"/>
                <w:szCs w:val="20"/>
                <w:color w:val="auto"/>
              </w:rPr>
            </w:pPr>
            <w:r>
              <w:rPr>
                <w:rFonts w:ascii="Arial" w:cs="Arial" w:eastAsia="Arial" w:hAnsi="Arial"/>
                <w:sz w:val="19"/>
                <w:szCs w:val="19"/>
                <w:color w:val="auto"/>
              </w:rPr>
              <w:t>25.79</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24.77</w:t>
            </w:r>
          </w:p>
        </w:tc>
      </w:tr>
      <w:tr>
        <w:trPr>
          <w:trHeight w:val="243"/>
        </w:trPr>
        <w:tc>
          <w:tcPr>
            <w:tcW w:w="9780" w:type="dxa"/>
            <w:vAlign w:val="bottom"/>
            <w:shd w:val="clear" w:color="auto" w:fill="E5FFFF"/>
          </w:tcPr>
          <w:p>
            <w:pPr>
              <w:spacing w:after="0"/>
              <w:rPr>
                <w:sz w:val="20"/>
                <w:szCs w:val="20"/>
                <w:color w:val="auto"/>
              </w:rPr>
            </w:pPr>
            <w:r>
              <w:rPr>
                <w:rFonts w:ascii="Arial" w:cs="Arial" w:eastAsia="Arial" w:hAnsi="Arial"/>
                <w:sz w:val="19"/>
                <w:szCs w:val="19"/>
                <w:color w:val="auto"/>
              </w:rPr>
              <w:t>February 2017 (February 1, 2017 to February 27, 2017)</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25.70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25.08</w:t>
            </w:r>
          </w:p>
        </w:tc>
      </w:tr>
      <w:tr>
        <w:trPr>
          <w:trHeight w:val="342"/>
        </w:trPr>
        <w:tc>
          <w:tcPr>
            <w:tcW w:w="9780" w:type="dxa"/>
            <w:vAlign w:val="bottom"/>
          </w:tcPr>
          <w:p>
            <w:pPr>
              <w:ind w:left="5560"/>
              <w:spacing w:after="0"/>
              <w:rPr>
                <w:sz w:val="20"/>
                <w:szCs w:val="20"/>
                <w:color w:val="auto"/>
              </w:rPr>
            </w:pPr>
            <w:r>
              <w:rPr>
                <w:rFonts w:ascii="Arial" w:cs="Arial" w:eastAsia="Arial" w:hAnsi="Arial"/>
                <w:sz w:val="19"/>
                <w:szCs w:val="19"/>
                <w:color w:val="auto"/>
              </w:rPr>
              <w:t>102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9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color w:val="auto"/>
        </w:rPr>
        <w:t>ITEM 10.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Share Capital</w:t>
      </w:r>
    </w:p>
    <w:p>
      <w:pPr>
        <w:spacing w:after="0" w:line="125"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Our authorized share capital consists of 500,000,000 shares, par value $0.01 per share. As of December 31, 2016, the share capital consisted of 80,561,353 issued and outstanding common shares, par value $0.01 per share, 431,773 treasury shares and 4,600,000 Preference Shares.</w:t>
      </w:r>
    </w:p>
    <w:p>
      <w:pPr>
        <w:spacing w:after="0" w:line="7"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Memorandum of Association</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72"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objects of our business are unrestricted, and the Company has the capacity of a natural person. We can therefore undertake activities without restriction on our capacity.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Shares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72"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Preference Shares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Rights</w:t>
      </w:r>
    </w:p>
    <w:p>
      <w:pPr>
        <w:spacing w:after="0" w:line="125" w:lineRule="exact"/>
        <w:rPr>
          <w:sz w:val="20"/>
          <w:szCs w:val="20"/>
          <w:color w:val="auto"/>
        </w:rPr>
      </w:pPr>
    </w:p>
    <w:p>
      <w:pPr>
        <w:ind w:right="140" w:firstLine="357"/>
        <w:spacing w:after="0" w:line="313" w:lineRule="auto"/>
        <w:rPr>
          <w:sz w:val="20"/>
          <w:szCs w:val="20"/>
          <w:color w:val="auto"/>
        </w:rPr>
      </w:pPr>
      <w:r>
        <w:rPr>
          <w:rFonts w:ascii="Arial" w:cs="Arial" w:eastAsia="Arial" w:hAnsi="Arial"/>
          <w:sz w:val="17"/>
          <w:szCs w:val="17"/>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3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Any cash dividends payable to holders of our common shares listed on the NYSE will be paid to American Stock Transfer &amp; Trust Company, LLC, our transfer agent in the United States for disbursement to those holders.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color w:val="auto"/>
        </w:rPr>
        <w:t>Variation of Rights</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If at any time we have more than one class of shares, the rights attaching to any class, unless otherwise provided for by the terms of issue of the relevant class, may be varied with the sanction of a resolution passed by a majority of the issued shares of such class. Our bye-laws specify that the creation or issue of shares ranking equally with existing shares will not, unless expressly provided by the terms of issue of existing shares, vary the rights attached to existing shares.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Shares</w:t>
      </w:r>
    </w:p>
    <w:p>
      <w:pPr>
        <w:spacing w:after="0" w:line="125"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of Shareholders</w:t>
      </w:r>
    </w:p>
    <w:p>
      <w:pPr>
        <w:spacing w:after="0" w:line="125" w:lineRule="exact"/>
        <w:rPr>
          <w:sz w:val="20"/>
          <w:szCs w:val="20"/>
          <w:color w:val="auto"/>
        </w:rPr>
      </w:pPr>
    </w:p>
    <w:p>
      <w:pPr>
        <w:ind w:firstLine="357"/>
        <w:spacing w:after="0" w:line="286" w:lineRule="auto"/>
        <w:rPr>
          <w:sz w:val="20"/>
          <w:szCs w:val="20"/>
          <w:color w:val="auto"/>
        </w:rPr>
      </w:pPr>
      <w:r>
        <w:rPr>
          <w:rFonts w:ascii="Arial" w:cs="Arial" w:eastAsia="Arial" w:hAnsi="Arial"/>
          <w:sz w:val="17"/>
          <w:szCs w:val="17"/>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one or more persons present in person throughout the meeting and representing in person or by proxy in excess of 50.0% of all issued and outstanding common shares.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Access to Books and Records and Dissemination of Information</w:t>
      </w:r>
    </w:p>
    <w:p>
      <w:pPr>
        <w:spacing w:after="0" w:line="125"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110" w:name="page111"/>
    <w:bookmarkEnd w:id="110"/>
    <w:p>
      <w:pPr>
        <w:ind w:right="100"/>
        <w:spacing w:after="0" w:line="259" w:lineRule="auto"/>
        <w:rPr>
          <w:sz w:val="20"/>
          <w:szCs w:val="20"/>
          <w:color w:val="auto"/>
        </w:rPr>
      </w:pPr>
      <w:r>
        <w:rPr>
          <w:rFonts w:ascii="Arial" w:cs="Arial" w:eastAsia="Arial" w:hAnsi="Arial"/>
          <w:sz w:val="19"/>
          <w:szCs w:val="19"/>
          <w:color w:val="auto"/>
        </w:rPr>
        <w:t>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and Removal of Directors</w:t>
      </w:r>
    </w:p>
    <w:p>
      <w:pPr>
        <w:spacing w:after="0" w:line="125"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Our bye-laws provide that our board shall consist of no less than three directors and no more than fifteen directors, as the board of directors may from time to time determine. Our board of directors consists of ten directors.</w:t>
      </w:r>
    </w:p>
    <w:p>
      <w:pPr>
        <w:spacing w:after="0" w:line="52"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Any shareholder wishing to propose for election as a director someone who is not an existing director or is not proposed by our board must give notice of the intention to propose the person for election. Where a director is to be elected at an annual general meeting, that notice must be given not less than 90 days nor more than 120 days before the anniversary of the last annual general meeting prior to the giving of the notice or, in the event the annual general meeting is called for a date that is not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that notice must be given not later than 10 days following the earlier of the date on which notice of the special general meeting was posted to shareholders or the date on which public disclosure of the date of the special general meeting was made.</w:t>
      </w:r>
    </w:p>
    <w:p>
      <w:pPr>
        <w:spacing w:after="0" w:line="5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A director may be removed by the shareholders, provided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or her removal.</w:t>
      </w:r>
    </w:p>
    <w:p>
      <w:pPr>
        <w:spacing w:after="0" w:line="68" w:lineRule="exact"/>
        <w:rPr>
          <w:sz w:val="20"/>
          <w:szCs w:val="20"/>
          <w:color w:val="auto"/>
        </w:rPr>
      </w:pPr>
    </w:p>
    <w:p>
      <w:pPr>
        <w:ind w:right="140" w:firstLine="357"/>
        <w:spacing w:after="0" w:line="270" w:lineRule="auto"/>
        <w:rPr>
          <w:sz w:val="20"/>
          <w:szCs w:val="20"/>
          <w:color w:val="auto"/>
        </w:rPr>
      </w:pPr>
      <w:r>
        <w:rPr>
          <w:rFonts w:ascii="Arial" w:cs="Arial" w:eastAsia="Arial" w:hAnsi="Arial"/>
          <w:sz w:val="18"/>
          <w:szCs w:val="18"/>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Proceedings of Board of Directors</w:t>
      </w:r>
    </w:p>
    <w:p>
      <w:pPr>
        <w:spacing w:after="0" w:line="125"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Our bye-laws provide that our business is to be managed and conducted by our board of directors. Bermuda law requires that our directors be individuals, but there is no requirement in our bye-laws or Bermuda law that directors hold any of our shares. There is also no requirement in our bye-laws or Bermuda law that our directors must retire at a certain age.</w:t>
      </w:r>
    </w:p>
    <w:p>
      <w:pPr>
        <w:spacing w:after="0" w:line="68"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The remuneration of our directors is determined by the board of directors, and there is no requirement that a specified number or percentage of “independent” directors must approve any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1" w:name="page112"/>
    <w:bookmarkEnd w:id="111"/>
    <w:p>
      <w:pPr>
        <w:ind w:right="100"/>
        <w:spacing w:after="0" w:line="283" w:lineRule="auto"/>
        <w:rPr>
          <w:sz w:val="20"/>
          <w:szCs w:val="20"/>
          <w:color w:val="auto"/>
        </w:rPr>
      </w:pPr>
      <w:r>
        <w:rPr>
          <w:rFonts w:ascii="Arial" w:cs="Arial" w:eastAsia="Arial" w:hAnsi="Arial"/>
          <w:sz w:val="19"/>
          <w:szCs w:val="19"/>
          <w:color w:val="auto"/>
        </w:rPr>
        <w:t>such determination. Our directors may also be paid all travel, hotel and other expenses properly incurred by them in connection with our business or their duties as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Conflicts of Interest</w:t>
      </w:r>
    </w:p>
    <w:p>
      <w:pPr>
        <w:spacing w:after="0" w:line="125"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Any conflict of interest question involving one or more of the Company’s directors will be resolved by the audit and risk committee of the board of directors.</w:t>
      </w:r>
    </w:p>
    <w:p>
      <w:pPr>
        <w:spacing w:after="0" w:line="52"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48"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Directors and Officers</w:t>
      </w:r>
    </w:p>
    <w:p>
      <w:pPr>
        <w:spacing w:after="0" w:line="125" w:lineRule="exact"/>
        <w:rPr>
          <w:sz w:val="20"/>
          <w:szCs w:val="20"/>
          <w:color w:val="auto"/>
        </w:rPr>
      </w:pPr>
    </w:p>
    <w:p>
      <w:pPr>
        <w:ind w:right="80" w:firstLine="357"/>
        <w:spacing w:after="0" w:line="275"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63"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Memorandum of Association and Bye-laws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affirmative votes of at least a majority of all issued and outstanding shares.</w:t>
      </w:r>
    </w:p>
    <w:p>
      <w:pPr>
        <w:spacing w:after="0" w:line="72" w:lineRule="exact"/>
        <w:rPr>
          <w:sz w:val="20"/>
          <w:szCs w:val="20"/>
          <w:color w:val="auto"/>
        </w:rPr>
      </w:pPr>
    </w:p>
    <w:p>
      <w:pPr>
        <w:ind w:right="180" w:firstLine="357"/>
        <w:spacing w:after="0" w:line="344" w:lineRule="auto"/>
        <w:rPr>
          <w:sz w:val="20"/>
          <w:szCs w:val="20"/>
          <w:color w:val="auto"/>
        </w:rPr>
      </w:pPr>
      <w:r>
        <w:rPr>
          <w:rFonts w:ascii="Arial" w:cs="Arial" w:eastAsia="Arial" w:hAnsi="Arial"/>
          <w:sz w:val="17"/>
          <w:szCs w:val="17"/>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12" w:name="page113"/>
    <w:bookmarkEnd w:id="112"/>
    <w:p>
      <w:pPr>
        <w:ind w:right="20"/>
        <w:spacing w:after="0" w:line="258" w:lineRule="auto"/>
        <w:rPr>
          <w:sz w:val="20"/>
          <w:szCs w:val="20"/>
          <w:color w:val="auto"/>
        </w:rPr>
      </w:pPr>
      <w:r>
        <w:rPr>
          <w:rFonts w:ascii="Arial" w:cs="Arial" w:eastAsia="Arial" w:hAnsi="Arial"/>
          <w:sz w:val="19"/>
          <w:szCs w:val="19"/>
          <w:color w:val="auto"/>
        </w:rPr>
        <w:t>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Amalgamations, Mergers and Business Combinations</w:t>
      </w:r>
    </w:p>
    <w:p>
      <w:pPr>
        <w:spacing w:after="0" w:line="125"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provide that a merger or an amalgamation must only be approved by the affirmative votes of a majority of the votes attaching to all issued and outstanding shares entitling the shareholder to vote on such resolutions.</w:t>
      </w:r>
    </w:p>
    <w:p>
      <w:pPr>
        <w:spacing w:after="0" w:line="63"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Suits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7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72"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Capitalization of Profits and Reserves</w:t>
      </w:r>
    </w:p>
    <w:p>
      <w:pPr>
        <w:spacing w:after="0" w:line="125"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3" w:name="page114"/>
    <w:bookmarkEnd w:id="113"/>
    <w:p>
      <w:pPr>
        <w:jc w:val="both"/>
        <w:ind w:right="440"/>
        <w:spacing w:after="0" w:line="313" w:lineRule="auto"/>
        <w:rPr>
          <w:sz w:val="20"/>
          <w:szCs w:val="20"/>
          <w:color w:val="auto"/>
        </w:rPr>
      </w:pPr>
      <w:r>
        <w:rPr>
          <w:rFonts w:ascii="Arial" w:cs="Arial" w:eastAsia="Arial" w:hAnsi="Arial"/>
          <w:sz w:val="17"/>
          <w:szCs w:val="17"/>
          <w:color w:val="auto"/>
        </w:rPr>
        <w:t>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Calls on Shares and Forfeiture</w:t>
      </w:r>
    </w:p>
    <w:p>
      <w:pPr>
        <w:spacing w:after="0" w:line="125"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Untraced Shareholders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Provisions of Bermuda Law</w:t>
      </w:r>
    </w:p>
    <w:p>
      <w:pPr>
        <w:spacing w:after="0" w:line="125"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7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The Bermuda Monetary Authority has given its consent for the issue and free transferability of all our common shares to and between non-residents of Bermuda for exchange control purposes, provided that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77" w:lineRule="exact"/>
        <w:rPr>
          <w:sz w:val="20"/>
          <w:szCs w:val="20"/>
          <w:color w:val="auto"/>
        </w:rPr>
      </w:pPr>
    </w:p>
    <w:p>
      <w:pPr>
        <w:ind w:right="140" w:firstLine="357"/>
        <w:spacing w:after="0" w:line="302" w:lineRule="auto"/>
        <w:rPr>
          <w:sz w:val="20"/>
          <w:szCs w:val="20"/>
          <w:color w:val="auto"/>
        </w:rPr>
      </w:pPr>
      <w:r>
        <w:rPr>
          <w:rFonts w:ascii="Arial" w:cs="Arial" w:eastAsia="Arial" w:hAnsi="Arial"/>
          <w:sz w:val="17"/>
          <w:szCs w:val="17"/>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b w:val="1"/>
          <w:bCs w:val="1"/>
          <w:color w:val="auto"/>
        </w:rPr>
        <w:t>C. Material Contracts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following is a summary of each material contract, other than contracts entered into in the ordinary course of business, to which we or any of our subsidiaries is a party, for the two years immediately preceding the date of this annual report. Such summaries are not intended to be complete and reference is made to the contracts themselves, which are exhibits to this annual report.</w:t>
      </w:r>
    </w:p>
    <w:p>
      <w:pPr>
        <w:spacing w:after="0" w:line="54" w:lineRule="exact"/>
        <w:rPr>
          <w:sz w:val="20"/>
          <w:szCs w:val="20"/>
          <w:color w:val="auto"/>
        </w:rPr>
      </w:pPr>
    </w:p>
    <w:p>
      <w:pPr>
        <w:ind w:left="840" w:right="160" w:hanging="304"/>
        <w:spacing w:after="0" w:line="312" w:lineRule="auto"/>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Rights Agreement among GasLog Ltd. and the shareholders named therein, dated as of April 4, 2012; please see “Item 7. Major Shareholders and Related Party Transactions—B. Related Party Transactions—Registration Rights Agreement”.</w:t>
      </w:r>
    </w:p>
    <w:p>
      <w:pPr>
        <w:spacing w:after="0" w:line="2" w:lineRule="exact"/>
        <w:rPr>
          <w:rFonts w:ascii="Arial" w:cs="Arial" w:eastAsia="Arial" w:hAnsi="Arial"/>
          <w:sz w:val="18"/>
          <w:szCs w:val="18"/>
          <w:color w:val="auto"/>
        </w:rPr>
      </w:pPr>
    </w:p>
    <w:p>
      <w:pPr>
        <w:ind w:left="840" w:hanging="315"/>
        <w:spacing w:after="0" w:line="297"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Facility Agreement dated December 23, 2011, relating to a $435,000,000 loan facility among GAS-eight Ltd., GAS-nine Ltd. and GAS-ten Ltd. as borrowers, DnB Bank ASA, Commonwealth Bank of Australia, Danish Ship Finance A/S, ING Bank N.V. and Skandinaviska Enskilda Banken AB (publ) as mandated lead arrangers, the financial institutions listed in Schedule 1 thereto as lenders, the financial institutions listed in Schedule 1 thereto as hedging providers and DnB Bank ASA as bookrunner, agent and security agent; please see “Item 5. Operating and Financial Review and Prospects—B. Liquidity and Capital Resources—Credit Facilities”.</w:t>
      </w:r>
    </w:p>
    <w:p>
      <w:pPr>
        <w:spacing w:after="0" w:line="32" w:lineRule="exact"/>
        <w:rPr>
          <w:rFonts w:ascii="Arial" w:cs="Arial" w:eastAsia="Arial" w:hAnsi="Arial"/>
          <w:sz w:val="17"/>
          <w:szCs w:val="17"/>
          <w:color w:val="auto"/>
        </w:rPr>
      </w:pPr>
    </w:p>
    <w:p>
      <w:pPr>
        <w:ind w:left="840" w:right="180" w:hanging="304"/>
        <w:spacing w:after="0" w:line="267"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Master Time Charter Party among GAS-one Ltd., GAS-two Ltd., GAS-three Ltd., GAS-four Ltd., GAS-five Ltd., GAS-six Ltd. and Methane Services Limited, dated May 9, 2011; please see “Item 4. Information on the Company—B. Business Overview—Ship Time Charters”.</w:t>
      </w:r>
    </w:p>
    <w:p>
      <w:pPr>
        <w:spacing w:after="0" w:line="54" w:lineRule="exact"/>
        <w:rPr>
          <w:rFonts w:ascii="Arial" w:cs="Arial" w:eastAsia="Arial" w:hAnsi="Arial"/>
          <w:sz w:val="19"/>
          <w:szCs w:val="19"/>
          <w:color w:val="auto"/>
        </w:rPr>
      </w:pPr>
    </w:p>
    <w:p>
      <w:pPr>
        <w:ind w:left="840" w:right="40" w:hanging="315"/>
        <w:spacing w:after="0" w:line="267"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Transactions—B. Related Party Transactions—Office Space and Related Arrangements”.</w:t>
      </w:r>
    </w:p>
    <w:p>
      <w:pPr>
        <w:spacing w:after="0" w:line="54" w:lineRule="exact"/>
        <w:rPr>
          <w:rFonts w:ascii="Arial" w:cs="Arial" w:eastAsia="Arial" w:hAnsi="Arial"/>
          <w:sz w:val="19"/>
          <w:szCs w:val="19"/>
          <w:color w:val="auto"/>
        </w:rPr>
      </w:pPr>
    </w:p>
    <w:p>
      <w:pPr>
        <w:ind w:left="840" w:right="500" w:hanging="304"/>
        <w:spacing w:after="0" w:line="283"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Form of Indemnification Agreement for the Company’s directors and certain officers; please see “Item 7. Major Shareholders and Related Party Transactions—B. Related Party Transactions—Indemnification Agreements”.</w:t>
      </w:r>
    </w:p>
    <w:p>
      <w:pPr>
        <w:spacing w:after="0" w:line="38" w:lineRule="exact"/>
        <w:rPr>
          <w:rFonts w:ascii="Arial" w:cs="Arial" w:eastAsia="Arial" w:hAnsi="Arial"/>
          <w:sz w:val="19"/>
          <w:szCs w:val="19"/>
          <w:color w:val="auto"/>
        </w:rPr>
      </w:pPr>
    </w:p>
    <w:p>
      <w:pPr>
        <w:ind w:left="840" w:right="280" w:hanging="283"/>
        <w:spacing w:after="0" w:line="339"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 w:lineRule="exact"/>
        <w:rPr>
          <w:rFonts w:ascii="Arial" w:cs="Arial" w:eastAsia="Arial" w:hAnsi="Arial"/>
          <w:sz w:val="17"/>
          <w:szCs w:val="17"/>
          <w:color w:val="auto"/>
        </w:rPr>
      </w:pPr>
    </w:p>
    <w:p>
      <w:pPr>
        <w:ind w:left="840" w:right="460" w:hanging="315"/>
        <w:spacing w:after="0" w:line="283"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GasLog Ltd. 2013 Omnibus Incentive Compensation Plan; please see “Item 6. Directors, Senior Management and Employees—B. Compensation of Directors and Senior Management—Equity Compensation Plans”.</w:t>
      </w:r>
    </w:p>
    <w:p>
      <w:pPr>
        <w:spacing w:after="0" w:line="38" w:lineRule="exact"/>
        <w:rPr>
          <w:rFonts w:ascii="Arial" w:cs="Arial" w:eastAsia="Arial" w:hAnsi="Arial"/>
          <w:sz w:val="19"/>
          <w:szCs w:val="19"/>
          <w:color w:val="auto"/>
        </w:rPr>
      </w:pPr>
    </w:p>
    <w:p>
      <w:pPr>
        <w:ind w:left="840" w:hanging="315"/>
        <w:spacing w:after="0" w:line="258"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 please see “Item 5. Operating and Financial Review and Prospects—B. Liquidity and Capital Resources—Credit Facilities”.</w:t>
      </w:r>
    </w:p>
    <w:p>
      <w:pPr>
        <w:spacing w:after="0" w:line="62" w:lineRule="exact"/>
        <w:rPr>
          <w:rFonts w:ascii="Arial" w:cs="Arial" w:eastAsia="Arial" w:hAnsi="Arial"/>
          <w:sz w:val="19"/>
          <w:szCs w:val="19"/>
          <w:color w:val="auto"/>
        </w:rPr>
      </w:pPr>
    </w:p>
    <w:p>
      <w:pPr>
        <w:ind w:left="840" w:right="140" w:hanging="272"/>
        <w:spacing w:after="0" w:line="283"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Corporate Guarantee between GasLog Partners LP and Citibank, N.A., London Branch, dated November 12, 2014; please see “Item 5. Operating and Financial Review and Prospects—B. Liquidity and Capital Resources—Credit Facilities”.</w:t>
      </w:r>
    </w:p>
    <w:p>
      <w:pPr>
        <w:spacing w:after="0" w:line="38" w:lineRule="exact"/>
        <w:rPr>
          <w:rFonts w:ascii="Arial" w:cs="Arial" w:eastAsia="Arial" w:hAnsi="Arial"/>
          <w:sz w:val="19"/>
          <w:szCs w:val="19"/>
          <w:color w:val="auto"/>
        </w:rPr>
      </w:pPr>
    </w:p>
    <w:p>
      <w:pPr>
        <w:ind w:left="840" w:right="260" w:hanging="272"/>
        <w:spacing w:after="0" w:line="262" w:lineRule="auto"/>
        <w:tabs>
          <w:tab w:leader="none" w:pos="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15" w:name="page116"/>
    <w:bookmarkEnd w:id="115"/>
    <w:p>
      <w:pPr>
        <w:ind w:left="840" w:right="80"/>
        <w:spacing w:after="0" w:line="258" w:lineRule="auto"/>
        <w:rPr>
          <w:sz w:val="20"/>
          <w:szCs w:val="20"/>
          <w:color w:val="auto"/>
        </w:rPr>
      </w:pPr>
      <w:r>
        <w:rPr>
          <w:rFonts w:ascii="Arial" w:cs="Arial" w:eastAsia="Arial" w:hAnsi="Arial"/>
          <w:sz w:val="19"/>
          <w:szCs w:val="19"/>
          <w:color w:val="auto"/>
        </w:rPr>
        <w:t>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co-oordinator, bookrunner and export credit agent co-ordinator, guaranteed by GasLog Ltd. and GasLog Carriers Ltd.; please see “Item 5. Operating and Financial Review and Prospects—B. Liquidity and Capital Resources—Credit Facilities”.</w:t>
      </w:r>
    </w:p>
    <w:p>
      <w:pPr>
        <w:spacing w:after="0" w:line="63" w:lineRule="exact"/>
        <w:rPr>
          <w:sz w:val="20"/>
          <w:szCs w:val="20"/>
          <w:color w:val="auto"/>
        </w:rPr>
      </w:pPr>
    </w:p>
    <w:p>
      <w:pPr>
        <w:ind w:left="840" w:right="40" w:hanging="315"/>
        <w:spacing w:after="0" w:line="275" w:lineRule="auto"/>
        <w:tabs>
          <w:tab w:leader="none" w:pos="8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Prospects—B. Liquidity and Capital Resources—Credit Facilities”.</w:t>
      </w:r>
    </w:p>
    <w:p>
      <w:pPr>
        <w:spacing w:after="0" w:line="49" w:lineRule="exact"/>
        <w:rPr>
          <w:rFonts w:ascii="Arial" w:cs="Arial" w:eastAsia="Arial" w:hAnsi="Arial"/>
          <w:sz w:val="18"/>
          <w:szCs w:val="18"/>
          <w:color w:val="auto"/>
        </w:rPr>
      </w:pPr>
    </w:p>
    <w:p>
      <w:pPr>
        <w:ind w:left="840" w:right="40" w:hanging="272"/>
        <w:spacing w:after="0" w:line="258" w:lineRule="auto"/>
        <w:tabs>
          <w:tab w:leader="none" w:pos="8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as original lenders and DNB Bank ASA, London Branch as agent and security agent.; please see “Item 5. Operating and Financial Review and Prospects—B. Liquidity and Capital Resources—Credit Facilities”.</w:t>
      </w:r>
    </w:p>
    <w:p>
      <w:pPr>
        <w:spacing w:after="0" w:line="62" w:lineRule="exact"/>
        <w:rPr>
          <w:rFonts w:ascii="Arial" w:cs="Arial" w:eastAsia="Arial" w:hAnsi="Arial"/>
          <w:sz w:val="19"/>
          <w:szCs w:val="19"/>
          <w:color w:val="auto"/>
        </w:rPr>
      </w:pPr>
    </w:p>
    <w:p>
      <w:pPr>
        <w:ind w:left="840" w:hanging="369"/>
        <w:spacing w:after="0" w:line="267" w:lineRule="auto"/>
        <w:tabs>
          <w:tab w:leader="none" w:pos="8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Form of Corporate Guarantee between GasLog Ltd. and DNB Bank ASA, London Branch (provided in respect of the Junior Facility Agreement and the Senior Facility Agreement, each dated February 18, 2016); please see “Item 5. Operating and Financial Review and Prospects—B. Liquidity and Capital Resources—Credit Facilities”.</w:t>
      </w:r>
    </w:p>
    <w:p>
      <w:pPr>
        <w:spacing w:after="0" w:line="54" w:lineRule="exact"/>
        <w:rPr>
          <w:rFonts w:ascii="Arial" w:cs="Arial" w:eastAsia="Arial" w:hAnsi="Arial"/>
          <w:sz w:val="19"/>
          <w:szCs w:val="19"/>
          <w:color w:val="auto"/>
        </w:rPr>
      </w:pPr>
    </w:p>
    <w:p>
      <w:pPr>
        <w:jc w:val="both"/>
        <w:ind w:left="840" w:right="260" w:hanging="315"/>
        <w:spacing w:after="0" w:line="267" w:lineRule="auto"/>
        <w:tabs>
          <w:tab w:leader="none" w:pos="8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Prospects—B. Liquidity and Capital Resources—Credit Facilities”.</w:t>
      </w:r>
    </w:p>
    <w:p>
      <w:pPr>
        <w:spacing w:after="0" w:line="54" w:lineRule="exact"/>
        <w:rPr>
          <w:rFonts w:ascii="Arial" w:cs="Arial" w:eastAsia="Arial" w:hAnsi="Arial"/>
          <w:sz w:val="19"/>
          <w:szCs w:val="19"/>
          <w:color w:val="auto"/>
        </w:rPr>
      </w:pPr>
    </w:p>
    <w:p>
      <w:pPr>
        <w:ind w:left="840" w:hanging="315"/>
        <w:spacing w:after="0" w:line="275" w:lineRule="auto"/>
        <w:tabs>
          <w:tab w:leader="none" w:pos="8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Resources—Credit Facilities”.</w:t>
      </w:r>
    </w:p>
    <w:p>
      <w:pPr>
        <w:spacing w:after="0" w:line="272" w:lineRule="exact"/>
        <w:rPr>
          <w:rFonts w:ascii="Arial" w:cs="Arial" w:eastAsia="Arial" w:hAnsi="Arial"/>
          <w:sz w:val="18"/>
          <w:szCs w:val="18"/>
          <w:color w:val="auto"/>
        </w:rPr>
      </w:pPr>
    </w:p>
    <w:p>
      <w:pPr>
        <w:ind w:left="240" w:hanging="232"/>
        <w:spacing w:after="0"/>
        <w:tabs>
          <w:tab w:leader="none" w:pos="24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Exchange Controls and Other Limitations Affecting Security Holders</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52"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39" w:right="319" w:bottom="1440" w:gutter="0" w:footer="0" w:header="0"/>
        </w:sectPr>
      </w:pPr>
    </w:p>
    <w:bookmarkStart w:id="116" w:name="page117"/>
    <w:bookmarkEnd w:id="116"/>
    <w:p>
      <w:pPr>
        <w:ind w:right="480"/>
        <w:spacing w:after="0" w:line="283" w:lineRule="auto"/>
        <w:rPr>
          <w:sz w:val="20"/>
          <w:szCs w:val="20"/>
          <w:color w:val="auto"/>
        </w:rPr>
      </w:pPr>
      <w:r>
        <w:rPr>
          <w:rFonts w:ascii="Arial" w:cs="Arial" w:eastAsia="Arial" w:hAnsi="Arial"/>
          <w:sz w:val="19"/>
          <w:szCs w:val="19"/>
          <w:color w:val="auto"/>
        </w:rPr>
        <w:t>funds (other than funds denominated in Bermuda dollars) in and out of Bermuda or to pay dividends to U.S. residents who are holders of our common shares.</w:t>
      </w:r>
    </w:p>
    <w:p>
      <w:pPr>
        <w:spacing w:after="0" w:line="52"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 Tax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Bermuda Tax Considerations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following discussion summarizes the material U.S. Federal income tax consequences to us of our activities and, subject to the limitations described above, to you as a holder of our common shares or Preference Shares.</w:t>
      </w:r>
    </w:p>
    <w:p>
      <w:pPr>
        <w:spacing w:after="0" w:line="38"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Taxation of Our Operating Income</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U.S. Taxation of Shipping Income</w:t>
      </w:r>
    </w:p>
    <w:p>
      <w:pPr>
        <w:spacing w:after="0" w:line="119" w:lineRule="exact"/>
        <w:rPr>
          <w:sz w:val="20"/>
          <w:szCs w:val="20"/>
          <w:color w:val="auto"/>
        </w:rPr>
      </w:pPr>
    </w:p>
    <w:p>
      <w:pPr>
        <w:ind w:right="460" w:firstLine="357"/>
        <w:spacing w:after="0" w:line="267" w:lineRule="auto"/>
        <w:rPr>
          <w:sz w:val="20"/>
          <w:szCs w:val="20"/>
          <w:color w:val="auto"/>
        </w:rPr>
      </w:pPr>
      <w:r>
        <w:rPr>
          <w:rFonts w:ascii="Arial" w:cs="Arial" w:eastAsia="Arial" w:hAnsi="Arial"/>
          <w:sz w:val="19"/>
          <w:szCs w:val="19"/>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would impose on us a</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4% U.S. income tax in respect of our U.S. source gross transportation income (without the allowance for deductions).</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income tax.</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106" w:lineRule="exact"/>
        <w:rPr>
          <w:sz w:val="20"/>
          <w:szCs w:val="20"/>
          <w:color w:val="auto"/>
        </w:rPr>
      </w:pPr>
    </w:p>
    <w:p>
      <w:pPr>
        <w:ind w:left="860" w:hanging="279"/>
        <w:spacing w:after="0"/>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92" w:lineRule="exact"/>
        <w:rPr>
          <w:rFonts w:ascii="Arial" w:cs="Arial" w:eastAsia="Arial" w:hAnsi="Arial"/>
          <w:sz w:val="19"/>
          <w:szCs w:val="19"/>
          <w:color w:val="auto"/>
        </w:rPr>
      </w:pPr>
    </w:p>
    <w:p>
      <w:pPr>
        <w:ind w:left="860" w:hanging="332"/>
        <w:spacing w:after="0"/>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05" w:lineRule="exact"/>
        <w:rPr>
          <w:rFonts w:ascii="Arial" w:cs="Arial" w:eastAsia="Arial" w:hAnsi="Arial"/>
          <w:sz w:val="19"/>
          <w:szCs w:val="19"/>
          <w:color w:val="auto"/>
        </w:rPr>
      </w:pPr>
    </w:p>
    <w:p>
      <w:pPr>
        <w:ind w:left="860" w:right="100" w:hanging="386"/>
        <w:spacing w:after="0" w:line="283" w:lineRule="auto"/>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38" w:lineRule="exact"/>
        <w:rPr>
          <w:rFonts w:ascii="Arial" w:cs="Arial" w:eastAsia="Arial" w:hAnsi="Arial"/>
          <w:sz w:val="19"/>
          <w:szCs w:val="19"/>
          <w:color w:val="auto"/>
        </w:rPr>
      </w:pPr>
    </w:p>
    <w:p>
      <w:pPr>
        <w:ind w:left="860" w:hanging="375"/>
        <w:spacing w:after="0"/>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will be exempt from U.S. Federal income tax on our U.S. source gross transportation income if:</w:t>
      </w:r>
    </w:p>
    <w:p>
      <w:pPr>
        <w:spacing w:after="0" w:line="38" w:lineRule="exact"/>
        <w:rPr>
          <w:sz w:val="20"/>
          <w:szCs w:val="20"/>
          <w:color w:val="auto"/>
        </w:rPr>
      </w:pPr>
    </w:p>
    <w:p>
      <w:pPr>
        <w:ind w:left="800" w:right="40" w:hanging="286"/>
        <w:spacing w:after="0" w:line="283" w:lineRule="auto"/>
        <w:tabs>
          <w:tab w:leader="none" w:pos="8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we are organized in a foreign country (the “country of organization”) that grants an “equivalent exemption” to corporations organized in the United States; and</w:t>
      </w:r>
    </w:p>
    <w:p>
      <w:pPr>
        <w:spacing w:after="0" w:line="38" w:lineRule="exact"/>
        <w:rPr>
          <w:rFonts w:ascii="Arial" w:cs="Arial" w:eastAsia="Arial" w:hAnsi="Arial"/>
          <w:sz w:val="19"/>
          <w:szCs w:val="19"/>
          <w:color w:val="auto"/>
        </w:rPr>
      </w:pPr>
    </w:p>
    <w:p>
      <w:pPr>
        <w:ind w:left="800" w:hanging="340"/>
        <w:spacing w:after="0"/>
        <w:tabs>
          <w:tab w:leader="none" w:pos="8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either</w:t>
      </w:r>
    </w:p>
    <w:p>
      <w:pPr>
        <w:spacing w:after="0" w:line="105" w:lineRule="exact"/>
        <w:rPr>
          <w:rFonts w:ascii="Arial" w:cs="Arial" w:eastAsia="Arial" w:hAnsi="Arial"/>
          <w:sz w:val="19"/>
          <w:szCs w:val="19"/>
          <w:color w:val="auto"/>
        </w:rPr>
      </w:pPr>
    </w:p>
    <w:p>
      <w:pPr>
        <w:ind w:left="1160" w:right="220" w:hanging="314"/>
        <w:spacing w:after="0" w:line="267" w:lineRule="auto"/>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54" w:lineRule="exact"/>
        <w:rPr>
          <w:rFonts w:ascii="Arial" w:cs="Arial" w:eastAsia="Arial" w:hAnsi="Arial"/>
          <w:sz w:val="19"/>
          <w:szCs w:val="19"/>
          <w:color w:val="auto"/>
        </w:rPr>
      </w:pPr>
    </w:p>
    <w:p>
      <w:pPr>
        <w:ind w:left="1160" w:right="620" w:hanging="325"/>
        <w:spacing w:after="0" w:line="344" w:lineRule="auto"/>
        <w:tabs>
          <w:tab w:leader="none" w:pos="11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7"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We are currently not entitled to this exemption under Section 883 for any tax year. As a result, we are subject to the 4% U.S. Federal income tax under Section 887 on our U.S. source gross transportation income (subject to the discussion of “effectively connected income” below). For 2016, the U.S. source gross transportation tax was $0.30 million.</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Because we are unable to qualify for the exemption under Section 883, our U.S. source gross transportation income in future years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U.S. source gross transportation income would be considered effectively connected with the conduct of a U.S. trade or business only if:</w:t>
      </w:r>
    </w:p>
    <w:p>
      <w:pPr>
        <w:spacing w:after="0" w:line="129" w:lineRule="exact"/>
        <w:rPr>
          <w:sz w:val="20"/>
          <w:szCs w:val="20"/>
          <w:color w:val="auto"/>
        </w:rPr>
      </w:pPr>
    </w:p>
    <w:p>
      <w:pPr>
        <w:ind w:left="800" w:right="840" w:hanging="286"/>
        <w:spacing w:after="0" w:line="283" w:lineRule="auto"/>
        <w:tabs>
          <w:tab w:leader="none" w:pos="8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24" w:lineRule="exact"/>
        <w:rPr>
          <w:rFonts w:ascii="Arial" w:cs="Arial" w:eastAsia="Arial" w:hAnsi="Arial"/>
          <w:sz w:val="19"/>
          <w:szCs w:val="19"/>
          <w:color w:val="auto"/>
        </w:rPr>
      </w:pPr>
    </w:p>
    <w:p>
      <w:pPr>
        <w:ind w:left="800" w:right="260" w:hanging="340"/>
        <w:spacing w:after="0" w:line="267" w:lineRule="auto"/>
        <w:tabs>
          <w:tab w:leader="none" w:pos="8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81"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38"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In addition, income attributable to transportation that both begins and ends in the United States is not subject to the tax rules described above. Such income is subject to either a 30% gross-basis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18" w:name="page119"/>
    <w:bookmarkEnd w:id="118"/>
    <w:p>
      <w:pPr>
        <w:ind w:right="360"/>
        <w:spacing w:after="0" w:line="283" w:lineRule="auto"/>
        <w:rPr>
          <w:sz w:val="20"/>
          <w:szCs w:val="20"/>
          <w:color w:val="auto"/>
        </w:rPr>
      </w:pPr>
      <w:r>
        <w:rPr>
          <w:rFonts w:ascii="Arial" w:cs="Arial" w:eastAsia="Arial" w:hAnsi="Arial"/>
          <w:sz w:val="19"/>
          <w:szCs w:val="19"/>
          <w:color w:val="auto"/>
        </w:rPr>
        <w:t>tax or to U.S. corporate income tax on net income at rates of up to 35% (and the branch profits tax discussed above). Although there can be no assurance, we do not expect to engage in transportation that produces shipping income of this type.</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Gain on Sale of Shipping Assets</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United States Holders</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You are a “U.S. holder” if you are a beneficial owner of our common shares or Preference Shares and you are a U.S. citizen or resident, a U.S. corporation (or other U.S. entity taxable as a corporation), an estate the income of which is subject to U.S. Federal income taxation regardless of its source, or a trust if (i) a court within the United States is able to exercise primary jurisdiction over the administration of the trust and one or more U.S. persons have the authority to control all substantial decisions of the trust or (ii) the trust has a valid election in effect to be treated as a U.S. Federal income tax purposes.</w:t>
      </w:r>
    </w:p>
    <w:p>
      <w:pPr>
        <w:spacing w:after="0" w:line="77"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Distributions on Our Common Shares and Preference Shares</w:t>
      </w:r>
    </w:p>
    <w:p>
      <w:pPr>
        <w:spacing w:after="0" w:line="119"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 first as a nontaxable return of capital to the extent of your tax basis in our common shares or Preference Shares (on a dollar-for-dollar basis) and thereafter as capital gain.</w:t>
      </w:r>
    </w:p>
    <w:p>
      <w:pPr>
        <w:spacing w:after="0" w:line="43"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Because we are not a U.S. corporation, if you are a U.S. corporation (or a U.S. entity taxable as a corporation), you will not be entitled to claim a dividends-received deduction with respect to any distributions you receive from us.</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Dividends paid with respect to our common shares or Preference Shares will generally be treated as “passive category income” for purposes of computing allowable foreign tax credits for U.S. foreign tax credit purposes.</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38" w:lineRule="exact"/>
        <w:rPr>
          <w:sz w:val="20"/>
          <w:szCs w:val="20"/>
          <w:color w:val="auto"/>
        </w:rPr>
      </w:pPr>
    </w:p>
    <w:p>
      <w:pPr>
        <w:ind w:left="860" w:right="560" w:hanging="279"/>
        <w:spacing w:after="0" w:line="283" w:lineRule="auto"/>
        <w:tabs>
          <w:tab w:leader="none" w:pos="8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our common shares or Preference Shares are readily tradable on an established securities market in the United States (such as the NYSE);</w:t>
      </w:r>
    </w:p>
    <w:p>
      <w:pPr>
        <w:spacing w:after="0" w:line="24" w:lineRule="exact"/>
        <w:rPr>
          <w:rFonts w:ascii="Arial" w:cs="Arial" w:eastAsia="Arial" w:hAnsi="Arial"/>
          <w:sz w:val="19"/>
          <w:szCs w:val="19"/>
          <w:color w:val="auto"/>
        </w:rPr>
      </w:pPr>
    </w:p>
    <w:p>
      <w:pPr>
        <w:ind w:left="860" w:right="260" w:hanging="332"/>
        <w:spacing w:after="0" w:line="283" w:lineRule="auto"/>
        <w:tabs>
          <w:tab w:leader="none" w:pos="8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we are not a PFIC for the tax year during which the dividend is paid or the immediately preceding tax year (see the discussion below under “—PFIC Status and Significant Tax Consequences”);</w:t>
      </w:r>
    </w:p>
    <w:p>
      <w:pPr>
        <w:spacing w:after="0" w:line="38" w:lineRule="exact"/>
        <w:rPr>
          <w:rFonts w:ascii="Arial" w:cs="Arial" w:eastAsia="Arial" w:hAnsi="Arial"/>
          <w:sz w:val="19"/>
          <w:szCs w:val="19"/>
          <w:color w:val="auto"/>
        </w:rPr>
      </w:pPr>
    </w:p>
    <w:p>
      <w:pPr>
        <w:ind w:left="860" w:right="300" w:hanging="386"/>
        <w:spacing w:after="0" w:line="283" w:lineRule="auto"/>
        <w:tabs>
          <w:tab w:leader="none" w:pos="8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you own our common shares or Preference Shares for more than 60 days in the 121-day period beginning 60 days before the date on which the common shares or Preference Shares become ex-dividend;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9" w:name="page120"/>
    <w:bookmarkEnd w:id="119"/>
    <w:p>
      <w:pPr>
        <w:ind w:left="860" w:hanging="375"/>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are not under an obligation to make related payments with respect to positions in substantially similar or related property; and</w:t>
      </w:r>
    </w:p>
    <w:p>
      <w:pPr>
        <w:spacing w:after="0" w:line="117" w:lineRule="exact"/>
        <w:rPr>
          <w:rFonts w:ascii="Arial" w:cs="Arial" w:eastAsia="Arial" w:hAnsi="Arial"/>
          <w:sz w:val="18"/>
          <w:szCs w:val="18"/>
          <w:color w:val="auto"/>
        </w:rPr>
      </w:pPr>
    </w:p>
    <w:p>
      <w:pPr>
        <w:ind w:left="860" w:hanging="322"/>
        <w:spacing w:after="0"/>
        <w:tabs>
          <w:tab w:leader="none" w:pos="8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certain other conditions are met.</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Special rules may apply to any “extraordinary dividend”. Generally, an extraordinary dividend is a dividend in an amount that is equal to (or in excess of) 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There is no assurance that dividends you receive from us will be eligible for the preferential tax rates applicable to qualified dividend income.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Dividends you receive from us that are not eligible for the preferential tax rates will be taxed at ordinary income rates.</w:t>
      </w:r>
    </w:p>
    <w:p>
      <w:pPr>
        <w:spacing w:after="0" w:line="31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Sale, Exchange or Other Disposition of Common Shares and Preference Shares</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Unearned Income Medicare Contribution Tax</w:t>
      </w:r>
    </w:p>
    <w:p>
      <w:pPr>
        <w:spacing w:after="0" w:line="119" w:lineRule="exact"/>
        <w:rPr>
          <w:sz w:val="20"/>
          <w:szCs w:val="20"/>
          <w:color w:val="auto"/>
        </w:rPr>
      </w:pPr>
    </w:p>
    <w:p>
      <w:pPr>
        <w:ind w:right="40" w:firstLine="357"/>
        <w:spacing w:after="0" w:line="275"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PFIC Status and Significant Tax Consequences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 General</w:t>
      </w:r>
    </w:p>
    <w:p>
      <w:pPr>
        <w:spacing w:after="0" w:line="119"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Special U.S. income tax rules apply to you if you hold shares in a non-U.S. corporation that is classified as a PFIC for U.S. income tax purposes. In general, under Section 1297 of the Code, we will be treated as a PFIC in any tax year in which, after applying certain look-through rules, either:</w:t>
      </w:r>
    </w:p>
    <w:p>
      <w:pPr>
        <w:spacing w:after="0" w:line="54" w:lineRule="exact"/>
        <w:rPr>
          <w:sz w:val="20"/>
          <w:szCs w:val="20"/>
          <w:color w:val="auto"/>
        </w:rPr>
      </w:pPr>
    </w:p>
    <w:p>
      <w:pPr>
        <w:ind w:left="800" w:right="220" w:hanging="286"/>
        <w:spacing w:after="0" w:line="267" w:lineRule="auto"/>
        <w:tabs>
          <w:tab w:leader="none" w:pos="8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54" w:lineRule="exact"/>
        <w:rPr>
          <w:rFonts w:ascii="Arial" w:cs="Arial" w:eastAsia="Arial" w:hAnsi="Arial"/>
          <w:sz w:val="19"/>
          <w:szCs w:val="19"/>
          <w:color w:val="auto"/>
        </w:rPr>
      </w:pPr>
    </w:p>
    <w:p>
      <w:pPr>
        <w:ind w:left="800" w:right="160" w:hanging="340"/>
        <w:spacing w:after="0" w:line="283" w:lineRule="auto"/>
        <w:tabs>
          <w:tab w:leader="none" w:pos="8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at least 50% of the average value of our assets including our proportionate share of the assets of our vessel-owning subsidiaries during such tax year that produce, or are held for the production of, passive income.</w:t>
      </w:r>
    </w:p>
    <w:p>
      <w:pPr>
        <w:spacing w:after="0" w:line="52"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Income we earn, or are deemed to earn, in connection with the performance of services will not constitute passive income. By contrast, rental income will generally constitute passive income (unless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we are treated under certain special rules as deriving our rental income in the active conduct of a trade or business).</w:t>
      </w:r>
    </w:p>
    <w:p>
      <w:pPr>
        <w:spacing w:after="0" w:line="119"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8"/>
          <w:szCs w:val="18"/>
          <w:i w:val="1"/>
          <w:iCs w:val="1"/>
          <w:color w:val="auto"/>
        </w:rPr>
        <w:t>Tidewater Inc. v. United States</w:t>
      </w:r>
      <w:r>
        <w:rPr>
          <w:rFonts w:ascii="Arial" w:cs="Arial" w:eastAsia="Arial" w:hAnsi="Arial"/>
          <w:sz w:val="18"/>
          <w:szCs w:val="18"/>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recently published guidance, however, the IRS stated that it disagreed with the holding in </w:t>
      </w:r>
      <w:r>
        <w:rPr>
          <w:rFonts w:ascii="Arial" w:cs="Arial" w:eastAsia="Arial" w:hAnsi="Arial"/>
          <w:sz w:val="18"/>
          <w:szCs w:val="18"/>
          <w:i w:val="1"/>
          <w:iCs w:val="1"/>
          <w:color w:val="auto"/>
        </w:rPr>
        <w:t>Tidewater</w:t>
      </w:r>
      <w:r>
        <w:rPr>
          <w:rFonts w:ascii="Arial" w:cs="Arial" w:eastAsia="Arial" w:hAnsi="Arial"/>
          <w:sz w:val="18"/>
          <w:szCs w:val="18"/>
          <w:color w:val="auto"/>
        </w:rPr>
        <w:t>, and specified that time charters should be treated as service contracts. Since we have chartered all our ships to unrelated charterers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basis of time charters and since we expect to continue to do so, we believe that we are not a PFIC. We have received an opinion from our counsel, Cravath, Swaine &amp; Moore LLP, that (i) the income we receive from time chartering activities and assets engaged in generating such income should not be treated as passive income or assets, respectively, and (ii) for the tax year during which our initial public offering occurred and each tax year thereafter, we should not be a PFIC.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can avoid PFIC status in the future.</w:t>
      </w:r>
    </w:p>
    <w:p>
      <w:pPr>
        <w:spacing w:after="0" w:line="72"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U.S. Holders Making a Timely QEF Election</w:t>
      </w:r>
    </w:p>
    <w:p>
      <w:pPr>
        <w:spacing w:after="0" w:line="10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“Taxation of United States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 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7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would make a QEF Election by completing and filing IRS Form 8621 with your U.S.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U.S. holder who requests such information in order to make the QEF Election described above with respect to us.</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U.S. Holders Making a Timely “Mark-to-Market” Election</w:t>
      </w:r>
    </w:p>
    <w:p>
      <w:pPr>
        <w:spacing w:after="0" w:line="11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income tax return for the year for which the election is made in accordance with the relevant instructions. If that election is made, you generally would include as ordinary income in each taxyear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U.S. Holders That Make No Election</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64" w:lineRule="exact"/>
        <w:rPr>
          <w:sz w:val="20"/>
          <w:szCs w:val="20"/>
          <w:color w:val="auto"/>
        </w:rPr>
      </w:pPr>
    </w:p>
    <w:p>
      <w:pPr>
        <w:ind w:left="860" w:right="420" w:hanging="279"/>
        <w:spacing w:after="0" w:line="283" w:lineRule="auto"/>
        <w:tabs>
          <w:tab w:leader="none" w:pos="8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excess distribution or gain would be allocated ratably over your aggregate holding period for our common shares or Preference Shares;</w:t>
      </w:r>
    </w:p>
    <w:p>
      <w:pPr>
        <w:spacing w:after="0" w:line="38" w:lineRule="exact"/>
        <w:rPr>
          <w:rFonts w:ascii="Arial" w:cs="Arial" w:eastAsia="Arial" w:hAnsi="Arial"/>
          <w:sz w:val="19"/>
          <w:szCs w:val="19"/>
          <w:color w:val="auto"/>
        </w:rPr>
      </w:pPr>
    </w:p>
    <w:p>
      <w:pPr>
        <w:ind w:left="860" w:hanging="332"/>
        <w:spacing w:after="0"/>
        <w:tabs>
          <w:tab w:leader="none" w:pos="8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amount allocated to the current tax year would be taxed as ordinary income; and</w:t>
      </w:r>
    </w:p>
    <w:p>
      <w:pPr>
        <w:spacing w:after="0" w:line="105" w:lineRule="exact"/>
        <w:rPr>
          <w:rFonts w:ascii="Arial" w:cs="Arial" w:eastAsia="Arial" w:hAnsi="Arial"/>
          <w:sz w:val="19"/>
          <w:szCs w:val="19"/>
          <w:color w:val="auto"/>
        </w:rPr>
      </w:pPr>
    </w:p>
    <w:p>
      <w:pPr>
        <w:ind w:left="860" w:right="160" w:hanging="386"/>
        <w:spacing w:after="0" w:line="267" w:lineRule="auto"/>
        <w:tabs>
          <w:tab w:leader="none" w:pos="8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Income Taxation of Non-U.S. Holders</w:t>
      </w:r>
    </w:p>
    <w:p>
      <w:pPr>
        <w:spacing w:after="0" w:line="11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You are a “non-U.S. holder” if you are a beneficial owner of our common shares or Preference Shares (other than a partnership for U.S. tax purposes) and you are not a U.S. holder.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Distributions on Our Common Shares and Preference Shares</w:t>
      </w:r>
    </w:p>
    <w:p>
      <w:pPr>
        <w:spacing w:after="0" w:line="119"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You generally will not be subject to U.S.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22" w:name="page123"/>
    <w:bookmarkEnd w:id="122"/>
    <w:p>
      <w:pPr>
        <w:ind w:left="360"/>
        <w:spacing w:after="0"/>
        <w:rPr>
          <w:sz w:val="20"/>
          <w:szCs w:val="20"/>
          <w:color w:val="auto"/>
        </w:rPr>
      </w:pPr>
      <w:r>
        <w:rPr>
          <w:rFonts w:ascii="Arial" w:cs="Arial" w:eastAsia="Arial" w:hAnsi="Arial"/>
          <w:sz w:val="19"/>
          <w:szCs w:val="19"/>
          <w:i w:val="1"/>
          <w:iCs w:val="1"/>
          <w:color w:val="auto"/>
        </w:rPr>
        <w:t>Sale, Exchange or Other Disposition of Our Common Shares and Preference Shares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You generally will not be subject to U.S. income tax or withholding tax on any gain realized upon the sale, exchange or other disposition of our common shares or Preference Shares, unless:</w:t>
      </w:r>
    </w:p>
    <w:p>
      <w:pPr>
        <w:spacing w:after="0" w:line="38" w:lineRule="exact"/>
        <w:rPr>
          <w:sz w:val="20"/>
          <w:szCs w:val="20"/>
          <w:color w:val="auto"/>
        </w:rPr>
      </w:pPr>
    </w:p>
    <w:p>
      <w:pPr>
        <w:ind w:left="800" w:right="280" w:hanging="286"/>
        <w:spacing w:after="0" w:line="267"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40" w:lineRule="exact"/>
        <w:rPr>
          <w:rFonts w:ascii="Arial" w:cs="Arial" w:eastAsia="Arial" w:hAnsi="Arial"/>
          <w:sz w:val="19"/>
          <w:szCs w:val="19"/>
          <w:color w:val="auto"/>
        </w:rPr>
      </w:pPr>
    </w:p>
    <w:p>
      <w:pPr>
        <w:ind w:left="800" w:right="560" w:hanging="340"/>
        <w:spacing w:after="0" w:line="283" w:lineRule="auto"/>
        <w:tabs>
          <w:tab w:leader="none" w:pos="8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you are an individual who is present in the United States for 183 days or more during the tax year of disposition and certain other conditions are met.</w:t>
      </w:r>
    </w:p>
    <w:p>
      <w:pPr>
        <w:spacing w:after="0" w:line="6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States Backup Withholding and Information Reporting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 General</w:t>
      </w:r>
    </w:p>
    <w:p>
      <w:pPr>
        <w:spacing w:after="0" w:line="106"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In general, if you are a non-corporate U.S. holder, dividend payments (or other taxable distributions) made within the United States will be subject to information reporting requirements and backup withholding tax if you:</w:t>
      </w:r>
    </w:p>
    <w:p>
      <w:pPr>
        <w:spacing w:after="0" w:line="38" w:lineRule="exact"/>
        <w:rPr>
          <w:sz w:val="20"/>
          <w:szCs w:val="20"/>
          <w:color w:val="auto"/>
        </w:rPr>
      </w:pPr>
    </w:p>
    <w:p>
      <w:pPr>
        <w:ind w:left="860" w:hanging="279"/>
        <w:spacing w:after="0"/>
        <w:tabs>
          <w:tab w:leader="none" w:pos="8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fail to provide an accurate taxpayer identification number;</w:t>
      </w:r>
    </w:p>
    <w:p>
      <w:pPr>
        <w:spacing w:after="0" w:line="105" w:lineRule="exact"/>
        <w:rPr>
          <w:rFonts w:ascii="Arial" w:cs="Arial" w:eastAsia="Arial" w:hAnsi="Arial"/>
          <w:sz w:val="19"/>
          <w:szCs w:val="19"/>
          <w:color w:val="auto"/>
        </w:rPr>
      </w:pPr>
    </w:p>
    <w:p>
      <w:pPr>
        <w:ind w:left="860" w:right="340" w:hanging="332"/>
        <w:spacing w:after="0" w:line="283" w:lineRule="auto"/>
        <w:tabs>
          <w:tab w:leader="none" w:pos="8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are notified by the IRS that you have failed to report all interest or dividends required to be shown on your U.S. Federal income tax returns; or</w:t>
      </w:r>
    </w:p>
    <w:p>
      <w:pPr>
        <w:spacing w:after="0" w:line="38" w:lineRule="exact"/>
        <w:rPr>
          <w:rFonts w:ascii="Arial" w:cs="Arial" w:eastAsia="Arial" w:hAnsi="Arial"/>
          <w:sz w:val="19"/>
          <w:szCs w:val="19"/>
          <w:color w:val="auto"/>
        </w:rPr>
      </w:pPr>
    </w:p>
    <w:p>
      <w:pPr>
        <w:ind w:left="860" w:hanging="386"/>
        <w:spacing w:after="0"/>
        <w:tabs>
          <w:tab w:leader="none" w:pos="8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certain circumstances, fail to comply with applicable certification requirements.</w:t>
      </w:r>
    </w:p>
    <w:p>
      <w:pPr>
        <w:spacing w:after="0" w:line="119"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If you are a non-U.S. holder, you may be required to establish your exemption from information reporting and backup withholding by certifying your status on IRS Form W-8BEN, W-8BEN-E, W-8ECI or W-8IMY, as applicable.</w:t>
      </w:r>
    </w:p>
    <w:p>
      <w:pPr>
        <w:spacing w:after="0" w:line="52" w:lineRule="exact"/>
        <w:rPr>
          <w:sz w:val="20"/>
          <w:szCs w:val="20"/>
          <w:color w:val="auto"/>
        </w:rPr>
      </w:pPr>
    </w:p>
    <w:p>
      <w:pPr>
        <w:jc w:val="both"/>
        <w:ind w:right="40" w:firstLine="357"/>
        <w:spacing w:after="0" w:line="302" w:lineRule="auto"/>
        <w:rPr>
          <w:sz w:val="20"/>
          <w:szCs w:val="20"/>
          <w:color w:val="auto"/>
        </w:rPr>
      </w:pPr>
      <w:r>
        <w:rPr>
          <w:rFonts w:ascii="Arial" w:cs="Arial" w:eastAsia="Arial" w:hAnsi="Arial"/>
          <w:sz w:val="17"/>
          <w:szCs w:val="17"/>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4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68" w:lineRule="exact"/>
        <w:rPr>
          <w:sz w:val="20"/>
          <w:szCs w:val="20"/>
          <w:color w:val="auto"/>
        </w:rPr>
      </w:pPr>
    </w:p>
    <w:p>
      <w:pPr>
        <w:ind w:right="900" w:firstLine="357"/>
        <w:spacing w:after="0" w:line="312"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 Return Disclosure</w:t>
      </w:r>
    </w:p>
    <w:p>
      <w:pPr>
        <w:spacing w:after="0" w:line="119" w:lineRule="exact"/>
        <w:rPr>
          <w:sz w:val="20"/>
          <w:szCs w:val="20"/>
          <w:color w:val="auto"/>
        </w:rPr>
      </w:pPr>
    </w:p>
    <w:p>
      <w:pPr>
        <w:ind w:right="200" w:firstLine="357"/>
        <w:spacing w:after="0" w:line="289" w:lineRule="auto"/>
        <w:rPr>
          <w:sz w:val="20"/>
          <w:szCs w:val="20"/>
          <w:color w:val="auto"/>
        </w:rPr>
      </w:pPr>
      <w:r>
        <w:rPr>
          <w:rFonts w:ascii="Arial" w:cs="Arial" w:eastAsia="Arial" w:hAnsi="Arial"/>
          <w:sz w:val="18"/>
          <w:szCs w:val="18"/>
          <w:color w:val="auto"/>
        </w:rPr>
        <w:t>U.S. individuals that hold certain specified foreign financial assets (which include shares in a foreign corporation) are subject to U.S. return disclosure obligations (and related penalties for failure to disclose). Such U.S. individuals are required to file IRS Form 8938 with their U.S. Federal income tax returns. You are encouraged to consult your own tax advisors concerning the filing of IRS Form 8938.</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b w:val="1"/>
          <w:bCs w:val="1"/>
          <w:color w:val="auto"/>
        </w:rPr>
        <w:t>F. Dividends and Paying Agents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 Statement by Experts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 Documents on Display</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 xml:space="preserve">We are subject to the informational requirements of the Exchange Act. In accordance with these requirements, we file reports and other information as a foreign private issuer with the SEC. You may inspect and copy our public filings without charge at the public reference facilities maintained by the SEC at 100 F Street, N.E., Washington, D.C. 20549. Please call the SEC at 1-800-SEC-0330 for further information about the public reference room.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 Subsidiary Information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QUANTITATIVE AND QUALITATIVE DISCLOSURES ABOUT MARKET RISK</w:t>
      </w:r>
    </w:p>
    <w:p>
      <w:pPr>
        <w:spacing w:after="0" w:line="125"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We are exposed to various market risks, including interest rate and foreign currency exchange risks. The Group makes use of derivative financial instruments such as interest rate swaps to maintain the desired level of exposure arising from these risks.</w:t>
      </w:r>
    </w:p>
    <w:p>
      <w:pPr>
        <w:spacing w:after="0" w:line="5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A discussion of our accounting policies for derivative financial instruments is included in Note 2 to our audited consolidated financial statements included elsewhere in this report. Further information on our exposure to market risk is included in Note 23 to our audited consolidated financial statements included elsewhere in this report.</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DESCRIPTION OF SECURITIES OTHER THAN EQUITY SECURITIES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24" w:name="page125"/>
    <w:bookmarkEnd w:id="124"/>
    <w:p>
      <w:pPr>
        <w:ind w:left="5360"/>
        <w:spacing w:after="0"/>
        <w:rPr>
          <w:sz w:val="20"/>
          <w:szCs w:val="20"/>
          <w:color w:val="auto"/>
        </w:rPr>
      </w:pPr>
      <w:r>
        <w:rPr>
          <w:rFonts w:ascii="Arial" w:cs="Arial" w:eastAsia="Arial" w:hAnsi="Arial"/>
          <w:sz w:val="19"/>
          <w:szCs w:val="19"/>
          <w:b w:val="1"/>
          <w:bCs w:val="1"/>
          <w:color w:val="auto"/>
        </w:rPr>
        <w:t>PART II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DEFAULTS, DIVIDEND ARREARAGES AND DELINQUENCIES</w:t>
      </w:r>
    </w:p>
    <w:p>
      <w:pPr>
        <w:spacing w:after="0" w:line="125"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MATERIAL MODIFICATIONS TO THE RIGHTS OF SECURITY HOLDERS AND USE OF PROCEEDS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CONTROLS AND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Disclosure Controls and Procedures</w:t>
      </w:r>
    </w:p>
    <w:p>
      <w:pPr>
        <w:spacing w:after="0" w:line="125" w:lineRule="exact"/>
        <w:rPr>
          <w:sz w:val="20"/>
          <w:szCs w:val="20"/>
          <w:color w:val="auto"/>
        </w:rPr>
      </w:pPr>
    </w:p>
    <w:p>
      <w:pPr>
        <w:ind w:right="380" w:firstLine="357"/>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December 31, 2016. Based on our evaluation, the Chief Executive Officer and the Chief Financial Officer have concluded that our disclosure controls and procedures were effective as of December 31, 2016.</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Management’s Annual Report on Internal Control Over Financial Reporting</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Chief Executive Officer and Chief Financial Officer to provide reasonable assurance regarding the reliability of financial reporting and the preparation of financial statements for external purposes in accordance with International Financial Reporting Standards.</w:t>
      </w:r>
    </w:p>
    <w:p>
      <w:pPr>
        <w:spacing w:after="0" w:line="77"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46"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2"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2016.</w:t>
      </w:r>
    </w:p>
    <w:p>
      <w:pPr>
        <w:spacing w:after="0" w:line="32" w:lineRule="exact"/>
        <w:rPr>
          <w:sz w:val="20"/>
          <w:szCs w:val="20"/>
          <w:color w:val="auto"/>
        </w:rPr>
      </w:pPr>
    </w:p>
    <w:p>
      <w:pPr>
        <w:ind w:right="680" w:firstLine="357"/>
        <w:spacing w:after="0" w:line="283" w:lineRule="auto"/>
        <w:rPr>
          <w:sz w:val="20"/>
          <w:szCs w:val="20"/>
          <w:color w:val="auto"/>
        </w:rPr>
      </w:pPr>
      <w:r>
        <w:rPr>
          <w:rFonts w:ascii="Arial" w:cs="Arial" w:eastAsia="Arial" w:hAnsi="Arial"/>
          <w:sz w:val="19"/>
          <w:szCs w:val="19"/>
          <w:color w:val="auto"/>
        </w:rPr>
        <w:t>The Company’s independent registered public accounting firm has issued an attestation report on the Company’s internal control over financial reporting.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Attestation Report of the Registered Public Accounting Firm</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effectiveness of the Company’s internal control over financial reporting as of December 31, 2016 has been audited by Deloitte LLP, an independent registered public accounting firm, as stated in their report which appears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To the Board of Directors and Shareholders of GasLog Ltd.</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Hamilton, Bermuda</w:t>
      </w:r>
    </w:p>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audited the internal control over financial reporting of GasLog Ltd. and subsidiaries (the “Group”) as of December 31, 2016, based on criteria established in Internal Control—Integrated Framework (2013) issued by the Committee of Sponsoring Organizations of the Treadway Commission. The Group’s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Group’s internal control over financial reporting based on our audit.</w:t>
      </w:r>
    </w:p>
    <w:p>
      <w:pPr>
        <w:spacing w:after="0" w:line="62" w:lineRule="exact"/>
        <w:rPr>
          <w:sz w:val="20"/>
          <w:szCs w:val="20"/>
          <w:color w:val="auto"/>
        </w:rPr>
      </w:pPr>
    </w:p>
    <w:p>
      <w:pPr>
        <w:ind w:right="200"/>
        <w:spacing w:after="0" w:line="258" w:lineRule="auto"/>
        <w:rPr>
          <w:sz w:val="20"/>
          <w:szCs w:val="20"/>
          <w:color w:val="auto"/>
        </w:rPr>
      </w:pPr>
      <w:r>
        <w:rPr>
          <w:rFonts w:ascii="Arial" w:cs="Arial" w:eastAsia="Arial" w:hAnsi="Arial"/>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3"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4"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our opinion, the Group maintained, in all material respects, effective internal control over financial reporting as of December 31, 2016, based on the criteria established in Internal Control—Integrated Framework (2013) issued by the Committee of Sponsoring Organizations of the Treadway Commission.</w:t>
      </w:r>
    </w:p>
    <w:p>
      <w:pPr>
        <w:spacing w:after="0" w:line="68" w:lineRule="exact"/>
        <w:rPr>
          <w:sz w:val="20"/>
          <w:szCs w:val="20"/>
          <w:color w:val="auto"/>
        </w:rPr>
      </w:pPr>
    </w:p>
    <w:p>
      <w:pPr>
        <w:ind w:right="280"/>
        <w:spacing w:after="0" w:line="267"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financial statements as of and for the year ended December 31, 2016 of the Group and our report dated March 1, 2017 expressed an unqualified opinion on those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/s/ Deloitte LLP</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London, United Kingdom</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March 1,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D. Changes in Internal Control over Financial Reporting</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[RESERVED]</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16.A. AUDIT COMMITTEE FINANCIAL EXPERT</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David P. Conner and Donald J. Kintzer, whose biographical details are included in “Item 6. Directors, Senior Management and Employees— A. Directors and Senior Management”, each qualifies as an “audit committee financial expert”. Our board of directors has affirmatively determined that Mr. Conner and Mr. Kintzer meet the definition of “independent director” for purposes of serving on an audit committee under applicable SEC and NYSE rules.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16.B. CODE OF ETHICS</w:t>
      </w:r>
    </w:p>
    <w:p>
      <w:pPr>
        <w:spacing w:after="0" w:line="112"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9"/>
          <w:szCs w:val="19"/>
          <w:i w:val="1"/>
          <w:iCs w:val="1"/>
          <w:u w:val="single" w:color="auto"/>
          <w:color w:val="auto"/>
        </w:rPr>
        <w:t>http://www.gaslogltd.com</w:t>
      </w:r>
      <w:r>
        <w:rPr>
          <w:rFonts w:ascii="Arial" w:cs="Arial" w:eastAsia="Arial" w:hAnsi="Arial"/>
          <w:sz w:val="19"/>
          <w:szCs w:val="19"/>
          <w:i w:val="1"/>
          <w:iCs w:val="1"/>
          <w:color w:val="auto"/>
        </w:rPr>
        <w:t>.</w:t>
      </w:r>
      <w:r>
        <w:rPr>
          <w:rFonts w:ascii="Arial" w:cs="Arial" w:eastAsia="Arial" w:hAnsi="Arial"/>
          <w:sz w:val="19"/>
          <w:szCs w:val="19"/>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Monaco S.A.M., Gildo Pastor Center, 7 Rue du Gabian, MC 98000, Monaco. No waivers of the Code of Business Conduct and Ethics have been granted to any person during the fiscal year ended December 31, 2016.</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16.C. PRINCIPAL ACCOUNTANT FEES AND SERVICES</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Deloitte LLP, an independent registered public accounting firm, has audited our annual financial statements acting as our independent auditor for the fiscal years ended December 31, 2015 and December 31, 2016.</w:t>
      </w:r>
    </w:p>
    <w:p>
      <w:pPr>
        <w:spacing w:after="0" w:line="52" w:lineRule="exact"/>
        <w:rPr>
          <w:sz w:val="20"/>
          <w:szCs w:val="20"/>
          <w:color w:val="auto"/>
        </w:rPr>
      </w:pPr>
    </w:p>
    <w:p>
      <w:pPr>
        <w:ind w:right="400" w:firstLine="357"/>
        <w:spacing w:after="0" w:line="258" w:lineRule="auto"/>
        <w:rPr>
          <w:sz w:val="20"/>
          <w:szCs w:val="20"/>
          <w:color w:val="auto"/>
        </w:rPr>
      </w:pPr>
      <w:r>
        <w:rPr>
          <w:rFonts w:ascii="Arial" w:cs="Arial" w:eastAsia="Arial" w:hAnsi="Arial"/>
          <w:sz w:val="19"/>
          <w:szCs w:val="19"/>
          <w:color w:val="auto"/>
        </w:rPr>
        <w:t>The chart below sets forth the total amount billed and accrued for Deloitte LLP for services performed in 2015 and 2016 respectively and breaks down these amounts by the category of service. The fees paid to our principal accountant were approved in accordance with the pre-approval policies and procedures described below.</w:t>
      </w:r>
    </w:p>
    <w:p>
      <w:pPr>
        <w:spacing w:after="0" w:line="1" w:lineRule="exact"/>
        <w:rPr>
          <w:sz w:val="20"/>
          <w:szCs w:val="20"/>
          <w:color w:val="auto"/>
        </w:rPr>
      </w:pPr>
    </w:p>
    <w:p>
      <w:pPr>
        <w:ind w:left="10060"/>
        <w:spacing w:after="0"/>
        <w:tabs>
          <w:tab w:leader="none" w:pos="1094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9525</wp:posOffset>
            </wp:positionV>
            <wp:extent cx="9436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jc w:val="center"/>
        <w:ind w:left="9940"/>
        <w:spacing w:after="0"/>
        <w:rPr>
          <w:sz w:val="20"/>
          <w:szCs w:val="20"/>
          <w:color w:val="auto"/>
        </w:rPr>
      </w:pPr>
      <w:r>
        <w:rPr>
          <w:rFonts w:ascii="Arial" w:cs="Arial" w:eastAsia="Arial" w:hAnsi="Arial"/>
          <w:sz w:val="16"/>
          <w:szCs w:val="16"/>
          <w:b w:val="1"/>
          <w:bCs w:val="1"/>
          <w:color w:val="auto"/>
        </w:rPr>
        <w:t>(Expressed in</w:t>
      </w:r>
    </w:p>
    <w:p>
      <w:pPr>
        <w:jc w:val="center"/>
        <w:ind w:left="9940"/>
        <w:spacing w:after="0" w:line="229" w:lineRule="auto"/>
        <w:rPr>
          <w:sz w:val="20"/>
          <w:szCs w:val="20"/>
          <w:color w:val="auto"/>
        </w:rPr>
      </w:pPr>
      <w:r>
        <w:rPr>
          <w:rFonts w:ascii="Arial" w:cs="Arial" w:eastAsia="Arial" w:hAnsi="Arial"/>
          <w:sz w:val="16"/>
          <w:szCs w:val="16"/>
          <w:b w:val="1"/>
          <w:bCs w:val="1"/>
          <w:color w:val="auto"/>
        </w:rPr>
        <w:t>millions of U.S.</w:t>
      </w:r>
    </w:p>
    <w:p>
      <w:pPr>
        <w:jc w:val="center"/>
        <w:ind w:left="9940"/>
        <w:spacing w:after="0" w:line="236" w:lineRule="auto"/>
        <w:rPr>
          <w:sz w:val="20"/>
          <w:szCs w:val="20"/>
          <w:color w:val="auto"/>
        </w:rPr>
      </w:pPr>
      <w:r>
        <w:rPr>
          <w:rFonts w:ascii="Arial" w:cs="Arial" w:eastAsia="Arial" w:hAnsi="Arial"/>
          <w:sz w:val="16"/>
          <w:szCs w:val="16"/>
          <w:b w:val="1"/>
          <w:bCs w:val="1"/>
          <w:color w:val="auto"/>
        </w:rPr>
        <w:t>Dollars)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920" w:type="dxa"/>
            <w:vAlign w:val="bottom"/>
            <w:shd w:val="clear" w:color="auto" w:fill="E5FFFF"/>
          </w:tcPr>
          <w:p>
            <w:pPr>
              <w:spacing w:after="0"/>
              <w:rPr>
                <w:sz w:val="20"/>
                <w:szCs w:val="20"/>
                <w:color w:val="auto"/>
              </w:rPr>
            </w:pPr>
            <w:r>
              <w:rPr>
                <w:rFonts w:ascii="Arial" w:cs="Arial" w:eastAsia="Arial" w:hAnsi="Arial"/>
                <w:sz w:val="19"/>
                <w:szCs w:val="19"/>
                <w:color w:val="auto"/>
              </w:rPr>
              <w:t>Audit fees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$ 2.31</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1.50</w:t>
            </w:r>
          </w:p>
        </w:tc>
      </w:tr>
      <w:tr>
        <w:trPr>
          <w:trHeight w:val="250"/>
        </w:trPr>
        <w:tc>
          <w:tcPr>
            <w:tcW w:w="9940" w:type="dxa"/>
            <w:vAlign w:val="bottom"/>
            <w:gridSpan w:val="2"/>
          </w:tcPr>
          <w:p>
            <w:pPr>
              <w:spacing w:after="0"/>
              <w:rPr>
                <w:sz w:val="20"/>
                <w:szCs w:val="20"/>
                <w:color w:val="auto"/>
              </w:rPr>
            </w:pPr>
            <w:r>
              <w:rPr>
                <w:rFonts w:ascii="Arial" w:cs="Arial" w:eastAsia="Arial" w:hAnsi="Arial"/>
                <w:sz w:val="19"/>
                <w:szCs w:val="19"/>
                <w:color w:val="auto"/>
              </w:rPr>
              <w:t>Tax fees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0.01</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20" w:type="dxa"/>
            <w:vAlign w:val="bottom"/>
          </w:tcPr>
          <w:p>
            <w:pPr>
              <w:spacing w:after="0"/>
              <w:rPr>
                <w:sz w:val="21"/>
                <w:szCs w:val="21"/>
                <w:color w:val="auto"/>
              </w:rPr>
            </w:pPr>
          </w:p>
        </w:tc>
        <w:tc>
          <w:tcPr>
            <w:tcW w:w="9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fees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$ 2.32</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b w:val="1"/>
                <w:bCs w:val="1"/>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7"/>
              </w:rPr>
              <w:t>1.50</w:t>
            </w: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Fees</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72"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Included in the audit fees for 2015 are fees of $0.09 million related to our public offering of 4,600,000 Preference Shares completed in April 2015 and $0.17 million related to the Partnership’s follow-on offering completed in June 2015. Included in the audit fees for 2016 are fees of $0.07 million related to the Partnership’s equity offering completed in August 2016.</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b w:val="1"/>
          <w:bCs w:val="1"/>
          <w:i w:val="1"/>
          <w:iCs w:val="1"/>
          <w:color w:val="auto"/>
        </w:rPr>
        <w:t>Tax Fees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Tax fees relate to services provided in connection with U.S. corporate tax filings and tax advisory services.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Audit-Related Fees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audit-related fees were billed by our principal accountant in 2015 and 2016.</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 Other Fees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other fees were billed by our principal accountant in 2015 and 2016.</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Pre-approval Policies and Procedures</w:t>
      </w:r>
    </w:p>
    <w:p>
      <w:pPr>
        <w:spacing w:after="0" w:line="119"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16.D. EXEMPTIONS FROM THE LISTING STANDARDS FOR AUDIT COMMITTEES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16.E. PURCHASES OF EQUITY SECURITIES BY THE ISSUER AND AFFILIATED PURCHASERS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all purchases of our common shares by us and our affiliated purchasers for the period ended December 31, 2016.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w:t>
            </w: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76"/>
        </w:trPr>
        <w:tc>
          <w:tcPr>
            <w:tcW w:w="1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Shares Purchased</w:t>
            </w: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1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78"/>
              </w:rPr>
              <w:t>as</w:t>
            </w:r>
          </w:p>
        </w:tc>
        <w:tc>
          <w:tcPr>
            <w:tcW w:w="28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Maximum Number of</w:t>
            </w:r>
          </w:p>
        </w:tc>
      </w:tr>
      <w:tr>
        <w:trPr>
          <w:trHeight w:val="176"/>
        </w:trPr>
        <w:tc>
          <w:tcPr>
            <w:tcW w:w="1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Average Price</w:t>
            </w:r>
          </w:p>
        </w:tc>
        <w:tc>
          <w:tcPr>
            <w:tcW w:w="3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Part of Publicly</w:t>
            </w:r>
          </w:p>
        </w:tc>
        <w:tc>
          <w:tcPr>
            <w:tcW w:w="28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Shares that May Yet</w:t>
            </w:r>
          </w:p>
        </w:tc>
      </w:tr>
      <w:tr>
        <w:trPr>
          <w:trHeight w:val="176"/>
        </w:trPr>
        <w:tc>
          <w:tcPr>
            <w:tcW w:w="1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ind w:right="135"/>
              <w:spacing w:after="0" w:line="176" w:lineRule="exact"/>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Paid</w:t>
            </w:r>
          </w:p>
        </w:tc>
        <w:tc>
          <w:tcPr>
            <w:tcW w:w="3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Announced Plans</w:t>
            </w:r>
          </w:p>
        </w:tc>
        <w:tc>
          <w:tcPr>
            <w:tcW w:w="28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Be Purchased Under</w:t>
            </w:r>
          </w:p>
        </w:tc>
      </w:tr>
      <w:tr>
        <w:trPr>
          <w:trHeight w:val="199"/>
        </w:trPr>
        <w:tc>
          <w:tcPr>
            <w:tcW w:w="1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17"/>
                <w:szCs w:val="17"/>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w w:val="97"/>
              </w:rPr>
              <w:t>Shares Purchased</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 Share ($)</w:t>
            </w:r>
          </w:p>
        </w:tc>
        <w:tc>
          <w:tcPr>
            <w:tcW w:w="30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2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the Plans or Programs</w:t>
            </w:r>
          </w:p>
        </w:tc>
      </w:tr>
      <w:tr>
        <w:trPr>
          <w:trHeight w:val="237"/>
        </w:trPr>
        <w:tc>
          <w:tcPr>
            <w:tcW w:w="38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March 2016</w:t>
            </w:r>
            <w:r>
              <w:rPr>
                <w:rFonts w:ascii="Arial" w:cs="Arial" w:eastAsia="Arial" w:hAnsi="Arial"/>
                <w:sz w:val="10"/>
                <w:szCs w:val="10"/>
                <w:color w:val="auto"/>
              </w:rPr>
              <w:t>(1)</w:t>
            </w:r>
          </w:p>
        </w:tc>
        <w:tc>
          <w:tcPr>
            <w:tcW w:w="186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200,000</w:t>
            </w:r>
          </w:p>
        </w:tc>
        <w:tc>
          <w:tcPr>
            <w:tcW w:w="1560" w:type="dxa"/>
            <w:vAlign w:val="bottom"/>
            <w:gridSpan w:val="2"/>
            <w:shd w:val="clear" w:color="auto" w:fill="E5FFFF"/>
          </w:tcPr>
          <w:p>
            <w:pPr>
              <w:jc w:val="right"/>
              <w:ind w:right="36"/>
              <w:spacing w:after="0"/>
              <w:rPr>
                <w:sz w:val="20"/>
                <w:szCs w:val="20"/>
                <w:color w:val="auto"/>
              </w:rPr>
            </w:pPr>
            <w:r>
              <w:rPr>
                <w:rFonts w:ascii="Arial" w:cs="Arial" w:eastAsia="Arial" w:hAnsi="Arial"/>
                <w:sz w:val="19"/>
                <w:szCs w:val="19"/>
                <w:color w:val="auto"/>
              </w:rPr>
              <w:t>9.72</w:t>
            </w:r>
          </w:p>
        </w:tc>
        <w:tc>
          <w:tcPr>
            <w:tcW w:w="300" w:type="dxa"/>
            <w:vAlign w:val="bottom"/>
            <w:shd w:val="clear" w:color="auto" w:fill="E5FFFF"/>
          </w:tcPr>
          <w:p>
            <w:pPr>
              <w:spacing w:after="0"/>
              <w:rPr>
                <w:sz w:val="20"/>
                <w:szCs w:val="20"/>
                <w:color w:val="auto"/>
              </w:rPr>
            </w:pPr>
          </w:p>
        </w:tc>
        <w:tc>
          <w:tcPr>
            <w:tcW w:w="1560" w:type="dxa"/>
            <w:vAlign w:val="bottom"/>
            <w:shd w:val="clear" w:color="auto" w:fill="E5FFFF"/>
          </w:tcPr>
          <w:p>
            <w:pPr>
              <w:ind w:left="1080"/>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0"/>
                <w:szCs w:val="20"/>
                <w:color w:val="auto"/>
              </w:rPr>
            </w:pPr>
          </w:p>
        </w:tc>
        <w:tc>
          <w:tcPr>
            <w:tcW w:w="2060" w:type="dxa"/>
            <w:vAlign w:val="bottom"/>
            <w:shd w:val="clear" w:color="auto" w:fill="E5FFFF"/>
          </w:tcPr>
          <w:p>
            <w:pPr>
              <w:ind w:left="1520"/>
              <w:spacing w:after="0"/>
              <w:rPr>
                <w:sz w:val="20"/>
                <w:szCs w:val="20"/>
                <w:color w:val="auto"/>
              </w:rPr>
            </w:pPr>
            <w:r>
              <w:rPr>
                <w:rFonts w:ascii="Arial" w:cs="Arial" w:eastAsia="Arial" w:hAnsi="Arial"/>
                <w:sz w:val="19"/>
                <w:szCs w:val="19"/>
                <w:color w:val="auto"/>
              </w:rPr>
              <w:t>—</w:t>
            </w:r>
          </w:p>
        </w:tc>
      </w:tr>
      <w:tr>
        <w:trPr>
          <w:trHeight w:val="250"/>
        </w:trPr>
        <w:tc>
          <w:tcPr>
            <w:tcW w:w="3800" w:type="dxa"/>
            <w:vAlign w:val="bottom"/>
            <w:gridSpan w:val="2"/>
          </w:tcPr>
          <w:p>
            <w:pPr>
              <w:spacing w:after="0"/>
              <w:rPr>
                <w:sz w:val="20"/>
                <w:szCs w:val="20"/>
                <w:color w:val="auto"/>
              </w:rPr>
            </w:pPr>
            <w:r>
              <w:rPr>
                <w:rFonts w:ascii="Arial" w:cs="Arial" w:eastAsia="Arial" w:hAnsi="Arial"/>
                <w:sz w:val="19"/>
                <w:szCs w:val="19"/>
                <w:color w:val="auto"/>
              </w:rPr>
              <w:t>August 2016</w:t>
            </w:r>
            <w:r>
              <w:rPr>
                <w:rFonts w:ascii="Arial" w:cs="Arial" w:eastAsia="Arial" w:hAnsi="Arial"/>
                <w:sz w:val="10"/>
                <w:szCs w:val="10"/>
                <w:color w:val="auto"/>
              </w:rPr>
              <w:t>(1)</w:t>
            </w:r>
          </w:p>
        </w:tc>
        <w:tc>
          <w:tcPr>
            <w:tcW w:w="300" w:type="dxa"/>
            <w:vAlign w:val="bottom"/>
          </w:tcPr>
          <w:p>
            <w:pPr>
              <w:spacing w:after="0"/>
              <w:rPr>
                <w:sz w:val="21"/>
                <w:szCs w:val="21"/>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9"/>
                <w:szCs w:val="19"/>
                <w:color w:val="auto"/>
              </w:rPr>
              <w:t>105,801</w:t>
            </w:r>
          </w:p>
        </w:tc>
        <w:tc>
          <w:tcPr>
            <w:tcW w:w="300" w:type="dxa"/>
            <w:vAlign w:val="bottom"/>
          </w:tcPr>
          <w:p>
            <w:pPr>
              <w:spacing w:after="0"/>
              <w:rPr>
                <w:sz w:val="21"/>
                <w:szCs w:val="21"/>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9"/>
                <w:szCs w:val="19"/>
                <w:color w:val="auto"/>
              </w:rPr>
              <w:t>15.00</w:t>
            </w:r>
          </w:p>
        </w:tc>
        <w:tc>
          <w:tcPr>
            <w:tcW w:w="300" w:type="dxa"/>
            <w:vAlign w:val="bottom"/>
          </w:tcPr>
          <w:p>
            <w:pPr>
              <w:spacing w:after="0"/>
              <w:rPr>
                <w:sz w:val="21"/>
                <w:szCs w:val="21"/>
                <w:color w:val="auto"/>
              </w:rPr>
            </w:pPr>
          </w:p>
        </w:tc>
        <w:tc>
          <w:tcPr>
            <w:tcW w:w="1560" w:type="dxa"/>
            <w:vAlign w:val="bottom"/>
            <w:tcBorders>
              <w:bottom w:val="single" w:sz="8" w:color="auto"/>
            </w:tcBorders>
          </w:tcPr>
          <w:p>
            <w:pPr>
              <w:ind w:left="1080"/>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2060" w:type="dxa"/>
            <w:vAlign w:val="bottom"/>
            <w:tcBorders>
              <w:bottom w:val="single" w:sz="8" w:color="auto"/>
            </w:tcBorders>
          </w:tcPr>
          <w:p>
            <w:pPr>
              <w:ind w:left="1520"/>
              <w:spacing w:after="0"/>
              <w:rPr>
                <w:sz w:val="20"/>
                <w:szCs w:val="20"/>
                <w:color w:val="auto"/>
              </w:rPr>
            </w:pPr>
            <w:r>
              <w:rPr>
                <w:rFonts w:ascii="Arial" w:cs="Arial" w:eastAsia="Arial" w:hAnsi="Arial"/>
                <w:sz w:val="19"/>
                <w:szCs w:val="19"/>
                <w:color w:val="auto"/>
              </w:rPr>
              <w:t>—</w:t>
            </w:r>
          </w:p>
        </w:tc>
      </w:tr>
      <w:tr>
        <w:trPr>
          <w:trHeight w:val="243"/>
        </w:trPr>
        <w:tc>
          <w:tcPr>
            <w:tcW w:w="3800" w:type="dxa"/>
            <w:vAlign w:val="bottom"/>
            <w:gridSpan w:val="2"/>
            <w:shd w:val="clear" w:color="auto" w:fill="E5FFFF"/>
          </w:tcPr>
          <w:p>
            <w:pPr>
              <w:ind w:left="180"/>
              <w:spacing w:after="0"/>
              <w:rPr>
                <w:sz w:val="20"/>
                <w:szCs w:val="20"/>
                <w:color w:val="auto"/>
              </w:rPr>
            </w:pPr>
            <w:r>
              <w:rPr>
                <w:rFonts w:ascii="Arial" w:cs="Arial" w:eastAsia="Arial" w:hAnsi="Arial"/>
                <w:sz w:val="19"/>
                <w:szCs w:val="19"/>
                <w:b w:val="1"/>
                <w:bCs w:val="1"/>
                <w:color w:val="auto"/>
              </w:rPr>
              <w:t>Total</w:t>
            </w:r>
          </w:p>
        </w:tc>
        <w:tc>
          <w:tcPr>
            <w:tcW w:w="186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b w:val="1"/>
                <w:bCs w:val="1"/>
                <w:color w:val="auto"/>
              </w:rPr>
              <w:t>305,801</w:t>
            </w:r>
          </w:p>
        </w:tc>
        <w:tc>
          <w:tcPr>
            <w:tcW w:w="1560" w:type="dxa"/>
            <w:vAlign w:val="bottom"/>
            <w:gridSpan w:val="2"/>
            <w:shd w:val="clear" w:color="auto" w:fill="E5FFFF"/>
          </w:tcPr>
          <w:p>
            <w:pPr>
              <w:jc w:val="right"/>
              <w:ind w:right="36"/>
              <w:spacing w:after="0"/>
              <w:rPr>
                <w:sz w:val="20"/>
                <w:szCs w:val="20"/>
                <w:color w:val="auto"/>
              </w:rPr>
            </w:pPr>
            <w:r>
              <w:rPr>
                <w:rFonts w:ascii="Arial" w:cs="Arial" w:eastAsia="Arial" w:hAnsi="Arial"/>
                <w:sz w:val="19"/>
                <w:szCs w:val="19"/>
                <w:b w:val="1"/>
                <w:bCs w:val="1"/>
                <w:color w:val="auto"/>
              </w:rPr>
              <w:t>11.55</w:t>
            </w:r>
          </w:p>
        </w:tc>
        <w:tc>
          <w:tcPr>
            <w:tcW w:w="300" w:type="dxa"/>
            <w:vAlign w:val="bottom"/>
            <w:shd w:val="clear" w:color="auto" w:fill="E5FFFF"/>
          </w:tcPr>
          <w:p>
            <w:pPr>
              <w:spacing w:after="0"/>
              <w:rPr>
                <w:sz w:val="21"/>
                <w:szCs w:val="21"/>
                <w:color w:val="auto"/>
              </w:rPr>
            </w:pPr>
          </w:p>
        </w:tc>
        <w:tc>
          <w:tcPr>
            <w:tcW w:w="1560" w:type="dxa"/>
            <w:vAlign w:val="bottom"/>
            <w:shd w:val="clear" w:color="auto" w:fill="E5FFFF"/>
          </w:tcPr>
          <w:p>
            <w:pPr>
              <w:ind w:left="1080"/>
              <w:spacing w:after="0"/>
              <w:rPr>
                <w:sz w:val="20"/>
                <w:szCs w:val="20"/>
                <w:color w:val="auto"/>
              </w:rPr>
            </w:pPr>
            <w:r>
              <w:rPr>
                <w:rFonts w:ascii="Arial" w:cs="Arial" w:eastAsia="Arial" w:hAnsi="Arial"/>
                <w:sz w:val="19"/>
                <w:szCs w:val="19"/>
                <w:b w:val="1"/>
                <w:bCs w:val="1"/>
                <w:color w:val="auto"/>
              </w:rPr>
              <w:t>—</w:t>
            </w:r>
          </w:p>
        </w:tc>
        <w:tc>
          <w:tcPr>
            <w:tcW w:w="280" w:type="dxa"/>
            <w:vAlign w:val="bottom"/>
            <w:shd w:val="clear" w:color="auto" w:fill="E5FFFF"/>
          </w:tcPr>
          <w:p>
            <w:pPr>
              <w:spacing w:after="0"/>
              <w:rPr>
                <w:sz w:val="21"/>
                <w:szCs w:val="21"/>
                <w:color w:val="auto"/>
              </w:rPr>
            </w:pPr>
          </w:p>
        </w:tc>
        <w:tc>
          <w:tcPr>
            <w:tcW w:w="2060" w:type="dxa"/>
            <w:vAlign w:val="bottom"/>
            <w:shd w:val="clear" w:color="auto" w:fill="E5FFFF"/>
          </w:tcPr>
          <w:p>
            <w:pPr>
              <w:ind w:left="1520"/>
              <w:spacing w:after="0"/>
              <w:rPr>
                <w:sz w:val="20"/>
                <w:szCs w:val="20"/>
                <w:color w:val="auto"/>
              </w:rPr>
            </w:pPr>
            <w:r>
              <w:rPr>
                <w:rFonts w:ascii="Arial" w:cs="Arial" w:eastAsia="Arial" w:hAnsi="Arial"/>
                <w:sz w:val="19"/>
                <w:szCs w:val="19"/>
                <w:b w:val="1"/>
                <w:bCs w:val="1"/>
                <w:color w:val="auto"/>
              </w:rPr>
              <w:t>—</w:t>
            </w:r>
          </w:p>
        </w:tc>
      </w:tr>
      <w:tr>
        <w:trPr>
          <w:trHeight w:val="162"/>
        </w:trPr>
        <w:tc>
          <w:tcPr>
            <w:tcW w:w="126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129" w:lineRule="exact"/>
        <w:rPr>
          <w:sz w:val="20"/>
          <w:szCs w:val="20"/>
          <w:color w:val="auto"/>
        </w:rPr>
      </w:pPr>
    </w:p>
    <w:p>
      <w:pPr>
        <w:ind w:left="280" w:right="60" w:hanging="200"/>
        <w:spacing w:after="0"/>
        <w:tabs>
          <w:tab w:leader="none" w:pos="280" w:val="left"/>
        </w:tabs>
        <w:numPr>
          <w:ilvl w:val="0"/>
          <w:numId w:val="87"/>
        </w:numPr>
        <w:rPr>
          <w:rFonts w:ascii="Arial" w:cs="Arial" w:eastAsia="Arial" w:hAnsi="Arial"/>
          <w:sz w:val="9"/>
          <w:szCs w:val="9"/>
          <w:color w:val="auto"/>
        </w:rPr>
      </w:pPr>
      <w:r>
        <w:rPr>
          <w:rFonts w:ascii="Arial" w:cs="Arial" w:eastAsia="Arial" w:hAnsi="Arial"/>
          <w:sz w:val="16"/>
          <w:szCs w:val="16"/>
          <w:color w:val="auto"/>
        </w:rPr>
        <w:t>Entities controlled by Peter Livanos, for his own benefit and the benefit of his immediate family members, acquired these shares in open-market transactions. Mr. Livanos may be deemed to beneficially own these shares as a result of his control of these entities. These shares are reflected in Mr. Livanos’ share ownership included in “Item 7. Major Shareholders and Related Party Transactions—Major Shareholders”.</w:t>
      </w:r>
    </w:p>
    <w:p>
      <w:pPr>
        <w:spacing w:after="0" w:line="300" w:lineRule="exact"/>
        <w:rPr>
          <w:sz w:val="20"/>
          <w:szCs w:val="20"/>
          <w:color w:val="auto"/>
        </w:rPr>
      </w:pPr>
    </w:p>
    <w:p>
      <w:pPr>
        <w:ind w:right="5360"/>
        <w:spacing w:after="0" w:line="408" w:lineRule="auto"/>
        <w:rPr>
          <w:sz w:val="20"/>
          <w:szCs w:val="20"/>
          <w:color w:val="auto"/>
        </w:rPr>
      </w:pPr>
      <w:r>
        <w:rPr>
          <w:rFonts w:ascii="Arial" w:cs="Arial" w:eastAsia="Arial" w:hAnsi="Arial"/>
          <w:sz w:val="19"/>
          <w:szCs w:val="19"/>
          <w:b w:val="1"/>
          <w:bCs w:val="1"/>
          <w:color w:val="auto"/>
        </w:rPr>
        <w:t xml:space="preserve">ITEM 16.F. CHANGE IN COMPANY’S CERTIFYING ACCOUNTANT </w:t>
      </w:r>
      <w:r>
        <w:rPr>
          <w:rFonts w:ascii="Arial" w:cs="Arial" w:eastAsia="Arial" w:hAnsi="Arial"/>
          <w:sz w:val="19"/>
          <w:szCs w:val="19"/>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16.G. CORPORATE GOVERNANCE</w:t>
      </w:r>
    </w:p>
    <w:p>
      <w:pPr>
        <w:spacing w:after="0" w:line="187" w:lineRule="exact"/>
        <w:rPr>
          <w:sz w:val="20"/>
          <w:szCs w:val="20"/>
          <w:color w:val="auto"/>
        </w:rPr>
      </w:pPr>
    </w:p>
    <w:p>
      <w:pPr>
        <w:ind w:right="720"/>
        <w:spacing w:after="0" w:line="289" w:lineRule="auto"/>
        <w:rPr>
          <w:sz w:val="20"/>
          <w:szCs w:val="20"/>
          <w:color w:val="auto"/>
        </w:rPr>
      </w:pPr>
      <w:r>
        <w:rPr>
          <w:rFonts w:ascii="Arial" w:cs="Arial" w:eastAsia="Arial" w:hAnsi="Arial"/>
          <w:sz w:val="19"/>
          <w:szCs w:val="19"/>
          <w:b w:val="1"/>
          <w:bCs w:val="1"/>
          <w:color w:val="auto"/>
        </w:rPr>
        <w:t>Statement of Significant Differences Between Our Corporate Governance Practices and the New York Stock Exchange Corporate Governance Standards for U.S. Non-Controlled Issuers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11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28" w:name="page129"/>
    <w:bookmarkEnd w:id="128"/>
    <w:p>
      <w:pPr>
        <w:ind w:right="100"/>
        <w:spacing w:after="0" w:line="313" w:lineRule="auto"/>
        <w:rPr>
          <w:sz w:val="20"/>
          <w:szCs w:val="20"/>
          <w:color w:val="auto"/>
        </w:rPr>
      </w:pPr>
      <w:r>
        <w:rPr>
          <w:rFonts w:ascii="Arial" w:cs="Arial" w:eastAsia="Arial" w:hAnsi="Arial"/>
          <w:sz w:val="17"/>
          <w:szCs w:val="17"/>
          <w:color w:val="auto"/>
        </w:rPr>
        <w:t>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Independence of Directors</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NYSE rules do not require a listed company that is a foreign private issuer to have a board of directors that is comprised of a majority of independent directors. Under Bermuda law, we are not required to have a board of directors comprised of a majority of directors meeting the independence standards described in the NYSE rules. Accordingly, our board of directors is not required to be and is not comprised of a majority of independent directors. However, our board of directors has determined that half of our directors, specifically David P. Conner, William M. Friedrich, Dennis M. Houston, Donald J. Kintzer, Anthony S. Papadimitriou and Philip Radziwill satisfy the independence standards established by the NYSE as applicable to us.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Governance, Nominating and Compensation Committee</w:t>
      </w:r>
    </w:p>
    <w:p>
      <w:pPr>
        <w:spacing w:after="0" w:line="119"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Pursuant to NYSE Rules 303A.04 and 303A.05, the NYSE requires that a listed U.S. company have a nominating/corporate governance committee and a compensation committee, each composed entirely of independent directors. As permitted under Bermuda law, we have one or more non-independent directors serving as committee members on our compensation committee and our corporate governance and nominating committee.</w:t>
      </w:r>
    </w:p>
    <w:p>
      <w:pPr>
        <w:spacing w:after="0" w:line="72"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color w:val="auto"/>
        </w:rPr>
        <w:t>NYSE Rules 303A.02 and 303A.05 contain independence requirements for compensation committee directors and compensation committee advisers for U.S. listed companies, as required by the Dodd-Frank Wall Street Reform and Consumer Protection Act of 2010. Bermuda law does not have similar requirements therefore we may not adhere to these new requirements.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16.H. MINE SAFETY DISCLOSURE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PART III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17. FINANCIAL STATEMENTS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18. FINANCIAL STATEMENTS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Reference is made to pages F-1 through F-62 included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19.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80" w:type="dxa"/>
            <w:vAlign w:val="bottom"/>
            <w:gridSpan w:val="2"/>
          </w:tcPr>
          <w:p>
            <w:pPr>
              <w:jc w:val="right"/>
              <w:ind w:right="203"/>
              <w:spacing w:after="0"/>
              <w:rPr>
                <w:sz w:val="20"/>
                <w:szCs w:val="20"/>
                <w:color w:val="auto"/>
              </w:rPr>
            </w:pPr>
            <w:r>
              <w:rPr>
                <w:rFonts w:ascii="Arial" w:cs="Arial" w:eastAsia="Arial" w:hAnsi="Arial"/>
                <w:sz w:val="16"/>
                <w:szCs w:val="16"/>
                <w:b w:val="1"/>
                <w:bCs w:val="1"/>
                <w:color w:val="auto"/>
                <w:w w:val="90"/>
              </w:rPr>
              <w:t>Exhibit No.</w:t>
            </w:r>
          </w:p>
        </w:tc>
        <w:tc>
          <w:tcPr>
            <w:tcW w:w="300" w:type="dxa"/>
            <w:vAlign w:val="bottom"/>
          </w:tcPr>
          <w:p>
            <w:pPr>
              <w:spacing w:after="0"/>
              <w:rPr>
                <w:sz w:val="17"/>
                <w:szCs w:val="17"/>
                <w:color w:val="auto"/>
              </w:rPr>
            </w:pPr>
          </w:p>
        </w:tc>
        <w:tc>
          <w:tcPr>
            <w:tcW w:w="10040" w:type="dxa"/>
            <w:vAlign w:val="bottom"/>
          </w:tcPr>
          <w:p>
            <w:pPr>
              <w:ind w:left="462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20" w:type="dxa"/>
            <w:vAlign w:val="bottom"/>
          </w:tcPr>
          <w:p>
            <w:pPr>
              <w:spacing w:after="0"/>
              <w:rPr>
                <w:sz w:val="19"/>
                <w:szCs w:val="19"/>
                <w:color w:val="auto"/>
              </w:rPr>
            </w:pPr>
          </w:p>
        </w:tc>
        <w:tc>
          <w:tcPr>
            <w:tcW w:w="1060" w:type="dxa"/>
            <w:vAlign w:val="bottom"/>
            <w:tcBorders>
              <w:top w:val="single" w:sz="8" w:color="auto"/>
            </w:tcBorders>
          </w:tcPr>
          <w:p>
            <w:pPr>
              <w:jc w:val="right"/>
              <w:ind w:right="543"/>
              <w:spacing w:after="0"/>
              <w:rPr>
                <w:sz w:val="20"/>
                <w:szCs w:val="20"/>
                <w:color w:val="auto"/>
              </w:rPr>
            </w:pPr>
            <w:r>
              <w:rPr>
                <w:rFonts w:ascii="Arial" w:cs="Arial" w:eastAsia="Arial" w:hAnsi="Arial"/>
                <w:sz w:val="19"/>
                <w:szCs w:val="19"/>
                <w:color w:val="auto"/>
              </w:rPr>
              <w:t>1.1</w:t>
            </w:r>
          </w:p>
        </w:tc>
        <w:tc>
          <w:tcPr>
            <w:tcW w:w="30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Amended Memorandum of Association of GasLog Ltd.</w:t>
            </w:r>
            <w:r>
              <w:rPr>
                <w:rFonts w:ascii="Arial" w:cs="Arial" w:eastAsia="Arial" w:hAnsi="Arial"/>
                <w:sz w:val="10"/>
                <w:szCs w:val="10"/>
                <w:color w:val="auto"/>
              </w:rPr>
              <w:t>(1)</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1.2</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Bye-laws of GasLog Ltd.</w:t>
            </w:r>
            <w:r>
              <w:rPr>
                <w:rFonts w:ascii="Arial" w:cs="Arial" w:eastAsia="Arial" w:hAnsi="Arial"/>
                <w:sz w:val="10"/>
                <w:szCs w:val="10"/>
                <w:color w:val="auto"/>
              </w:rPr>
              <w:t>(1)</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1.3</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Amendment to the Bye-laws of GasLog Ltd.</w:t>
            </w:r>
            <w:r>
              <w:rPr>
                <w:rFonts w:ascii="Arial" w:cs="Arial" w:eastAsia="Arial" w:hAnsi="Arial"/>
                <w:sz w:val="10"/>
                <w:szCs w:val="10"/>
                <w:color w:val="auto"/>
              </w:rPr>
              <w:t>(2)</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2.1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Specimen Share Certificate</w:t>
            </w:r>
            <w:r>
              <w:rPr>
                <w:rFonts w:ascii="Arial" w:cs="Arial" w:eastAsia="Arial" w:hAnsi="Arial"/>
                <w:sz w:val="10"/>
                <w:szCs w:val="10"/>
                <w:color w:val="auto"/>
              </w:rPr>
              <w:t>(1)</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Form of Registration Rights Agreement</w:t>
            </w:r>
            <w:r>
              <w:rPr>
                <w:rFonts w:ascii="Arial" w:cs="Arial" w:eastAsia="Arial" w:hAnsi="Arial"/>
                <w:sz w:val="10"/>
                <w:szCs w:val="10"/>
                <w:color w:val="auto"/>
              </w:rPr>
              <w:t>(1)</w:t>
            </w:r>
          </w:p>
        </w:tc>
      </w:tr>
      <w:tr>
        <w:trPr>
          <w:trHeight w:val="230"/>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4.2</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Facility Agreement dated December 23, 2011, relating to a $435,000,000 loan facility among GAS-eight Ltd., GAS-nine Ltd.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and GAS-ten Ltd. as borrowers, DnB Bank ASA, Commonwealth Bank of Australia, Danish Ship Finance A/S, ING Bank N.V.</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3"/>
              </w:rPr>
              <w:t>and Skandinaviska Enskilda Banken AB (publ) as mandated lead arrangers, the financial institutions listed in Schedule 1 thereto</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3"/>
              </w:rPr>
              <w:t>as lenders, the financial institutions listed in Schedule 1 thereto as hedging providers and DnB Bank ASA as bookrunner, agent</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and security agent</w:t>
            </w:r>
            <w:r>
              <w:rPr>
                <w:rFonts w:ascii="Arial" w:cs="Arial" w:eastAsia="Arial" w:hAnsi="Arial"/>
                <w:sz w:val="10"/>
                <w:szCs w:val="10"/>
                <w:color w:val="auto"/>
              </w:rPr>
              <w:t>(1)</w:t>
            </w:r>
            <w:r>
              <w:rPr>
                <w:rFonts w:ascii="Arial" w:cs="Arial" w:eastAsia="Arial" w:hAnsi="Arial"/>
                <w:sz w:val="19"/>
                <w:szCs w:val="19"/>
                <w:color w:val="auto"/>
              </w:rPr>
              <w:t>*</w:t>
            </w:r>
          </w:p>
        </w:tc>
      </w:tr>
      <w:tr>
        <w:trPr>
          <w:trHeight w:val="230"/>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4.3</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Master Time Charter Party among GAS-one Ltd., GAS-two Ltd., GAS-three Ltd., GAS-four Ltd., GAS-five Ltd., GAS-six Ltd.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and Methane Services Limited, dated May 9, 2011</w:t>
            </w:r>
            <w:r>
              <w:rPr>
                <w:rFonts w:ascii="Arial" w:cs="Arial" w:eastAsia="Arial" w:hAnsi="Arial"/>
                <w:sz w:val="10"/>
                <w:szCs w:val="10"/>
                <w:color w:val="auto"/>
              </w:rPr>
              <w:t>(1)</w:t>
            </w:r>
            <w:r>
              <w:rPr>
                <w:rFonts w:ascii="Arial" w:cs="Arial" w:eastAsia="Arial" w:hAnsi="Arial"/>
                <w:sz w:val="19"/>
                <w:szCs w:val="19"/>
                <w:color w:val="auto"/>
              </w:rPr>
              <w:t>*</w:t>
            </w:r>
          </w:p>
        </w:tc>
      </w:tr>
      <w:tr>
        <w:trPr>
          <w:trHeight w:val="230"/>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4.4</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4"/>
              </w:rPr>
              <w:t>Appendix to the Private Agreement of Professional Hiring (English translation), dated December 1, 2010 and October 1, 2011,</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between Nea Dimitra Ktimatikh Kai Emporikh S.A. and GasLog LNG Services Ltd.</w:t>
            </w:r>
            <w:r>
              <w:rPr>
                <w:rFonts w:ascii="Arial" w:cs="Arial" w:eastAsia="Arial" w:hAnsi="Arial"/>
                <w:sz w:val="10"/>
                <w:szCs w:val="10"/>
                <w:color w:val="auto"/>
              </w:rPr>
              <w:t>(1)</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4.5</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Form of Indemnification Agreement for the Company’s directors and certain officers</w:t>
            </w:r>
            <w:r>
              <w:rPr>
                <w:rFonts w:ascii="Arial" w:cs="Arial" w:eastAsia="Arial" w:hAnsi="Arial"/>
                <w:sz w:val="10"/>
                <w:szCs w:val="10"/>
                <w:color w:val="auto"/>
              </w:rPr>
              <w:t>(5)</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4.6</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Form of Restrictive Covenant Agreement</w:t>
            </w:r>
            <w:r>
              <w:rPr>
                <w:rFonts w:ascii="Arial" w:cs="Arial" w:eastAsia="Arial" w:hAnsi="Arial"/>
                <w:sz w:val="10"/>
                <w:szCs w:val="10"/>
                <w:color w:val="auto"/>
              </w:rPr>
              <w:t>(1)</w:t>
            </w:r>
          </w:p>
        </w:tc>
      </w:tr>
      <w:tr>
        <w:trPr>
          <w:trHeight w:val="243"/>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4.7</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GasLog Ltd. 2013 Omnibus Incentive Compensation Plan</w:t>
            </w:r>
            <w:r>
              <w:rPr>
                <w:rFonts w:ascii="Arial" w:cs="Arial" w:eastAsia="Arial" w:hAnsi="Arial"/>
                <w:sz w:val="10"/>
                <w:szCs w:val="10"/>
                <w:color w:val="auto"/>
              </w:rPr>
              <w:t>(3)</w:t>
            </w:r>
          </w:p>
        </w:tc>
      </w:tr>
      <w:tr>
        <w:trPr>
          <w:trHeight w:val="230"/>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4.8</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7"/>
              </w:rPr>
              <w:t>Facility Agreement for up to $450,000,0000 Loan Facility dated November 12, 2014 among GAS-three Ltd., GAS-four Ltd.,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GAS-five Ltd., GAS-sixteen Ltd. and GAS-seventeen Ltd. as borrowers, Citibank, N.A., London Branch, Nordea Bank Finland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8"/>
              </w:rPr>
              <w:t>Plc, London Branch, DVB Bank America N.V., ABN Amro Bank N.V., Skandinaviska Enskilda Banken AB (Publ) and BNP</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Paribas, as mandated lead arrangers, the financial institutions listed in Schedule 1 thereto as lenders, Citibank, N.A., London</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Branch as bookrunner and security agent, and Citibank International Limited as agent and security trustee</w:t>
            </w:r>
            <w:r>
              <w:rPr>
                <w:rFonts w:ascii="Arial" w:cs="Arial" w:eastAsia="Arial" w:hAnsi="Arial"/>
                <w:sz w:val="10"/>
                <w:szCs w:val="10"/>
                <w:color w:val="auto"/>
              </w:rPr>
              <w:t>(4)</w:t>
            </w:r>
            <w:r>
              <w:rPr>
                <w:rFonts w:ascii="Arial" w:cs="Arial" w:eastAsia="Arial" w:hAnsi="Arial"/>
                <w:sz w:val="19"/>
                <w:szCs w:val="19"/>
                <w:color w:val="auto"/>
              </w:rPr>
              <w:t>*</w:t>
            </w:r>
          </w:p>
        </w:tc>
      </w:tr>
      <w:tr>
        <w:trPr>
          <w:trHeight w:val="247"/>
        </w:trPr>
        <w:tc>
          <w:tcPr>
            <w:tcW w:w="1080" w:type="dxa"/>
            <w:vAlign w:val="bottom"/>
            <w:gridSpan w:val="2"/>
          </w:tcPr>
          <w:p>
            <w:pPr>
              <w:jc w:val="right"/>
              <w:ind w:right="543"/>
              <w:spacing w:after="0"/>
              <w:rPr>
                <w:sz w:val="20"/>
                <w:szCs w:val="20"/>
                <w:color w:val="auto"/>
              </w:rPr>
            </w:pPr>
            <w:r>
              <w:rPr>
                <w:rFonts w:ascii="Arial" w:cs="Arial" w:eastAsia="Arial" w:hAnsi="Arial"/>
                <w:sz w:val="19"/>
                <w:szCs w:val="19"/>
                <w:color w:val="auto"/>
              </w:rPr>
              <w:t>4.9</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Corporate Guarantee between GasLog Partners LP and Citibank, N.A., London Branch, dated November 12, 2014</w:t>
            </w:r>
            <w:r>
              <w:rPr>
                <w:rFonts w:ascii="Arial" w:cs="Arial" w:eastAsia="Arial" w:hAnsi="Arial"/>
                <w:sz w:val="10"/>
                <w:szCs w:val="10"/>
                <w:color w:val="auto"/>
              </w:rPr>
              <w:t>(4)</w:t>
            </w:r>
          </w:p>
        </w:tc>
      </w:tr>
      <w:tr>
        <w:trPr>
          <w:trHeight w:val="33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340" w:type="dxa"/>
            <w:vAlign w:val="bottom"/>
            <w:gridSpan w:val="2"/>
          </w:tcPr>
          <w:p>
            <w:pPr>
              <w:ind w:left="4480"/>
              <w:spacing w:after="0"/>
              <w:rPr>
                <w:sz w:val="20"/>
                <w:szCs w:val="20"/>
                <w:color w:val="auto"/>
              </w:rPr>
            </w:pPr>
            <w:r>
              <w:rPr>
                <w:rFonts w:ascii="Arial" w:cs="Arial" w:eastAsia="Arial" w:hAnsi="Arial"/>
                <w:sz w:val="19"/>
                <w:szCs w:val="19"/>
                <w:color w:val="auto"/>
              </w:rPr>
              <w:t>124</w:t>
            </w:r>
          </w:p>
        </w:tc>
      </w:tr>
      <w:tr>
        <w:trPr>
          <w:trHeight w:val="222"/>
        </w:trPr>
        <w:tc>
          <w:tcPr>
            <w:tcW w:w="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9"/>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10040" w:type="dxa"/>
            <w:vAlign w:val="bottom"/>
          </w:tcPr>
          <w:p>
            <w:pPr>
              <w:ind w:left="4620"/>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tcPr>
          <w:p>
            <w:pPr>
              <w:ind w:left="140"/>
              <w:spacing w:after="0" w:line="210" w:lineRule="exact"/>
              <w:rPr>
                <w:sz w:val="20"/>
                <w:szCs w:val="20"/>
                <w:color w:val="auto"/>
              </w:rPr>
            </w:pPr>
            <w:r>
              <w:rPr>
                <w:rFonts w:ascii="Arial" w:cs="Arial" w:eastAsia="Arial" w:hAnsi="Arial"/>
                <w:sz w:val="19"/>
                <w:szCs w:val="19"/>
                <w:color w:val="auto"/>
              </w:rPr>
              <w:t>4.10</w:t>
            </w:r>
          </w:p>
        </w:tc>
        <w:tc>
          <w:tcPr>
            <w:tcW w:w="300" w:type="dxa"/>
            <w:vAlign w:val="bottom"/>
          </w:tcPr>
          <w:p>
            <w:pPr>
              <w:spacing w:after="0"/>
              <w:rPr>
                <w:sz w:val="18"/>
                <w:szCs w:val="18"/>
                <w:color w:val="auto"/>
              </w:rPr>
            </w:pPr>
          </w:p>
        </w:tc>
        <w:tc>
          <w:tcPr>
            <w:tcW w:w="10040" w:type="dxa"/>
            <w:vAlign w:val="bottom"/>
            <w:tcBorders>
              <w:top w:val="single" w:sz="8" w:color="auto"/>
            </w:tcBorders>
          </w:tcPr>
          <w:p>
            <w:pPr>
              <w:spacing w:after="0" w:line="210" w:lineRule="exact"/>
              <w:rPr>
                <w:sz w:val="20"/>
                <w:szCs w:val="20"/>
                <w:color w:val="auto"/>
              </w:rPr>
            </w:pPr>
            <w:r>
              <w:rPr>
                <w:rFonts w:ascii="Arial" w:cs="Arial" w:eastAsia="Arial" w:hAnsi="Arial"/>
                <w:sz w:val="19"/>
                <w:szCs w:val="19"/>
                <w:color w:val="auto"/>
                <w:w w:val="96"/>
              </w:rPr>
              <w:t>Facilities Agreement for $1,311,356,340 Loan Facilities dated October 16, 2015 between GAS-eleven Ltd., GAS-twelve Ltd.,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8"/>
              </w:rPr>
              <w:t>GAS-thirteen Ltd., Gas-fourteen Ltd., GAS-twenty two Ltd., GAS-twenty three Ltd., GAS-twenty four Ltd., GAS-twenty five</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Ltd., as borrowers, Citibank, N.A., London Branch, Nordea Bank AB, London Branch, The Export-Import Bank of Korea, Bank</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3"/>
              </w:rPr>
              <w:t>of America, National Association, BNP Paribas, Credit Agricole Corporate and Investment Bank, Credit Suisse AG, HSBC Bank</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plc, ING Bank N.V., London Branch, KEB Hana Bank, London Branch, KfW IPEX-Bank GmbH, National Australia Bank</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3"/>
              </w:rPr>
              <w:t>Limited, Oversea-Chinese Banking Corporation Limited, Societe Generale and The Korea Development Bank as mandated lead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7"/>
              </w:rPr>
              <w:t>arrangers with Nordea Bank AB, London Branch as agent, security agent, global co-ordinator and bookrunner and Citibank</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4"/>
              </w:rPr>
              <w:t>N.A., London Branch as export credit agent, global co-oordinator, bookrunner and export credit agent co-ordinator, guaranteed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by GasLog Ltd. and GasLog Carriers Ltd.</w:t>
            </w:r>
            <w:r>
              <w:rPr>
                <w:rFonts w:ascii="Arial" w:cs="Arial" w:eastAsia="Arial" w:hAnsi="Arial"/>
                <w:sz w:val="10"/>
                <w:szCs w:val="10"/>
                <w:color w:val="auto"/>
              </w:rPr>
              <w:t>(5)</w:t>
            </w:r>
            <w:r>
              <w:rPr>
                <w:rFonts w:ascii="Arial" w:cs="Arial" w:eastAsia="Arial" w:hAnsi="Arial"/>
                <w:sz w:val="19"/>
                <w:szCs w:val="19"/>
                <w:color w:val="auto"/>
              </w:rPr>
              <w:t>*</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4.11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Senior Facility Agreement dated February 18, 2016, relating to a $396,500,000 loan facility among GAS-eighteen Ltd., GAS-</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nineteen Ltd., GAS-twenty Ltd., GAS-twenty one Ltd. and GAS-twenty seven Ltd. as borrowers, ABN AMRO Bank N.V. 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7"/>
              </w:rPr>
              <w:t>DNB (UK) Ltd. as mandated lead arrangers, original lenders and bookrunners, DVB Bank America N.V. as mandated lead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4"/>
              </w:rPr>
              <w:t>arranger and original lender, Commonwealth Bank of Australia, ING Bank N.V., London Branch, Credit Agricole Corporate 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9"/>
              </w:rPr>
              <w:t>Investment Bank, National Australia Bank Limited as original lenders and DNB Bank ASA, London Branch as agent 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security agent.</w:t>
            </w:r>
            <w:r>
              <w:rPr>
                <w:rFonts w:ascii="Arial" w:cs="Arial" w:eastAsia="Arial" w:hAnsi="Arial"/>
                <w:sz w:val="10"/>
                <w:szCs w:val="10"/>
                <w:color w:val="auto"/>
              </w:rPr>
              <w:t>(5)</w:t>
            </w:r>
            <w:r>
              <w:rPr>
                <w:rFonts w:ascii="Arial" w:cs="Arial" w:eastAsia="Arial" w:hAnsi="Arial"/>
                <w:sz w:val="19"/>
                <w:szCs w:val="19"/>
                <w:color w:val="auto"/>
              </w:rPr>
              <w:t>*</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4.12</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Junior Facility Agreement dated February 18, 2016, relating to a $180,000,000 loan facility among GAS-eighteen Ltd., GAS-</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nineteen Ltd., GAS-twenty Ltd., GAS-twenty one Ltd. and GAS-twenty seven Ltd. as borrowers, ABN AMRO Bank N.V. 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8"/>
              </w:rPr>
              <w:t>DNB (UK) Ltd. as mandated lead arrangers, original lenders and bookrunners, DVB Bank America N.V as mandated lead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arranger and original lender, Commonwealth Bank of Australia, ING Bank N.V., London Branch, as original lenders and DNB</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Bank ASA, London Branch as agent and security agent.</w:t>
            </w:r>
            <w:r>
              <w:rPr>
                <w:rFonts w:ascii="Arial" w:cs="Arial" w:eastAsia="Arial" w:hAnsi="Arial"/>
                <w:sz w:val="10"/>
                <w:szCs w:val="10"/>
                <w:color w:val="auto"/>
              </w:rPr>
              <w:t>(5)</w:t>
            </w:r>
            <w:r>
              <w:rPr>
                <w:rFonts w:ascii="Arial" w:cs="Arial" w:eastAsia="Arial" w:hAnsi="Arial"/>
                <w:sz w:val="19"/>
                <w:szCs w:val="19"/>
                <w:color w:val="auto"/>
              </w:rPr>
              <w:t>*</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4.13</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7"/>
              </w:rPr>
              <w:t>Form of Corporate Guarantee between GasLog Ltd. and DNB Bank ASA, London Branch (provided in respect of the Junior</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Facility Agreement and the Senior Facility Agreement, each dated February 18, 2016).</w:t>
            </w:r>
            <w:r>
              <w:rPr>
                <w:rFonts w:ascii="Arial" w:cs="Arial" w:eastAsia="Arial" w:hAnsi="Arial"/>
                <w:sz w:val="10"/>
                <w:szCs w:val="10"/>
                <w:color w:val="auto"/>
              </w:rPr>
              <w:t>(5)</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4.14</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Form of Corporate Guarantee between GasLog Partners LP and DNB Bank ASA, London Branch (provided in respect of the</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Junior Facility Agreement and the Senior Facility Agreement, each dated February 18, 2016).</w:t>
            </w:r>
            <w:r>
              <w:rPr>
                <w:rFonts w:ascii="Arial" w:cs="Arial" w:eastAsia="Arial" w:hAnsi="Arial"/>
                <w:sz w:val="10"/>
                <w:szCs w:val="10"/>
                <w:color w:val="auto"/>
              </w:rPr>
              <w:t>(5)</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4.15</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Facilities Agreement dated July 19, 2016, relating to $1,050,000,000 Term Loan and Revolving Credit Facilities among GAS-</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6"/>
              </w:rPr>
              <w:t>one Ltd., GAS-two Ltd., GAS-six Ltd., GAS-seven Ltd., GAS-eight Ltd., GAS-nine Ltd., GAS-ten Ltd. and GAS-fifteen Ltd. as</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8"/>
              </w:rPr>
              <w:t>borrowers, Citigroup Global Market Limited, Credit Suisse AG, Nordea Bank AB, London Branch, Skandinaviska Enskilda</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5"/>
              </w:rPr>
              <w:t>Banken AB (publ), HSBC Bank plc, ING Bank N.V., London Branch, Danmarks Skibskredit A/S and The Korea Development</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3"/>
              </w:rPr>
              <w:t>Bank as mandated lead arrangers and DVB Bank America N.V. as arranger with Nordea Bank AB, London Branch as agent and</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security agent.</w:t>
            </w:r>
            <w:r>
              <w:rPr>
                <w:rFonts w:ascii="Arial" w:cs="Arial" w:eastAsia="Arial" w:hAnsi="Arial"/>
                <w:sz w:val="10"/>
                <w:szCs w:val="10"/>
                <w:color w:val="auto"/>
              </w:rPr>
              <w:t>(6)</w:t>
            </w:r>
            <w:r>
              <w:rPr>
                <w:rFonts w:ascii="Arial" w:cs="Arial" w:eastAsia="Arial" w:hAnsi="Arial"/>
                <w:sz w:val="19"/>
                <w:szCs w:val="19"/>
                <w:color w:val="auto"/>
              </w:rPr>
              <w:t>*</w:t>
            </w:r>
          </w:p>
        </w:tc>
      </w:tr>
      <w:tr>
        <w:trPr>
          <w:trHeight w:val="243"/>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8.1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List of Subsidiaries of GasLog Ltd.</w:t>
            </w:r>
          </w:p>
        </w:tc>
      </w:tr>
      <w:tr>
        <w:trPr>
          <w:trHeight w:val="243"/>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12.1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Rule 13a-14(a)/15d-14(a) Certification of GasLog Ltd.’s Chief Executive Officer</w:t>
            </w:r>
          </w:p>
        </w:tc>
      </w:tr>
      <w:tr>
        <w:trPr>
          <w:trHeight w:val="243"/>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12.2</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Rule 13a-14(a)/15d-14(a) Certification of GasLog Ltd.’s Chief Financial Officer</w:t>
            </w:r>
          </w:p>
        </w:tc>
      </w:tr>
      <w:tr>
        <w:trPr>
          <w:trHeight w:val="230"/>
        </w:trPr>
        <w:tc>
          <w:tcPr>
            <w:tcW w:w="1080" w:type="dxa"/>
            <w:vAlign w:val="bottom"/>
            <w:gridSpan w:val="2"/>
          </w:tcPr>
          <w:p>
            <w:pPr>
              <w:ind w:left="160"/>
              <w:spacing w:after="0"/>
              <w:rPr>
                <w:sz w:val="20"/>
                <w:szCs w:val="20"/>
                <w:color w:val="auto"/>
              </w:rPr>
            </w:pPr>
            <w:r>
              <w:rPr>
                <w:rFonts w:ascii="Arial" w:cs="Arial" w:eastAsia="Arial" w:hAnsi="Arial"/>
                <w:sz w:val="19"/>
                <w:szCs w:val="19"/>
                <w:color w:val="auto"/>
              </w:rPr>
              <w:t>13.1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w w:val="94"/>
              </w:rPr>
              <w:t>GasLog Ltd. Certification of Paul Wogan, Chief Executive Officer, pursuant to 18 U.S.C. Section 1350, as adopted pursuant to</w:t>
            </w:r>
          </w:p>
        </w:tc>
      </w:tr>
      <w:tr>
        <w:trPr>
          <w:trHeight w:val="247"/>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Section 906 of the U.S. Sarbanes-Oxley Act of 2002</w:t>
            </w:r>
          </w:p>
        </w:tc>
      </w:tr>
      <w:tr>
        <w:trPr>
          <w:trHeight w:val="33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340" w:type="dxa"/>
            <w:vAlign w:val="bottom"/>
            <w:gridSpan w:val="2"/>
          </w:tcPr>
          <w:p>
            <w:pPr>
              <w:ind w:left="4480"/>
              <w:spacing w:after="0"/>
              <w:rPr>
                <w:sz w:val="20"/>
                <w:szCs w:val="20"/>
                <w:color w:val="auto"/>
              </w:rPr>
            </w:pPr>
            <w:r>
              <w:rPr>
                <w:rFonts w:ascii="Arial" w:cs="Arial" w:eastAsia="Arial" w:hAnsi="Arial"/>
                <w:sz w:val="19"/>
                <w:szCs w:val="19"/>
                <w:color w:val="auto"/>
              </w:rPr>
              <w:t>125</w:t>
            </w:r>
          </w:p>
        </w:tc>
      </w:tr>
      <w:tr>
        <w:trPr>
          <w:trHeight w:val="222"/>
        </w:trPr>
        <w:tc>
          <w:tcPr>
            <w:tcW w:w="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9"/>
        </w:trPr>
        <w:tc>
          <w:tcPr>
            <w:tcW w:w="1080" w:type="dxa"/>
            <w:vAlign w:val="bottom"/>
            <w:gridSpan w:val="2"/>
          </w:tcPr>
          <w:p>
            <w:pPr>
              <w:jc w:val="right"/>
              <w:ind w:right="203"/>
              <w:spacing w:after="0"/>
              <w:rPr>
                <w:sz w:val="20"/>
                <w:szCs w:val="20"/>
                <w:color w:val="auto"/>
              </w:rPr>
            </w:pPr>
            <w:r>
              <w:rPr>
                <w:rFonts w:ascii="Arial" w:cs="Arial" w:eastAsia="Arial" w:hAnsi="Arial"/>
                <w:sz w:val="16"/>
                <w:szCs w:val="16"/>
                <w:b w:val="1"/>
                <w:bCs w:val="1"/>
                <w:color w:val="auto"/>
                <w:w w:val="90"/>
              </w:rPr>
              <w:t>Exhibit No.</w:t>
            </w:r>
          </w:p>
        </w:tc>
        <w:tc>
          <w:tcPr>
            <w:tcW w:w="300" w:type="dxa"/>
            <w:vAlign w:val="bottom"/>
          </w:tcPr>
          <w:p>
            <w:pPr>
              <w:spacing w:after="0"/>
              <w:rPr>
                <w:sz w:val="17"/>
                <w:szCs w:val="17"/>
                <w:color w:val="auto"/>
              </w:rPr>
            </w:pPr>
          </w:p>
        </w:tc>
        <w:tc>
          <w:tcPr>
            <w:tcW w:w="10040" w:type="dxa"/>
            <w:vAlign w:val="bottom"/>
          </w:tcPr>
          <w:p>
            <w:pPr>
              <w:ind w:left="4620"/>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tcPr>
          <w:p>
            <w:pPr>
              <w:jc w:val="right"/>
              <w:ind w:right="483"/>
              <w:spacing w:after="0" w:line="210" w:lineRule="exact"/>
              <w:rPr>
                <w:sz w:val="20"/>
                <w:szCs w:val="20"/>
                <w:color w:val="auto"/>
              </w:rPr>
            </w:pPr>
            <w:r>
              <w:rPr>
                <w:rFonts w:ascii="Arial" w:cs="Arial" w:eastAsia="Arial" w:hAnsi="Arial"/>
                <w:sz w:val="19"/>
                <w:szCs w:val="19"/>
                <w:color w:val="auto"/>
              </w:rPr>
              <w:t>13.2</w:t>
            </w:r>
          </w:p>
        </w:tc>
        <w:tc>
          <w:tcPr>
            <w:tcW w:w="300" w:type="dxa"/>
            <w:vAlign w:val="bottom"/>
          </w:tcPr>
          <w:p>
            <w:pPr>
              <w:spacing w:after="0"/>
              <w:rPr>
                <w:sz w:val="18"/>
                <w:szCs w:val="18"/>
                <w:color w:val="auto"/>
              </w:rPr>
            </w:pPr>
          </w:p>
        </w:tc>
        <w:tc>
          <w:tcPr>
            <w:tcW w:w="10040" w:type="dxa"/>
            <w:vAlign w:val="bottom"/>
            <w:tcBorders>
              <w:top w:val="single" w:sz="8" w:color="auto"/>
            </w:tcBorders>
          </w:tcPr>
          <w:p>
            <w:pPr>
              <w:spacing w:after="0" w:line="210" w:lineRule="exact"/>
              <w:rPr>
                <w:sz w:val="20"/>
                <w:szCs w:val="20"/>
                <w:color w:val="auto"/>
              </w:rPr>
            </w:pPr>
            <w:r>
              <w:rPr>
                <w:rFonts w:ascii="Arial" w:cs="Arial" w:eastAsia="Arial" w:hAnsi="Arial"/>
                <w:sz w:val="19"/>
                <w:szCs w:val="19"/>
                <w:color w:val="auto"/>
                <w:w w:val="94"/>
              </w:rPr>
              <w:t>GasLog Ltd. Certification of Simon Crowe, Chief Financial Officer, pursuant to 18 U.S.C. Section 1350, as adopted pursuant to</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Section 906 of the U.S. Sarbanes-Oxley Act of 2002</w:t>
            </w:r>
          </w:p>
        </w:tc>
      </w:tr>
      <w:tr>
        <w:trPr>
          <w:trHeight w:val="247"/>
        </w:trPr>
        <w:tc>
          <w:tcPr>
            <w:tcW w:w="1080" w:type="dxa"/>
            <w:vAlign w:val="bottom"/>
            <w:gridSpan w:val="2"/>
          </w:tcPr>
          <w:p>
            <w:pPr>
              <w:jc w:val="right"/>
              <w:ind w:right="483"/>
              <w:spacing w:after="0"/>
              <w:rPr>
                <w:sz w:val="20"/>
                <w:szCs w:val="20"/>
                <w:color w:val="auto"/>
              </w:rPr>
            </w:pPr>
            <w:r>
              <w:rPr>
                <w:rFonts w:ascii="Arial" w:cs="Arial" w:eastAsia="Arial" w:hAnsi="Arial"/>
                <w:sz w:val="19"/>
                <w:szCs w:val="19"/>
                <w:color w:val="auto"/>
              </w:rPr>
              <w:t>23.1</w:t>
            </w:r>
          </w:p>
        </w:tc>
        <w:tc>
          <w:tcPr>
            <w:tcW w:w="10340" w:type="dxa"/>
            <w:vAlign w:val="bottom"/>
            <w:gridSpan w:val="2"/>
          </w:tcPr>
          <w:p>
            <w:pPr>
              <w:ind w:left="300"/>
              <w:spacing w:after="0"/>
              <w:rPr>
                <w:sz w:val="20"/>
                <w:szCs w:val="20"/>
                <w:color w:val="auto"/>
              </w:rPr>
            </w:pPr>
            <w:r>
              <w:rPr>
                <w:rFonts w:ascii="Arial" w:cs="Arial" w:eastAsia="Arial" w:hAnsi="Arial"/>
                <w:sz w:val="19"/>
                <w:szCs w:val="19"/>
                <w:color w:val="auto"/>
              </w:rPr>
              <w:t>Consent of Deloitte LLP</w:t>
            </w:r>
          </w:p>
        </w:tc>
      </w:tr>
    </w:tbl>
    <w:p>
      <w:pPr>
        <w:spacing w:after="0" w:line="314" w:lineRule="exact"/>
        <w:rPr>
          <w:sz w:val="20"/>
          <w:szCs w:val="20"/>
          <w:color w:val="auto"/>
        </w:rPr>
      </w:pPr>
    </w:p>
    <w:p>
      <w:pPr>
        <w:ind w:left="280" w:right="42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exhibit to GasLog Ltd.’s Registration Statement on Form F-1 (File No. 333-179034), declared effective by the SEC on March 29, 2012, and hereby incorporated by reference to such Registration Statement.</w:t>
      </w:r>
    </w:p>
    <w:p>
      <w:pPr>
        <w:spacing w:after="0" w:line="60" w:lineRule="exact"/>
        <w:rPr>
          <w:rFonts w:ascii="Arial" w:cs="Arial" w:eastAsia="Arial" w:hAnsi="Arial"/>
          <w:sz w:val="9"/>
          <w:szCs w:val="9"/>
          <w:color w:val="auto"/>
        </w:rPr>
      </w:pPr>
    </w:p>
    <w:p>
      <w:pPr>
        <w:ind w:left="280" w:right="16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exhibit to GasLog Ltd.’s Report on Form 6-K (File No. 001-35466), filed with the SEC on May 24, 2013, and hereby incorporated by reference to such Report.</w:t>
      </w:r>
    </w:p>
    <w:p>
      <w:pPr>
        <w:spacing w:after="0" w:line="60" w:lineRule="exact"/>
        <w:rPr>
          <w:rFonts w:ascii="Arial" w:cs="Arial" w:eastAsia="Arial" w:hAnsi="Arial"/>
          <w:sz w:val="9"/>
          <w:szCs w:val="9"/>
          <w:color w:val="auto"/>
        </w:rPr>
      </w:pPr>
    </w:p>
    <w:p>
      <w:pPr>
        <w:ind w:left="280" w:right="2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60" w:lineRule="exact"/>
        <w:rPr>
          <w:rFonts w:ascii="Arial" w:cs="Arial" w:eastAsia="Arial" w:hAnsi="Arial"/>
          <w:sz w:val="9"/>
          <w:szCs w:val="9"/>
          <w:color w:val="auto"/>
        </w:rPr>
      </w:pPr>
    </w:p>
    <w:p>
      <w:pPr>
        <w:ind w:left="280" w:right="16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exhibit to GasLog Partners LP’s Annual Report on Form 20-F (File No. 001-36433), filed with the SEC on February 17, 2015, and hereby incorporated by reference to such Report.</w:t>
      </w:r>
    </w:p>
    <w:p>
      <w:pPr>
        <w:spacing w:after="0" w:line="60" w:lineRule="exact"/>
        <w:rPr>
          <w:rFonts w:ascii="Arial" w:cs="Arial" w:eastAsia="Arial" w:hAnsi="Arial"/>
          <w:sz w:val="9"/>
          <w:szCs w:val="9"/>
          <w:color w:val="auto"/>
        </w:rPr>
      </w:pPr>
    </w:p>
    <w:p>
      <w:pPr>
        <w:ind w:left="280" w:right="6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exhbit to GasLog Ltd.’s Annual Report on Form 20-F (file No. 001-35466), filed with the SEC on March 14, 2016, and hereby incorporated by reference to such Report.</w:t>
      </w:r>
    </w:p>
    <w:p>
      <w:pPr>
        <w:spacing w:after="0" w:line="60" w:lineRule="exact"/>
        <w:rPr>
          <w:rFonts w:ascii="Arial" w:cs="Arial" w:eastAsia="Arial" w:hAnsi="Arial"/>
          <w:sz w:val="9"/>
          <w:szCs w:val="9"/>
          <w:color w:val="auto"/>
        </w:rPr>
      </w:pPr>
    </w:p>
    <w:p>
      <w:pPr>
        <w:ind w:left="280" w:right="120" w:hanging="200"/>
        <w:spacing w:after="0" w:line="251" w:lineRule="auto"/>
        <w:tabs>
          <w:tab w:leader="none" w:pos="280" w:val="left"/>
        </w:tabs>
        <w:numPr>
          <w:ilvl w:val="0"/>
          <w:numId w:val="88"/>
        </w:numPr>
        <w:rPr>
          <w:rFonts w:ascii="Arial" w:cs="Arial" w:eastAsia="Arial" w:hAnsi="Arial"/>
          <w:sz w:val="9"/>
          <w:szCs w:val="9"/>
          <w:color w:val="auto"/>
        </w:rPr>
      </w:pPr>
      <w:r>
        <w:rPr>
          <w:rFonts w:ascii="Arial" w:cs="Arial" w:eastAsia="Arial" w:hAnsi="Arial"/>
          <w:sz w:val="16"/>
          <w:szCs w:val="16"/>
          <w:color w:val="auto"/>
        </w:rPr>
        <w:t>Previously filed as an exhibit to GasLog Ltd.’s Report on Form 6-K (File No. 001-35466), filed with the SEC on August 4, 2016 and hereby incorporated by reference to such Report.</w:t>
      </w:r>
    </w:p>
    <w:p>
      <w:pPr>
        <w:spacing w:after="0" w:line="60" w:lineRule="exact"/>
        <w:rPr>
          <w:rFonts w:ascii="Arial" w:cs="Arial" w:eastAsia="Arial" w:hAnsi="Arial"/>
          <w:sz w:val="9"/>
          <w:szCs w:val="9"/>
          <w:color w:val="auto"/>
        </w:rPr>
      </w:pPr>
    </w:p>
    <w:p>
      <w:pPr>
        <w:ind w:left="140"/>
        <w:spacing w:after="0"/>
        <w:rPr>
          <w:rFonts w:ascii="Arial" w:cs="Arial" w:eastAsia="Arial" w:hAnsi="Arial"/>
          <w:sz w:val="9"/>
          <w:szCs w:val="9"/>
          <w:color w:val="auto"/>
        </w:rPr>
      </w:pPr>
      <w:r>
        <w:rPr>
          <w:rFonts w:ascii="Arial" w:cs="Arial" w:eastAsia="Arial" w:hAnsi="Arial"/>
          <w:sz w:val="9"/>
          <w:szCs w:val="9"/>
          <w:color w:val="auto"/>
        </w:rPr>
        <w:t xml:space="preserve">*  </w:t>
      </w:r>
      <w:r>
        <w:rPr>
          <w:rFonts w:ascii="Arial" w:cs="Arial" w:eastAsia="Arial" w:hAnsi="Arial"/>
          <w:sz w:val="15"/>
          <w:szCs w:val="15"/>
          <w:color w:val="auto"/>
        </w:rPr>
        <w:t>Confidential material has been redacted and complete exhibits have been separately filed with the Securities and Exchange Commission.</w:t>
      </w:r>
    </w:p>
    <w:p>
      <w:pPr>
        <w:spacing w:after="0" w:line="97" w:lineRule="exact"/>
        <w:rPr>
          <w:rFonts w:ascii="Arial" w:cs="Arial" w:eastAsia="Arial" w:hAnsi="Arial"/>
          <w:sz w:val="9"/>
          <w:szCs w:val="9"/>
          <w:color w:val="auto"/>
        </w:rPr>
      </w:pPr>
    </w:p>
    <w:p>
      <w:pPr>
        <w:ind w:left="280"/>
        <w:spacing w:after="0" w:line="251" w:lineRule="auto"/>
        <w:rPr>
          <w:rFonts w:ascii="Arial" w:cs="Arial" w:eastAsia="Arial" w:hAnsi="Arial"/>
          <w:sz w:val="9"/>
          <w:szCs w:val="9"/>
          <w:color w:val="auto"/>
        </w:rPr>
      </w:pPr>
      <w:r>
        <w:rPr>
          <w:rFonts w:ascii="Arial" w:cs="Arial" w:eastAsia="Arial" w:hAnsi="Arial"/>
          <w:sz w:val="16"/>
          <w:szCs w:val="16"/>
          <w:color w:val="auto"/>
        </w:rPr>
        <w:t>The registrant hereby agrees to furnish to the SEC upon request a copy of any instrument relating to long-term debt that does not exceed 10% of the total assets of the Company and its subsidiaries.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32" w:name="page133"/>
    <w:bookmarkEnd w:id="132"/>
    <w:p>
      <w:pPr>
        <w:ind w:left="5140"/>
        <w:spacing w:after="0"/>
        <w:rPr>
          <w:sz w:val="20"/>
          <w:szCs w:val="20"/>
          <w:color w:val="auto"/>
        </w:rPr>
      </w:pPr>
      <w:r>
        <w:rPr>
          <w:rFonts w:ascii="Arial" w:cs="Arial" w:eastAsia="Arial" w:hAnsi="Arial"/>
          <w:sz w:val="19"/>
          <w:szCs w:val="19"/>
          <w:b w:val="1"/>
          <w:bCs w:val="1"/>
          <w:color w:val="auto"/>
        </w:rPr>
        <w:t>SIGNATURE</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registrant hereby certifies that it meets all of the requirements for filing on Form 20-F and that it has duly caused and authorized the undersigned to sign this annual report on its behalf.</w:t>
      </w:r>
    </w:p>
    <w:p>
      <w:pPr>
        <w:ind w:left="5420"/>
        <w:spacing w:after="0"/>
        <w:rPr>
          <w:sz w:val="20"/>
          <w:szCs w:val="20"/>
          <w:color w:val="auto"/>
        </w:rPr>
      </w:pPr>
      <w:r>
        <w:rPr>
          <w:rFonts w:ascii="Arial" w:cs="Arial" w:eastAsia="Arial" w:hAnsi="Arial"/>
          <w:sz w:val="19"/>
          <w:szCs w:val="19"/>
          <w:color w:val="auto"/>
        </w:rPr>
        <w:t>GASLOG LTD.,</w:t>
      </w:r>
    </w:p>
    <w:p>
      <w:pPr>
        <w:spacing w:after="0" w:line="27"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P</w:t>
      </w:r>
      <w:r>
        <w:rPr>
          <w:rFonts w:ascii="Arial" w:cs="Arial" w:eastAsia="Arial" w:hAnsi="Arial"/>
          <w:sz w:val="14"/>
          <w:szCs w:val="14"/>
          <w:color w:val="auto"/>
        </w:rPr>
        <w:t>AUL</w:t>
      </w:r>
      <w:r>
        <w:rPr>
          <w:rFonts w:ascii="Arial" w:cs="Arial" w:eastAsia="Arial" w:hAnsi="Arial"/>
          <w:sz w:val="19"/>
          <w:szCs w:val="19"/>
          <w:color w:val="auto"/>
        </w:rPr>
        <w:t xml:space="preserve"> A. W</w:t>
      </w:r>
      <w:r>
        <w:rPr>
          <w:rFonts w:ascii="Arial" w:cs="Arial" w:eastAsia="Arial" w:hAnsi="Arial"/>
          <w:sz w:val="14"/>
          <w:szCs w:val="14"/>
          <w:color w:val="auto"/>
        </w:rPr>
        <w:t>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13970</wp:posOffset>
            </wp:positionV>
            <wp:extent cx="3370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Name: Paul A. Wogan</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Title: Chief Executive Officer</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Dated: March 1, 2017</w:t>
      </w:r>
    </w:p>
    <w:p>
      <w:pPr>
        <w:spacing w:after="0" w:line="119"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579" w:right="10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GASLOG LTD.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6"/>
        </w:trPr>
        <w:tc>
          <w:tcPr>
            <w:tcW w:w="11000" w:type="dxa"/>
            <w:vAlign w:val="bottom"/>
            <w:gridSpan w:val="8"/>
          </w:tcPr>
          <w:p>
            <w:pPr>
              <w:spacing w:after="0" w:line="196" w:lineRule="exact"/>
              <w:rPr>
                <w:rFonts w:ascii="Arial" w:cs="Arial" w:eastAsia="Arial" w:hAnsi="Arial"/>
                <w:sz w:val="19"/>
                <w:szCs w:val="19"/>
                <w:color w:val="0000EE"/>
              </w:rPr>
            </w:pPr>
            <w:hyperlink w:anchor="page135">
              <w:r>
                <w:rPr>
                  <w:rFonts w:ascii="Arial" w:cs="Arial" w:eastAsia="Arial" w:hAnsi="Arial"/>
                  <w:sz w:val="19"/>
                  <w:szCs w:val="19"/>
                  <w:color w:val="0000EE"/>
                </w:rPr>
                <w:t>Report of Independent Registered Public Accounting Firm—Deloitte LLP</w:t>
              </w:r>
            </w:hyperlink>
          </w:p>
        </w:tc>
        <w:tc>
          <w:tcPr>
            <w:tcW w:w="420" w:type="dxa"/>
            <w:vAlign w:val="bottom"/>
          </w:tcPr>
          <w:p>
            <w:pPr>
              <w:jc w:val="center"/>
              <w:spacing w:after="0" w:line="196" w:lineRule="exact"/>
              <w:rPr>
                <w:sz w:val="20"/>
                <w:szCs w:val="20"/>
                <w:color w:val="auto"/>
              </w:rPr>
            </w:pPr>
            <w:r>
              <w:rPr>
                <w:rFonts w:ascii="Arial" w:cs="Arial" w:eastAsia="Arial" w:hAnsi="Arial"/>
                <w:sz w:val="19"/>
                <w:szCs w:val="19"/>
                <w:color w:val="auto"/>
                <w:w w:val="91"/>
              </w:rPr>
              <w:t>F-2</w:t>
            </w:r>
          </w:p>
        </w:tc>
      </w:tr>
      <w:tr>
        <w:trPr>
          <w:trHeight w:val="20"/>
        </w:trPr>
        <w:tc>
          <w:tcPr>
            <w:tcW w:w="35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11000" w:type="dxa"/>
            <w:vAlign w:val="bottom"/>
            <w:gridSpan w:val="8"/>
          </w:tcPr>
          <w:p>
            <w:pPr>
              <w:spacing w:after="0"/>
              <w:rPr>
                <w:rFonts w:ascii="Arial" w:cs="Arial" w:eastAsia="Arial" w:hAnsi="Arial"/>
                <w:sz w:val="19"/>
                <w:szCs w:val="19"/>
                <w:color w:val="0000EE"/>
              </w:rPr>
            </w:pPr>
            <w:hyperlink w:anchor="page136">
              <w:r>
                <w:rPr>
                  <w:rFonts w:ascii="Arial" w:cs="Arial" w:eastAsia="Arial" w:hAnsi="Arial"/>
                  <w:sz w:val="19"/>
                  <w:szCs w:val="19"/>
                  <w:color w:val="0000EE"/>
                </w:rPr>
                <w:t>Consolidated statements of financial position as of December 31, 2015 and 2016</w:t>
              </w:r>
            </w:hyperlink>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F-3</w:t>
            </w:r>
          </w:p>
        </w:tc>
      </w:tr>
      <w:tr>
        <w:trPr>
          <w:trHeight w:val="20"/>
        </w:trPr>
        <w:tc>
          <w:tcPr>
            <w:tcW w:w="356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7500" w:type="dxa"/>
            <w:vAlign w:val="bottom"/>
            <w:tcBorders>
              <w:bottom w:val="single" w:sz="8" w:color="0000EE"/>
            </w:tcBorders>
            <w:gridSpan w:val="5"/>
          </w:tcPr>
          <w:p>
            <w:pPr>
              <w:spacing w:after="0"/>
              <w:rPr>
                <w:rFonts w:ascii="Arial" w:cs="Arial" w:eastAsia="Arial" w:hAnsi="Arial"/>
                <w:sz w:val="19"/>
                <w:szCs w:val="19"/>
                <w:color w:val="0000EE"/>
                <w:w w:val="91"/>
              </w:rPr>
            </w:pPr>
            <w:hyperlink w:anchor="page137">
              <w:r>
                <w:rPr>
                  <w:rFonts w:ascii="Arial" w:cs="Arial" w:eastAsia="Arial" w:hAnsi="Arial"/>
                  <w:sz w:val="19"/>
                  <w:szCs w:val="19"/>
                  <w:color w:val="0000EE"/>
                  <w:w w:val="91"/>
                </w:rPr>
                <w:t>Consolidated statements of profit or loss for the years ended December 31, 2014, 2015 and 2016</w:t>
              </w:r>
            </w:hyperlink>
          </w:p>
        </w:tc>
        <w:tc>
          <w:tcPr>
            <w:tcW w:w="3500" w:type="dxa"/>
            <w:vAlign w:val="bottom"/>
            <w:gridSpan w:val="3"/>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F-4</w:t>
            </w:r>
          </w:p>
        </w:tc>
      </w:tr>
      <w:tr>
        <w:trPr>
          <w:trHeight w:val="223"/>
        </w:trPr>
        <w:tc>
          <w:tcPr>
            <w:tcW w:w="11000" w:type="dxa"/>
            <w:vAlign w:val="bottom"/>
            <w:gridSpan w:val="8"/>
          </w:tcPr>
          <w:p>
            <w:pPr>
              <w:spacing w:after="0"/>
              <w:rPr>
                <w:rFonts w:ascii="Arial" w:cs="Arial" w:eastAsia="Arial" w:hAnsi="Arial"/>
                <w:sz w:val="19"/>
                <w:szCs w:val="19"/>
                <w:color w:val="0000EE"/>
              </w:rPr>
            </w:pPr>
            <w:hyperlink w:anchor="page138">
              <w:r>
                <w:rPr>
                  <w:rFonts w:ascii="Arial" w:cs="Arial" w:eastAsia="Arial" w:hAnsi="Arial"/>
                  <w:sz w:val="19"/>
                  <w:szCs w:val="19"/>
                  <w:color w:val="0000EE"/>
                </w:rPr>
                <w:t>Consolidated statements of comprehensive income or loss for the years ended December 31, 2014, 2015 and 2016</w:t>
              </w:r>
            </w:hyperlink>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F-5</w:t>
            </w:r>
          </w:p>
        </w:tc>
      </w:tr>
      <w:tr>
        <w:trPr>
          <w:trHeight w:val="223"/>
        </w:trPr>
        <w:tc>
          <w:tcPr>
            <w:tcW w:w="8860" w:type="dxa"/>
            <w:vAlign w:val="bottom"/>
            <w:tcBorders>
              <w:top w:val="single" w:sz="8" w:color="0000EE"/>
            </w:tcBorders>
            <w:gridSpan w:val="7"/>
          </w:tcPr>
          <w:p>
            <w:pPr>
              <w:spacing w:after="0"/>
              <w:rPr>
                <w:rFonts w:ascii="Arial" w:cs="Arial" w:eastAsia="Arial" w:hAnsi="Arial"/>
                <w:sz w:val="19"/>
                <w:szCs w:val="19"/>
                <w:color w:val="0000EE"/>
              </w:rPr>
            </w:pPr>
            <w:hyperlink w:anchor="page139">
              <w:r>
                <w:rPr>
                  <w:rFonts w:ascii="Arial" w:cs="Arial" w:eastAsia="Arial" w:hAnsi="Arial"/>
                  <w:sz w:val="19"/>
                  <w:szCs w:val="19"/>
                  <w:color w:val="0000EE"/>
                </w:rPr>
                <w:t>Consolidated statements of changes in equity for the years ended December 31, 2014, 2015 and 2016</w:t>
              </w:r>
            </w:hyperlink>
          </w:p>
        </w:tc>
        <w:tc>
          <w:tcPr>
            <w:tcW w:w="2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F-6</w:t>
            </w:r>
          </w:p>
        </w:tc>
      </w:tr>
      <w:tr>
        <w:trPr>
          <w:trHeight w:val="223"/>
        </w:trPr>
        <w:tc>
          <w:tcPr>
            <w:tcW w:w="734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1"/>
              </w:rPr>
            </w:pPr>
            <w:hyperlink w:anchor="page140">
              <w:r>
                <w:rPr>
                  <w:rFonts w:ascii="Arial" w:cs="Arial" w:eastAsia="Arial" w:hAnsi="Arial"/>
                  <w:sz w:val="19"/>
                  <w:szCs w:val="19"/>
                  <w:color w:val="0000EE"/>
                  <w:w w:val="91"/>
                </w:rPr>
                <w:t>Consolidated statements of cash flows for the years ended December 31, 2014, 2015 and 2016</w:t>
              </w:r>
            </w:hyperlink>
          </w:p>
        </w:tc>
        <w:tc>
          <w:tcPr>
            <w:tcW w:w="520" w:type="dxa"/>
            <w:vAlign w:val="bottom"/>
            <w:tcBorders>
              <w:top w:val="single" w:sz="8" w:color="0000EE"/>
            </w:tcBorders>
            <w:gridSpan w:val="2"/>
          </w:tcPr>
          <w:p>
            <w:pPr>
              <w:spacing w:after="0"/>
              <w:rPr>
                <w:sz w:val="19"/>
                <w:szCs w:val="19"/>
                <w:color w:val="auto"/>
              </w:rPr>
            </w:pPr>
          </w:p>
        </w:tc>
        <w:tc>
          <w:tcPr>
            <w:tcW w:w="3140" w:type="dxa"/>
            <w:vAlign w:val="bottom"/>
            <w:gridSpan w:val="2"/>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F-7</w:t>
            </w:r>
          </w:p>
        </w:tc>
      </w:tr>
      <w:tr>
        <w:trPr>
          <w:trHeight w:val="223"/>
        </w:trPr>
        <w:tc>
          <w:tcPr>
            <w:tcW w:w="11000" w:type="dxa"/>
            <w:vAlign w:val="bottom"/>
            <w:gridSpan w:val="8"/>
          </w:tcPr>
          <w:p>
            <w:pPr>
              <w:spacing w:after="0"/>
              <w:rPr>
                <w:rFonts w:ascii="Arial" w:cs="Arial" w:eastAsia="Arial" w:hAnsi="Arial"/>
                <w:sz w:val="19"/>
                <w:szCs w:val="19"/>
                <w:color w:val="0000EE"/>
              </w:rPr>
            </w:pPr>
            <w:hyperlink w:anchor="page142">
              <w:r>
                <w:rPr>
                  <w:rFonts w:ascii="Arial" w:cs="Arial" w:eastAsia="Arial" w:hAnsi="Arial"/>
                  <w:sz w:val="19"/>
                  <w:szCs w:val="19"/>
                  <w:color w:val="0000EE"/>
                </w:rPr>
                <w:t>Notes to the consolidated financial statements</w:t>
              </w:r>
            </w:hyperlink>
          </w:p>
        </w:tc>
        <w:tc>
          <w:tcPr>
            <w:tcW w:w="420" w:type="dxa"/>
            <w:vAlign w:val="bottom"/>
          </w:tcPr>
          <w:p>
            <w:pPr>
              <w:jc w:val="center"/>
              <w:spacing w:after="0"/>
              <w:rPr>
                <w:sz w:val="20"/>
                <w:szCs w:val="20"/>
                <w:color w:val="auto"/>
              </w:rPr>
            </w:pPr>
            <w:r>
              <w:rPr>
                <w:rFonts w:ascii="Arial" w:cs="Arial" w:eastAsia="Arial" w:hAnsi="Arial"/>
                <w:sz w:val="19"/>
                <w:szCs w:val="19"/>
                <w:color w:val="auto"/>
                <w:w w:val="91"/>
              </w:rPr>
              <w:t>F-9</w:t>
            </w:r>
          </w:p>
        </w:tc>
      </w:tr>
      <w:tr>
        <w:trPr>
          <w:trHeight w:val="362"/>
        </w:trPr>
        <w:tc>
          <w:tcPr>
            <w:tcW w:w="3560" w:type="dxa"/>
            <w:vAlign w:val="bottom"/>
            <w:tcBorders>
              <w:top w:val="single" w:sz="8" w:color="0000EE"/>
            </w:tcBorders>
          </w:tcPr>
          <w:p>
            <w:pPr>
              <w:spacing w:after="0"/>
              <w:rPr>
                <w:sz w:val="24"/>
                <w:szCs w:val="24"/>
                <w:color w:val="auto"/>
              </w:rPr>
            </w:pPr>
          </w:p>
        </w:tc>
        <w:tc>
          <w:tcPr>
            <w:tcW w:w="7440" w:type="dxa"/>
            <w:vAlign w:val="bottom"/>
            <w:gridSpan w:val="7"/>
          </w:tcPr>
          <w:p>
            <w:pPr>
              <w:ind w:left="2020"/>
              <w:spacing w:after="0"/>
              <w:rPr>
                <w:sz w:val="20"/>
                <w:szCs w:val="20"/>
                <w:color w:val="auto"/>
              </w:rPr>
            </w:pPr>
            <w:r>
              <w:rPr>
                <w:rFonts w:ascii="Arial" w:cs="Arial" w:eastAsia="Arial" w:hAnsi="Arial"/>
                <w:sz w:val="19"/>
                <w:szCs w:val="19"/>
                <w:color w:val="auto"/>
              </w:rPr>
              <w:t>F-1</w:t>
            </w:r>
          </w:p>
        </w:tc>
        <w:tc>
          <w:tcPr>
            <w:tcW w:w="420" w:type="dxa"/>
            <w:vAlign w:val="bottom"/>
          </w:tcPr>
          <w:p>
            <w:pPr>
              <w:spacing w:after="0"/>
              <w:rPr>
                <w:sz w:val="24"/>
                <w:szCs w:val="24"/>
                <w:color w:val="auto"/>
              </w:rPr>
            </w:pPr>
          </w:p>
        </w:tc>
      </w:tr>
      <w:tr>
        <w:trPr>
          <w:trHeight w:val="222"/>
        </w:trPr>
        <w:tc>
          <w:tcPr>
            <w:tcW w:w="35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34" w:name="page135"/>
    <w:bookmarkEnd w:id="134"/>
    <w:p>
      <w:pPr>
        <w:ind w:right="2320" w:firstLine="2385"/>
        <w:spacing w:after="0" w:line="439"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Board of Directors and Shareholders of GasLog Ltd. Hamilton, Bermuda</w:t>
      </w:r>
    </w:p>
    <w:p>
      <w:pPr>
        <w:spacing w:after="0" w:line="200" w:lineRule="exact"/>
        <w:rPr>
          <w:sz w:val="20"/>
          <w:szCs w:val="20"/>
          <w:color w:val="auto"/>
        </w:rPr>
      </w:pPr>
    </w:p>
    <w:p>
      <w:pPr>
        <w:spacing w:after="0" w:line="236" w:lineRule="exact"/>
        <w:rPr>
          <w:sz w:val="20"/>
          <w:szCs w:val="20"/>
          <w:color w:val="auto"/>
        </w:rPr>
      </w:pPr>
    </w:p>
    <w:p>
      <w:pPr>
        <w:jc w:val="both"/>
        <w:ind w:right="60"/>
        <w:spacing w:after="0" w:line="281" w:lineRule="auto"/>
        <w:rPr>
          <w:sz w:val="20"/>
          <w:szCs w:val="20"/>
          <w:color w:val="auto"/>
        </w:rPr>
      </w:pPr>
      <w:r>
        <w:rPr>
          <w:rFonts w:ascii="Arial" w:cs="Arial" w:eastAsia="Arial" w:hAnsi="Arial"/>
          <w:sz w:val="18"/>
          <w:szCs w:val="18"/>
          <w:color w:val="auto"/>
        </w:rPr>
        <w:t>We have audited the accompanying consolidated statements of financial position of GasLog Ltd. and subsidiaries (the “Group”) as of December 31, 2015 and 2016, and the related consolidated statements of profit or loss, comprehensive income or loss, changes in equity, and cash flows for each of the three years in the period ended December 31, 2016. These financial statements are the responsibility of the Group’s management. Our responsibility is to express an opinion on these financial statements based on our audits.</w:t>
      </w:r>
    </w:p>
    <w:p>
      <w:pPr>
        <w:spacing w:after="0" w:line="4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GasLog Ltd. and subsidiaries as of December 31, 2015 and 2016, and the results of their operations and their cash flows for each of the three years in the period ended December 31, 2016, in conformity with International Financial Reporting Standards (“IFRS”) as issued by the International Accounting Standards Board (“IASB”).</w:t>
      </w:r>
    </w:p>
    <w:p>
      <w:pPr>
        <w:spacing w:after="0" w:line="7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Group’s internal control over financial reporting as of December 31, 2016, based on the criteria established in Internal Control—Integrated Framework (2013) issued by the Committee of Sponsoring Organizations of the Treadway Commission and our report dated March 1, 2017 expressed an unqualified opinion on the Group’s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/s/ Deloitte LLP</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London, United Kingdom</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March 1, 2017</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135" w:name="page136"/>
    <w:bookmarkEnd w:id="135"/>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financial position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Note</w:t>
            </w:r>
          </w:p>
        </w:tc>
        <w:tc>
          <w:tcPr>
            <w:tcW w:w="300" w:type="dxa"/>
            <w:vAlign w:val="bottom"/>
          </w:tcPr>
          <w:p>
            <w:pPr>
              <w:spacing w:after="0"/>
              <w:rPr>
                <w:sz w:val="17"/>
                <w:szCs w:val="17"/>
                <w:color w:val="auto"/>
              </w:rPr>
            </w:pPr>
          </w:p>
        </w:tc>
        <w:tc>
          <w:tcPr>
            <w:tcW w:w="17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7"/>
                <w:szCs w:val="17"/>
                <w:color w:val="auto"/>
              </w:rPr>
            </w:pP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December 31, 2016</w:t>
            </w:r>
          </w:p>
        </w:tc>
      </w:tr>
      <w:tr>
        <w:trPr>
          <w:trHeight w:val="210"/>
        </w:trPr>
        <w:tc>
          <w:tcPr>
            <w:tcW w:w="2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9,511</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9,511</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Investment in associate and joint venture</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6,274</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6,265</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17,998</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12,045</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28,957</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1,824</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61</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7,856</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Tangible fixed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3,400,270</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3,889,047</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178,405</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96,356</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Vessel held under finance lease</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222,004</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b w:val="1"/>
                <w:bCs w:val="1"/>
                <w:color w:val="auto"/>
              </w:rPr>
              <w:t>3,641,476</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b w:val="1"/>
                <w:bCs w:val="1"/>
                <w:color w:val="auto"/>
              </w:rPr>
              <w:t>4,244,908</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16,079</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9,256</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1,345</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3,065</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E5FFFF"/>
          </w:tcPr>
          <w:p>
            <w:pPr>
              <w:spacing w:after="0"/>
              <w:rPr>
                <w:sz w:val="21"/>
                <w:szCs w:val="21"/>
                <w:color w:val="auto"/>
              </w:rPr>
            </w:pPr>
          </w:p>
        </w:tc>
        <w:tc>
          <w:tcPr>
            <w:tcW w:w="1700" w:type="dxa"/>
            <w:vAlign w:val="bottom"/>
            <w:shd w:val="clear" w:color="auto" w:fill="E5FFFF"/>
          </w:tcPr>
          <w:p>
            <w:pPr>
              <w:jc w:val="right"/>
              <w:ind w:right="72"/>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82</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6,496</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8,461</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2,519</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4,326</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21"/>
                <w:szCs w:val="21"/>
                <w:color w:val="auto"/>
              </w:rPr>
            </w:pP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6,000</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18,000</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62,718</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42</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302,988</w:t>
            </w:r>
          </w:p>
        </w:tc>
        <w:tc>
          <w:tcPr>
            <w:tcW w:w="300" w:type="dxa"/>
            <w:vAlign w:val="bottom"/>
          </w:tcPr>
          <w:p>
            <w:pPr>
              <w:spacing w:after="0"/>
              <w:rPr>
                <w:sz w:val="21"/>
                <w:szCs w:val="21"/>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227,024</w:t>
            </w:r>
          </w:p>
        </w:tc>
      </w:tr>
      <w:tr>
        <w:trPr>
          <w:trHeight w:val="242"/>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70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8"/>
                <w:szCs w:val="18"/>
                <w:b w:val="1"/>
                <w:bCs w:val="1"/>
                <w:color w:val="auto"/>
              </w:rPr>
              <w:t>398,145</w:t>
            </w:r>
          </w:p>
        </w:tc>
        <w:tc>
          <w:tcPr>
            <w:tcW w:w="300" w:type="dxa"/>
            <w:vAlign w:val="bottom"/>
            <w:shd w:val="clear" w:color="auto" w:fill="E5FFFF"/>
          </w:tcPr>
          <w:p>
            <w:pPr>
              <w:spacing w:after="0"/>
              <w:rPr>
                <w:sz w:val="21"/>
                <w:szCs w:val="21"/>
                <w:color w:val="auto"/>
              </w:rPr>
            </w:pPr>
          </w:p>
        </w:tc>
        <w:tc>
          <w:tcPr>
            <w:tcW w:w="1720" w:type="dxa"/>
            <w:vAlign w:val="bottom"/>
            <w:tcBorders>
              <w:bottom w:val="single" w:sz="8" w:color="auto"/>
            </w:tcBorders>
            <w:shd w:val="clear" w:color="auto" w:fill="E5FFFF"/>
          </w:tcPr>
          <w:p>
            <w:pPr>
              <w:jc w:val="right"/>
              <w:ind w:right="92"/>
              <w:spacing w:after="0"/>
              <w:rPr>
                <w:sz w:val="20"/>
                <w:szCs w:val="20"/>
                <w:color w:val="auto"/>
              </w:rPr>
            </w:pPr>
            <w:r>
              <w:rPr>
                <w:rFonts w:ascii="Arial" w:cs="Arial" w:eastAsia="Arial" w:hAnsi="Arial"/>
                <w:sz w:val="18"/>
                <w:szCs w:val="18"/>
                <w:b w:val="1"/>
                <w:bCs w:val="1"/>
                <w:color w:val="auto"/>
              </w:rPr>
              <w:t>270,256</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21"/>
                <w:szCs w:val="21"/>
                <w:color w:val="auto"/>
              </w:rPr>
            </w:pPr>
          </w:p>
        </w:tc>
        <w:tc>
          <w:tcPr>
            <w:tcW w:w="2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4,039,621</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4,515,164</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 and liabilities</w:t>
            </w:r>
          </w:p>
        </w:tc>
        <w:tc>
          <w:tcPr>
            <w:tcW w:w="4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46</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46</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810</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810</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1,020,292</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966,974</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0" w:type="dxa"/>
            <w:vAlign w:val="bottom"/>
            <w:gridSpan w:val="2"/>
          </w:tcPr>
          <w:p>
            <w:pPr>
              <w:jc w:val="right"/>
              <w:ind w:right="12"/>
              <w:spacing w:after="0"/>
              <w:rPr>
                <w:sz w:val="20"/>
                <w:szCs w:val="20"/>
                <w:color w:val="auto"/>
              </w:rPr>
            </w:pPr>
            <w:r>
              <w:rPr>
                <w:rFonts w:ascii="Arial" w:cs="Arial" w:eastAsia="Arial" w:hAnsi="Arial"/>
                <w:sz w:val="18"/>
                <w:szCs w:val="18"/>
                <w:color w:val="auto"/>
              </w:rPr>
              <w:t>(8,829)</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10,160</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(12,491)</w:t>
            </w:r>
          </w:p>
        </w:tc>
        <w:tc>
          <w:tcPr>
            <w:tcW w:w="2020" w:type="dxa"/>
            <w:vAlign w:val="bottom"/>
            <w:gridSpan w:val="2"/>
            <w:shd w:val="clear" w:color="auto" w:fill="E5FFFF"/>
          </w:tcPr>
          <w:p>
            <w:pPr>
              <w:jc w:val="right"/>
              <w:ind w:right="32"/>
              <w:spacing w:after="0"/>
              <w:rPr>
                <w:sz w:val="20"/>
                <w:szCs w:val="20"/>
                <w:color w:val="auto"/>
              </w:rPr>
            </w:pPr>
            <w:r>
              <w:rPr>
                <w:rFonts w:ascii="Arial" w:cs="Arial" w:eastAsia="Arial" w:hAnsi="Arial"/>
                <w:sz w:val="18"/>
                <w:szCs w:val="18"/>
                <w:color w:val="auto"/>
              </w:rPr>
              <w:t>(10,861)</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Retained earnings/(accumulated deficit)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(21,486)</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b w:val="1"/>
                <w:bCs w:val="1"/>
                <w:color w:val="auto"/>
              </w:rPr>
              <w:t>1,001,674</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b w:val="1"/>
                <w:bCs w:val="1"/>
                <w:color w:val="auto"/>
              </w:rPr>
              <w:t>945,643</w:t>
            </w: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506,246</w:t>
            </w:r>
          </w:p>
        </w:tc>
        <w:tc>
          <w:tcPr>
            <w:tcW w:w="300" w:type="dxa"/>
            <w:vAlign w:val="bottom"/>
          </w:tcPr>
          <w:p>
            <w:pPr>
              <w:spacing w:after="0"/>
              <w:rPr>
                <w:sz w:val="21"/>
                <w:szCs w:val="21"/>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564,039</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b w:val="1"/>
                <w:bCs w:val="1"/>
                <w:color w:val="auto"/>
              </w:rPr>
              <w:t>1,507,920</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b w:val="1"/>
                <w:bCs w:val="1"/>
                <w:color w:val="auto"/>
              </w:rPr>
              <w:t>1,509,682</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12,391</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7,255</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Ship management creditors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3,524</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841</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163</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105</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14,243</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7,854</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67,084</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93,386</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Borrowings, current portion</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636,987</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147,448</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E5FFFF"/>
          </w:tcPr>
          <w:p>
            <w:pPr>
              <w:spacing w:after="0"/>
              <w:rPr>
                <w:sz w:val="21"/>
                <w:szCs w:val="21"/>
                <w:color w:val="auto"/>
              </w:rPr>
            </w:pPr>
          </w:p>
        </w:tc>
        <w:tc>
          <w:tcPr>
            <w:tcW w:w="170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1720" w:type="dxa"/>
            <w:vAlign w:val="bottom"/>
            <w:tcBorders>
              <w:bottom w:val="single" w:sz="8" w:color="auto"/>
            </w:tcBorders>
            <w:shd w:val="clear" w:color="auto" w:fill="E5FFFF"/>
          </w:tcPr>
          <w:p>
            <w:pPr>
              <w:jc w:val="right"/>
              <w:ind w:right="92"/>
              <w:spacing w:after="0"/>
              <w:rPr>
                <w:sz w:val="20"/>
                <w:szCs w:val="20"/>
                <w:color w:val="auto"/>
              </w:rPr>
            </w:pPr>
            <w:r>
              <w:rPr>
                <w:rFonts w:ascii="Arial" w:cs="Arial" w:eastAsia="Arial" w:hAnsi="Arial"/>
                <w:sz w:val="18"/>
                <w:szCs w:val="18"/>
                <w:color w:val="auto"/>
              </w:rPr>
              <w:t>5,946</w:t>
            </w:r>
          </w:p>
        </w:tc>
      </w:tr>
      <w:tr>
        <w:trPr>
          <w:trHeight w:val="258"/>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Pr>
          <w:p>
            <w:pPr>
              <w:spacing w:after="0"/>
              <w:rPr>
                <w:sz w:val="22"/>
                <w:szCs w:val="22"/>
                <w:color w:val="auto"/>
              </w:rPr>
            </w:pPr>
          </w:p>
        </w:tc>
        <w:tc>
          <w:tcPr>
            <w:tcW w:w="2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734,392</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262,835</w:t>
            </w:r>
          </w:p>
        </w:tc>
      </w:tr>
      <w:tr>
        <w:trPr>
          <w:trHeight w:val="216"/>
        </w:trPr>
        <w:tc>
          <w:tcPr>
            <w:tcW w:w="2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spacing w:after="0"/>
              <w:rPr>
                <w:sz w:val="18"/>
                <w:szCs w:val="18"/>
                <w:color w:val="auto"/>
              </w:rPr>
            </w:pP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58,531</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22,485</w:t>
            </w:r>
          </w:p>
        </w:tc>
      </w:tr>
      <w:tr>
        <w:trPr>
          <w:trHeight w:val="244"/>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color w:val="auto"/>
              </w:rPr>
              <w:t>1,737,500</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color w:val="auto"/>
              </w:rPr>
              <w:t>2,504,578</w:t>
            </w:r>
          </w:p>
        </w:tc>
      </w:tr>
      <w:tr>
        <w:trPr>
          <w:trHeight w:val="242"/>
        </w:trPr>
        <w:tc>
          <w:tcPr>
            <w:tcW w:w="7000" w:type="dxa"/>
            <w:vAlign w:val="bottom"/>
            <w:gridSpan w:val="2"/>
          </w:tcPr>
          <w:p>
            <w:pPr>
              <w:spacing w:after="0"/>
              <w:rPr>
                <w:sz w:val="20"/>
                <w:szCs w:val="20"/>
                <w:color w:val="auto"/>
              </w:rPr>
            </w:pPr>
            <w:r>
              <w:rPr>
                <w:rFonts w:ascii="Arial" w:cs="Arial" w:eastAsia="Arial" w:hAnsi="Arial"/>
                <w:sz w:val="18"/>
                <w:szCs w:val="18"/>
                <w:color w:val="auto"/>
              </w:rPr>
              <w:t>Finance lease liability, non-current portion</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color w:val="auto"/>
              </w:rPr>
              <w:t>214,455</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70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8"/>
                <w:szCs w:val="18"/>
                <w:color w:val="auto"/>
              </w:rPr>
              <w:t>1,278</w:t>
            </w:r>
          </w:p>
        </w:tc>
        <w:tc>
          <w:tcPr>
            <w:tcW w:w="300" w:type="dxa"/>
            <w:vAlign w:val="bottom"/>
            <w:shd w:val="clear" w:color="auto" w:fill="E5FFFF"/>
          </w:tcPr>
          <w:p>
            <w:pPr>
              <w:spacing w:after="0"/>
              <w:rPr>
                <w:sz w:val="21"/>
                <w:szCs w:val="21"/>
                <w:color w:val="auto"/>
              </w:rPr>
            </w:pPr>
          </w:p>
        </w:tc>
        <w:tc>
          <w:tcPr>
            <w:tcW w:w="1720" w:type="dxa"/>
            <w:vAlign w:val="bottom"/>
            <w:tcBorders>
              <w:bottom w:val="single" w:sz="8" w:color="auto"/>
            </w:tcBorders>
            <w:shd w:val="clear" w:color="auto" w:fill="E5FFFF"/>
          </w:tcPr>
          <w:p>
            <w:pPr>
              <w:jc w:val="right"/>
              <w:ind w:right="92"/>
              <w:spacing w:after="0"/>
              <w:rPr>
                <w:sz w:val="20"/>
                <w:szCs w:val="20"/>
                <w:color w:val="auto"/>
              </w:rPr>
            </w:pPr>
            <w:r>
              <w:rPr>
                <w:rFonts w:ascii="Arial" w:cs="Arial" w:eastAsia="Arial" w:hAnsi="Arial"/>
                <w:sz w:val="18"/>
                <w:szCs w:val="18"/>
                <w:color w:val="auto"/>
              </w:rPr>
              <w:t>1,129</w:t>
            </w:r>
          </w:p>
        </w:tc>
      </w:tr>
      <w:tr>
        <w:trPr>
          <w:trHeight w:val="258"/>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1,797,309</w:t>
            </w:r>
          </w:p>
        </w:tc>
        <w:tc>
          <w:tcPr>
            <w:tcW w:w="300" w:type="dxa"/>
            <w:vAlign w:val="bottom"/>
          </w:tcPr>
          <w:p>
            <w:pPr>
              <w:spacing w:after="0"/>
              <w:rPr>
                <w:sz w:val="22"/>
                <w:szCs w:val="22"/>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2,742,647</w:t>
            </w:r>
          </w:p>
        </w:tc>
      </w:tr>
      <w:tr>
        <w:trPr>
          <w:trHeight w:val="243"/>
        </w:trPr>
        <w:tc>
          <w:tcPr>
            <w:tcW w:w="2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400" w:type="dxa"/>
            <w:vAlign w:val="bottom"/>
            <w:shd w:val="clear" w:color="auto" w:fill="E5FFFF"/>
          </w:tcPr>
          <w:p>
            <w:pPr>
              <w:spacing w:after="0"/>
              <w:rPr>
                <w:sz w:val="21"/>
                <w:szCs w:val="21"/>
                <w:color w:val="auto"/>
              </w:rPr>
            </w:pPr>
          </w:p>
        </w:tc>
        <w:tc>
          <w:tcPr>
            <w:tcW w:w="2000" w:type="dxa"/>
            <w:vAlign w:val="bottom"/>
            <w:gridSpan w:val="2"/>
            <w:shd w:val="clear" w:color="auto" w:fill="E5FFFF"/>
          </w:tcPr>
          <w:p>
            <w:pPr>
              <w:jc w:val="right"/>
              <w:ind w:right="72"/>
              <w:spacing w:after="0"/>
              <w:rPr>
                <w:sz w:val="20"/>
                <w:szCs w:val="20"/>
                <w:color w:val="auto"/>
              </w:rPr>
            </w:pPr>
            <w:r>
              <w:rPr>
                <w:rFonts w:ascii="Arial" w:cs="Arial" w:eastAsia="Arial" w:hAnsi="Arial"/>
                <w:sz w:val="18"/>
                <w:szCs w:val="18"/>
                <w:b w:val="1"/>
                <w:bCs w:val="1"/>
                <w:color w:val="auto"/>
              </w:rPr>
              <w:t>4,039,621</w:t>
            </w:r>
          </w:p>
        </w:tc>
        <w:tc>
          <w:tcPr>
            <w:tcW w:w="2020" w:type="dxa"/>
            <w:vAlign w:val="bottom"/>
            <w:gridSpan w:val="2"/>
            <w:shd w:val="clear" w:color="auto" w:fill="E5FFFF"/>
          </w:tcPr>
          <w:p>
            <w:pPr>
              <w:jc w:val="right"/>
              <w:ind w:right="92"/>
              <w:spacing w:after="0"/>
              <w:rPr>
                <w:sz w:val="20"/>
                <w:szCs w:val="20"/>
                <w:color w:val="auto"/>
              </w:rPr>
            </w:pPr>
            <w:r>
              <w:rPr>
                <w:rFonts w:ascii="Arial" w:cs="Arial" w:eastAsia="Arial" w:hAnsi="Arial"/>
                <w:sz w:val="18"/>
                <w:szCs w:val="18"/>
                <w:b w:val="1"/>
                <w:bCs w:val="1"/>
                <w:color w:val="auto"/>
              </w:rPr>
              <w:t>4,515,164</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6" w:name="page137"/>
    <w:bookmarkEnd w:id="136"/>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profit or loss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5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Note</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2016</w:t>
            </w:r>
          </w:p>
        </w:tc>
      </w:tr>
      <w:tr>
        <w:trPr>
          <w:trHeight w:val="237"/>
        </w:trPr>
        <w:tc>
          <w:tcPr>
            <w:tcW w:w="20" w:type="dxa"/>
            <w:vAlign w:val="bottom"/>
          </w:tcPr>
          <w:p>
            <w:pPr>
              <w:spacing w:after="0"/>
              <w:rPr>
                <w:sz w:val="20"/>
                <w:szCs w:val="20"/>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Revenues</w:t>
            </w:r>
          </w:p>
        </w:tc>
        <w:tc>
          <w:tcPr>
            <w:tcW w:w="58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328,679</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415,078</w:t>
            </w:r>
          </w:p>
        </w:tc>
        <w:tc>
          <w:tcPr>
            <w:tcW w:w="122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466,059</w:t>
            </w:r>
          </w:p>
        </w:tc>
      </w:tr>
      <w:tr>
        <w:trPr>
          <w:trHeight w:val="243"/>
        </w:trPr>
        <w:tc>
          <w:tcPr>
            <w:tcW w:w="7320" w:type="dxa"/>
            <w:vAlign w:val="bottom"/>
            <w:gridSpan w:val="2"/>
          </w:tcPr>
          <w:p>
            <w:pPr>
              <w:spacing w:after="0"/>
              <w:rPr>
                <w:sz w:val="20"/>
                <w:szCs w:val="20"/>
                <w:color w:val="auto"/>
              </w:rPr>
            </w:pPr>
            <w:r>
              <w:rPr>
                <w:rFonts w:ascii="Arial" w:cs="Arial" w:eastAsia="Arial" w:hAnsi="Arial"/>
                <w:sz w:val="19"/>
                <w:szCs w:val="19"/>
                <w:color w:val="auto"/>
              </w:rPr>
              <w:t>Vessel operating and supervision costs</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15</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(70,732)</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(98,552)</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(112,632)</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Voyage expenses and commissions</w:t>
            </w: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16</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(7,738)</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(14,290)</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(15,184)</w:t>
            </w:r>
          </w:p>
        </w:tc>
      </w:tr>
      <w:tr>
        <w:trPr>
          <w:trHeight w:val="243"/>
        </w:trPr>
        <w:tc>
          <w:tcPr>
            <w:tcW w:w="7320" w:type="dxa"/>
            <w:vAlign w:val="bottom"/>
            <w:gridSpan w:val="2"/>
          </w:tcPr>
          <w:p>
            <w:pPr>
              <w:spacing w:after="0"/>
              <w:rPr>
                <w:sz w:val="20"/>
                <w:szCs w:val="20"/>
                <w:color w:val="auto"/>
              </w:rPr>
            </w:pPr>
            <w:r>
              <w:rPr>
                <w:rFonts w:ascii="Arial" w:cs="Arial" w:eastAsia="Arial" w:hAnsi="Arial"/>
                <w:sz w:val="19"/>
                <w:szCs w:val="19"/>
                <w:color w:val="auto"/>
              </w:rPr>
              <w:t>Depreciation</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6</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(70,695)</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(106,641)</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(122,957)</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General and administrative expenses</w:t>
            </w: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17</w:t>
            </w: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(34,154)</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(41,282)</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(38,642)</w:t>
            </w:r>
          </w:p>
        </w:tc>
      </w:tr>
      <w:tr>
        <w:trPr>
          <w:trHeight w:val="257"/>
        </w:trPr>
        <w:tc>
          <w:tcPr>
            <w:tcW w:w="7320" w:type="dxa"/>
            <w:vAlign w:val="bottom"/>
            <w:gridSpan w:val="2"/>
          </w:tcPr>
          <w:p>
            <w:pPr>
              <w:spacing w:after="0"/>
              <w:rPr>
                <w:sz w:val="20"/>
                <w:szCs w:val="20"/>
                <w:color w:val="auto"/>
              </w:rPr>
            </w:pPr>
            <w:r>
              <w:rPr>
                <w:rFonts w:ascii="Arial" w:cs="Arial" w:eastAsia="Arial" w:hAnsi="Arial"/>
                <w:sz w:val="19"/>
                <w:szCs w:val="19"/>
                <w:b w:val="1"/>
                <w:bCs w:val="1"/>
                <w:color w:val="auto"/>
              </w:rPr>
              <w:t>Profit from operations</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8"/>
              </w:rPr>
              <w:t>145,360</w:t>
            </w:r>
          </w:p>
        </w:tc>
        <w:tc>
          <w:tcPr>
            <w:tcW w:w="3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154,313</w:t>
            </w:r>
          </w:p>
        </w:tc>
        <w:tc>
          <w:tcPr>
            <w:tcW w:w="280" w:type="dxa"/>
            <w:vAlign w:val="bottom"/>
          </w:tcPr>
          <w:p>
            <w:pPr>
              <w:spacing w:after="0"/>
              <w:rPr>
                <w:sz w:val="22"/>
                <w:szCs w:val="22"/>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176,644</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Financial costs</w:t>
            </w: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(71,579)</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(91,956)</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(137,316)</w:t>
            </w:r>
          </w:p>
        </w:tc>
      </w:tr>
      <w:tr>
        <w:trPr>
          <w:trHeight w:val="243"/>
        </w:trPr>
        <w:tc>
          <w:tcPr>
            <w:tcW w:w="7320" w:type="dxa"/>
            <w:vAlign w:val="bottom"/>
            <w:gridSpan w:val="2"/>
          </w:tcPr>
          <w:p>
            <w:pPr>
              <w:spacing w:after="0"/>
              <w:rPr>
                <w:sz w:val="20"/>
                <w:szCs w:val="20"/>
                <w:color w:val="auto"/>
              </w:rPr>
            </w:pPr>
            <w:r>
              <w:rPr>
                <w:rFonts w:ascii="Arial" w:cs="Arial" w:eastAsia="Arial" w:hAnsi="Arial"/>
                <w:sz w:val="19"/>
                <w:szCs w:val="19"/>
                <w:color w:val="auto"/>
              </w:rPr>
              <w:t>Financial income</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274</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427</w:t>
            </w:r>
          </w:p>
        </w:tc>
        <w:tc>
          <w:tcPr>
            <w:tcW w:w="1220" w:type="dxa"/>
            <w:vAlign w:val="bottom"/>
            <w:gridSpan w:val="2"/>
          </w:tcPr>
          <w:p>
            <w:pPr>
              <w:jc w:val="right"/>
              <w:ind w:right="6"/>
              <w:spacing w:after="0"/>
              <w:rPr>
                <w:sz w:val="20"/>
                <w:szCs w:val="20"/>
                <w:color w:val="auto"/>
              </w:rPr>
            </w:pPr>
            <w:r>
              <w:rPr>
                <w:rFonts w:ascii="Arial" w:cs="Arial" w:eastAsia="Arial" w:hAnsi="Arial"/>
                <w:sz w:val="19"/>
                <w:szCs w:val="19"/>
                <w:color w:val="auto"/>
              </w:rPr>
              <w:t>720</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Loss on swaps</w:t>
            </w: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25</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(24,787)</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(10,332)</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(13,419)</w:t>
            </w:r>
          </w:p>
        </w:tc>
      </w:tr>
      <w:tr>
        <w:trPr>
          <w:trHeight w:val="250"/>
        </w:trPr>
        <w:tc>
          <w:tcPr>
            <w:tcW w:w="7320" w:type="dxa"/>
            <w:vAlign w:val="bottom"/>
            <w:gridSpan w:val="2"/>
          </w:tcPr>
          <w:p>
            <w:pPr>
              <w:spacing w:after="0"/>
              <w:rPr>
                <w:sz w:val="20"/>
                <w:szCs w:val="20"/>
                <w:color w:val="auto"/>
              </w:rPr>
            </w:pPr>
            <w:r>
              <w:rPr>
                <w:rFonts w:ascii="Arial" w:cs="Arial" w:eastAsia="Arial" w:hAnsi="Arial"/>
                <w:sz w:val="19"/>
                <w:szCs w:val="19"/>
                <w:color w:val="auto"/>
              </w:rPr>
              <w:t>Share of profit of associate</w:t>
            </w: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1,497</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1,216</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1,422</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other expenses, net</w:t>
            </w:r>
          </w:p>
        </w:tc>
        <w:tc>
          <w:tcPr>
            <w:tcW w:w="5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(94,595)</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(100,645)</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(148,593)</w:t>
            </w:r>
          </w:p>
        </w:tc>
      </w:tr>
      <w:tr>
        <w:trPr>
          <w:trHeight w:val="250"/>
        </w:trPr>
        <w:tc>
          <w:tcPr>
            <w:tcW w:w="7320" w:type="dxa"/>
            <w:vAlign w:val="bottom"/>
            <w:gridSpan w:val="2"/>
          </w:tcPr>
          <w:p>
            <w:pPr>
              <w:spacing w:after="0"/>
              <w:rPr>
                <w:sz w:val="20"/>
                <w:szCs w:val="20"/>
                <w:color w:val="auto"/>
              </w:rPr>
            </w:pPr>
            <w:r>
              <w:rPr>
                <w:rFonts w:ascii="Arial" w:cs="Arial" w:eastAsia="Arial" w:hAnsi="Arial"/>
                <w:sz w:val="19"/>
                <w:szCs w:val="19"/>
                <w:b w:val="1"/>
                <w:bCs w:val="1"/>
                <w:color w:val="auto"/>
              </w:rPr>
              <w:t>Profit for the year</w:t>
            </w:r>
          </w:p>
        </w:tc>
        <w:tc>
          <w:tcPr>
            <w:tcW w:w="5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50,765</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53,668</w:t>
            </w:r>
          </w:p>
        </w:tc>
        <w:tc>
          <w:tcPr>
            <w:tcW w:w="1220" w:type="dxa"/>
            <w:vAlign w:val="bottom"/>
            <w:gridSpan w:val="2"/>
          </w:tcPr>
          <w:p>
            <w:pPr>
              <w:jc w:val="right"/>
              <w:ind w:right="6"/>
              <w:spacing w:after="0"/>
              <w:rPr>
                <w:sz w:val="20"/>
                <w:szCs w:val="20"/>
                <w:color w:val="auto"/>
              </w:rPr>
            </w:pPr>
            <w:r>
              <w:rPr>
                <w:rFonts w:ascii="Arial" w:cs="Arial" w:eastAsia="Arial" w:hAnsi="Arial"/>
                <w:sz w:val="19"/>
                <w:szCs w:val="19"/>
                <w:b w:val="1"/>
                <w:bCs w:val="1"/>
                <w:color w:val="auto"/>
              </w:rPr>
              <w:t>28,051</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Attributable to:</w:t>
            </w:r>
          </w:p>
        </w:tc>
        <w:tc>
          <w:tcPr>
            <w:tcW w:w="5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9"/>
                <w:szCs w:val="19"/>
                <w:color w:val="auto"/>
              </w:rPr>
              <w:t>Owners of the Group</w:t>
            </w:r>
          </w:p>
        </w:tc>
        <w:tc>
          <w:tcPr>
            <w:tcW w:w="5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42,161</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10,829</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(21,486)</w:t>
            </w:r>
          </w:p>
        </w:tc>
      </w:tr>
      <w:tr>
        <w:trPr>
          <w:trHeight w:val="243"/>
        </w:trPr>
        <w:tc>
          <w:tcPr>
            <w:tcW w:w="20" w:type="dxa"/>
            <w:vAlign w:val="bottom"/>
          </w:tcPr>
          <w:p>
            <w:pPr>
              <w:spacing w:after="0"/>
              <w:rPr>
                <w:sz w:val="21"/>
                <w:szCs w:val="21"/>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5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8,604</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42,839</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49,537</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50,765</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53,668</w:t>
            </w:r>
          </w:p>
        </w:tc>
        <w:tc>
          <w:tcPr>
            <w:tcW w:w="1220" w:type="dxa"/>
            <w:vAlign w:val="bottom"/>
            <w:gridSpan w:val="2"/>
          </w:tcPr>
          <w:p>
            <w:pPr>
              <w:jc w:val="right"/>
              <w:ind w:right="6"/>
              <w:spacing w:after="0"/>
              <w:rPr>
                <w:sz w:val="20"/>
                <w:szCs w:val="20"/>
                <w:color w:val="auto"/>
              </w:rPr>
            </w:pPr>
            <w:r>
              <w:rPr>
                <w:rFonts w:ascii="Arial" w:cs="Arial" w:eastAsia="Arial" w:hAnsi="Arial"/>
                <w:sz w:val="19"/>
                <w:szCs w:val="19"/>
                <w:b w:val="1"/>
                <w:bCs w:val="1"/>
                <w:color w:val="auto"/>
              </w:rPr>
              <w:t>28,051</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Earnings/(loss) per share—basic and diluted</w:t>
            </w: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0.54</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0.04</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(0.39)</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7" w:name="page138"/>
    <w:bookmarkEnd w:id="137"/>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comprehensive income or loss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Note</w:t>
            </w:r>
          </w:p>
        </w:tc>
        <w:tc>
          <w:tcPr>
            <w:tcW w:w="300" w:type="dxa"/>
            <w:vAlign w:val="bottom"/>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Profit for the year</w:t>
            </w:r>
          </w:p>
        </w:tc>
        <w:tc>
          <w:tcPr>
            <w:tcW w:w="740" w:type="dxa"/>
            <w:vAlign w:val="bottom"/>
            <w:shd w:val="clear" w:color="auto" w:fill="E5FFFF"/>
          </w:tcPr>
          <w:p>
            <w:pPr>
              <w:spacing w:after="0"/>
              <w:rPr>
                <w:sz w:val="20"/>
                <w:szCs w:val="20"/>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50,765</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53,668</w:t>
            </w:r>
          </w:p>
        </w:tc>
        <w:tc>
          <w:tcPr>
            <w:tcW w:w="10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b w:val="1"/>
                <w:bCs w:val="1"/>
                <w:color w:val="auto"/>
              </w:rPr>
              <w:t>28,051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9"/>
                <w:szCs w:val="19"/>
                <w:b w:val="1"/>
                <w:bCs w:val="1"/>
                <w:color w:val="auto"/>
              </w:rPr>
              <w:t>Other comprehensive (loss)/income: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Items that may not be reclassified subsequently to profit or loss:</w:t>
            </w:r>
          </w:p>
        </w:tc>
        <w:tc>
          <w:tcPr>
            <w:tcW w:w="7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spacing w:after="0"/>
              <w:rPr>
                <w:sz w:val="20"/>
                <w:szCs w:val="20"/>
                <w:color w:val="auto"/>
              </w:rPr>
            </w:pPr>
            <w:r>
              <w:rPr>
                <w:rFonts w:ascii="Arial" w:cs="Arial" w:eastAsia="Arial" w:hAnsi="Arial"/>
                <w:sz w:val="19"/>
                <w:szCs w:val="19"/>
                <w:color w:val="auto"/>
              </w:rPr>
              <w:t>Actuarial (loss)/gain</w:t>
            </w:r>
          </w:p>
        </w:tc>
        <w:tc>
          <w:tcPr>
            <w:tcW w:w="7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(202)</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Items that may be reclassified subsequently to profit or loss:</w:t>
            </w:r>
          </w:p>
        </w:tc>
        <w:tc>
          <w:tcPr>
            <w:tcW w:w="7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line="216" w:lineRule="exact"/>
              <w:rPr>
                <w:sz w:val="20"/>
                <w:szCs w:val="20"/>
                <w:color w:val="auto"/>
              </w:rPr>
            </w:pPr>
            <w:r>
              <w:rPr>
                <w:rFonts w:ascii="Arial" w:cs="Arial" w:eastAsia="Arial" w:hAnsi="Arial"/>
                <w:sz w:val="19"/>
                <w:szCs w:val="19"/>
                <w:color w:val="auto"/>
              </w:rPr>
              <w:t>Effective portion of changes in fair value of cash flow hedges, net of amounts recycled to</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tcPr>
          <w:p>
            <w:pPr>
              <w:ind w:left="160"/>
              <w:spacing w:after="0"/>
              <w:rPr>
                <w:sz w:val="20"/>
                <w:szCs w:val="20"/>
                <w:color w:val="auto"/>
              </w:rPr>
            </w:pPr>
            <w:r>
              <w:rPr>
                <w:rFonts w:ascii="Arial" w:cs="Arial" w:eastAsia="Arial" w:hAnsi="Arial"/>
                <w:sz w:val="19"/>
                <w:szCs w:val="19"/>
                <w:color w:val="auto"/>
              </w:rPr>
              <w:t>profit or loss</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25</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(13,191)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(849)</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Recycled loss of cash flow hedges reclassified to profit or loss in relation to derivatives no</w:t>
            </w:r>
          </w:p>
        </w:tc>
        <w:tc>
          <w:tcPr>
            <w:tcW w:w="7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shd w:val="clear" w:color="auto" w:fill="E5FFFF"/>
          </w:tcPr>
          <w:p>
            <w:pPr>
              <w:ind w:left="160"/>
              <w:spacing w:after="0"/>
              <w:rPr>
                <w:sz w:val="20"/>
                <w:szCs w:val="20"/>
                <w:color w:val="auto"/>
              </w:rPr>
            </w:pPr>
            <w:r>
              <w:rPr>
                <w:rFonts w:ascii="Arial" w:cs="Arial" w:eastAsia="Arial" w:hAnsi="Arial"/>
                <w:sz w:val="19"/>
                <w:szCs w:val="19"/>
                <w:color w:val="auto"/>
              </w:rPr>
              <w:t>longer designated as hedges</w:t>
            </w:r>
          </w:p>
        </w:tc>
        <w:tc>
          <w:tcPr>
            <w:tcW w:w="7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25</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6,641</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1,290</w:t>
            </w:r>
          </w:p>
        </w:tc>
        <w:tc>
          <w:tcPr>
            <w:tcW w:w="30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23,514</w:t>
            </w:r>
          </w:p>
        </w:tc>
        <w:tc>
          <w:tcPr>
            <w:tcW w:w="0" w:type="dxa"/>
            <w:vAlign w:val="bottom"/>
          </w:tcPr>
          <w:p>
            <w:pPr>
              <w:spacing w:after="0"/>
              <w:rPr>
                <w:sz w:val="1"/>
                <w:szCs w:val="1"/>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9"/>
                <w:szCs w:val="19"/>
                <w:b w:val="1"/>
                <w:bCs w:val="1"/>
                <w:color w:val="auto"/>
              </w:rPr>
              <w:t>Other comprehensive (loss)/income for the year</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(6,752)</w:t>
            </w:r>
          </w:p>
        </w:tc>
        <w:tc>
          <w:tcPr>
            <w:tcW w:w="30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467</w:t>
            </w:r>
          </w:p>
        </w:tc>
        <w:tc>
          <w:tcPr>
            <w:tcW w:w="300" w:type="dxa"/>
            <w:vAlign w:val="bottom"/>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b w:val="1"/>
                <w:bCs w:val="1"/>
                <w:color w:val="auto"/>
              </w:rPr>
              <w:t>16,969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comprehensive income for the year</w:t>
            </w:r>
          </w:p>
        </w:tc>
        <w:tc>
          <w:tcPr>
            <w:tcW w:w="74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44,013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54,135</w:t>
            </w:r>
          </w:p>
        </w:tc>
        <w:tc>
          <w:tcPr>
            <w:tcW w:w="10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b w:val="1"/>
                <w:bCs w:val="1"/>
                <w:color w:val="auto"/>
              </w:rPr>
              <w:t>45,020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9"/>
                <w:szCs w:val="19"/>
                <w:color w:val="auto"/>
              </w:rPr>
              <w:t>Attributable to:</w:t>
            </w: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9"/>
                <w:szCs w:val="19"/>
                <w:color w:val="auto"/>
              </w:rPr>
              <w:t>Owners of the Group</w:t>
            </w:r>
          </w:p>
        </w:tc>
        <w:tc>
          <w:tcPr>
            <w:tcW w:w="74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32,103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11,296</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(4,517)</w:t>
            </w:r>
          </w:p>
        </w:tc>
        <w:tc>
          <w:tcPr>
            <w:tcW w:w="0" w:type="dxa"/>
            <w:vAlign w:val="bottom"/>
          </w:tcPr>
          <w:p>
            <w:pPr>
              <w:spacing w:after="0"/>
              <w:rPr>
                <w:sz w:val="1"/>
                <w:szCs w:val="1"/>
                <w:color w:val="auto"/>
              </w:rPr>
            </w:pPr>
          </w:p>
        </w:tc>
      </w:tr>
      <w:tr>
        <w:trPr>
          <w:trHeight w:val="250"/>
        </w:trPr>
        <w:tc>
          <w:tcPr>
            <w:tcW w:w="7620" w:type="dxa"/>
            <w:vAlign w:val="bottom"/>
            <w:gridSpan w:val="2"/>
          </w:tcPr>
          <w:p>
            <w:pPr>
              <w:spacing w:after="0"/>
              <w:rPr>
                <w:sz w:val="20"/>
                <w:szCs w:val="20"/>
                <w:color w:val="auto"/>
              </w:rPr>
            </w:pPr>
            <w:r>
              <w:rPr>
                <w:rFonts w:ascii="Arial" w:cs="Arial" w:eastAsia="Arial" w:hAnsi="Arial"/>
                <w:sz w:val="19"/>
                <w:szCs w:val="19"/>
                <w:color w:val="auto"/>
              </w:rPr>
              <w:t>Non-controlling interest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11,910</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42,839</w:t>
            </w:r>
          </w:p>
        </w:tc>
        <w:tc>
          <w:tcPr>
            <w:tcW w:w="300" w:type="dxa"/>
            <w:vAlign w:val="bottom"/>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49,537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44,013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54,135</w:t>
            </w:r>
          </w:p>
        </w:tc>
        <w:tc>
          <w:tcPr>
            <w:tcW w:w="10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b w:val="1"/>
                <w:bCs w:val="1"/>
                <w:color w:val="auto"/>
              </w:rPr>
              <w:t>45,020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8" w:name="page139"/>
    <w:bookmarkEnd w:id="138"/>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changes in equity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Treasury</w:t>
            </w: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earnings/</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 -</w:t>
            </w: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Surplus</w:t>
            </w:r>
          </w:p>
        </w:tc>
        <w:tc>
          <w:tcPr>
            <w:tcW w:w="240" w:type="dxa"/>
            <w:vAlign w:val="bottom"/>
          </w:tcPr>
          <w:p>
            <w:pPr>
              <w:spacing w:after="0"/>
              <w:rPr>
                <w:sz w:val="12"/>
                <w:szCs w:val="12"/>
                <w:color w:val="auto"/>
              </w:rPr>
            </w:pPr>
          </w:p>
        </w:tc>
        <w:tc>
          <w:tcPr>
            <w:tcW w:w="7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w w:val="96"/>
              </w:rPr>
              <w:t>Reserves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owners of</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72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(Note 11)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(Note 11)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(Note 11)</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(Note 12)</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(Note 11)</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deficit)</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Group</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Balance as of January 1, 2014</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629</w:t>
            </w:r>
          </w:p>
        </w:tc>
        <w:tc>
          <w:tcPr>
            <w:tcW w:w="240" w:type="dxa"/>
            <w:vAlign w:val="bottom"/>
            <w:shd w:val="clear" w:color="auto" w:fill="E5FFFF"/>
          </w:tcPr>
          <w:p>
            <w:pPr>
              <w:spacing w:after="0"/>
              <w:rPr>
                <w:sz w:val="20"/>
                <w:szCs w:val="20"/>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614,964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4"/>
                <w:szCs w:val="14"/>
                <w:b w:val="1"/>
                <w:bCs w:val="1"/>
                <w:color w:val="auto"/>
              </w:rPr>
              <w:t>(3,428)</w:t>
            </w:r>
          </w:p>
        </w:tc>
        <w:tc>
          <w:tcPr>
            <w:tcW w:w="240" w:type="dxa"/>
            <w:vAlign w:val="bottom"/>
            <w:shd w:val="clear" w:color="auto" w:fill="E5FFFF"/>
          </w:tcPr>
          <w:p>
            <w:pPr>
              <w:spacing w:after="0"/>
              <w:rPr>
                <w:sz w:val="20"/>
                <w:szCs w:val="20"/>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27,368</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639,533</w:t>
            </w:r>
          </w:p>
        </w:tc>
        <w:tc>
          <w:tcPr>
            <w:tcW w:w="80" w:type="dxa"/>
            <w:vAlign w:val="bottom"/>
            <w:shd w:val="clear" w:color="auto" w:fill="E5FFFF"/>
          </w:tcPr>
          <w:p>
            <w:pPr>
              <w:spacing w:after="0"/>
              <w:rPr>
                <w:sz w:val="20"/>
                <w:szCs w:val="20"/>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639,533</w:t>
            </w:r>
          </w:p>
        </w:tc>
      </w:tr>
      <w:tr>
        <w:trPr>
          <w:trHeight w:val="131"/>
        </w:trPr>
        <w:tc>
          <w:tcPr>
            <w:tcW w:w="20" w:type="dxa"/>
            <w:vAlign w:val="bottom"/>
          </w:tcPr>
          <w:p>
            <w:pPr>
              <w:spacing w:after="0"/>
              <w:rPr>
                <w:sz w:val="11"/>
                <w:szCs w:val="11"/>
                <w:color w:val="auto"/>
              </w:rPr>
            </w:pPr>
          </w:p>
        </w:tc>
        <w:tc>
          <w:tcPr>
            <w:tcW w:w="2800" w:type="dxa"/>
            <w:vAlign w:val="bottom"/>
          </w:tcPr>
          <w:p>
            <w:pPr>
              <w:spacing w:after="0" w:line="131" w:lineRule="exact"/>
              <w:rPr>
                <w:sz w:val="20"/>
                <w:szCs w:val="20"/>
                <w:color w:val="auto"/>
              </w:rPr>
            </w:pPr>
            <w:r>
              <w:rPr>
                <w:rFonts w:ascii="Arial" w:cs="Arial" w:eastAsia="Arial" w:hAnsi="Arial"/>
                <w:sz w:val="14"/>
                <w:szCs w:val="14"/>
                <w:color w:val="auto"/>
              </w:rPr>
              <w:t>Net proceeds from public offerings and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private placement (Note 4)</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181</w:t>
            </w:r>
          </w:p>
        </w:tc>
        <w:tc>
          <w:tcPr>
            <w:tcW w:w="24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color w:val="auto"/>
              </w:rPr>
              <w:t>308,506</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color w:val="auto"/>
              </w:rPr>
              <w:t>308,687</w:t>
            </w:r>
          </w:p>
        </w:tc>
        <w:tc>
          <w:tcPr>
            <w:tcW w:w="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308,687</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Net proceeds from GasLog Partners LP</w:t>
            </w:r>
          </w:p>
        </w:tc>
        <w:tc>
          <w:tcPr>
            <w:tcW w:w="6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E5FFFF"/>
          </w:tcPr>
          <w:p>
            <w:pPr>
              <w:ind w:left="120"/>
              <w:spacing w:after="0" w:line="149" w:lineRule="exact"/>
              <w:rPr>
                <w:sz w:val="20"/>
                <w:szCs w:val="20"/>
                <w:color w:val="auto"/>
              </w:rPr>
            </w:pPr>
            <w:r>
              <w:rPr>
                <w:rFonts w:ascii="Arial" w:cs="Arial" w:eastAsia="Arial" w:hAnsi="Arial"/>
                <w:sz w:val="14"/>
                <w:szCs w:val="14"/>
                <w:color w:val="auto"/>
              </w:rPr>
              <w:t>(“GasLog Partners”) public offerings</w:t>
            </w:r>
          </w:p>
        </w:tc>
        <w:tc>
          <w:tcPr>
            <w:tcW w:w="6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9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94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(Note 4)</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319,036</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319,036</w:t>
            </w: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Dividend paid (Note 12)</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color w:val="auto"/>
              </w:rPr>
              <w:t>(39,840)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(39,840)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(7,300)</w:t>
            </w:r>
          </w:p>
        </w:tc>
        <w:tc>
          <w:tcPr>
            <w:tcW w:w="720" w:type="dxa"/>
            <w:vAlign w:val="bottom"/>
          </w:tcPr>
          <w:p>
            <w:pPr>
              <w:jc w:val="right"/>
              <w:spacing w:after="0"/>
              <w:rPr>
                <w:sz w:val="20"/>
                <w:szCs w:val="20"/>
                <w:color w:val="auto"/>
              </w:rPr>
            </w:pPr>
            <w:r>
              <w:rPr>
                <w:rFonts w:ascii="Arial" w:cs="Arial" w:eastAsia="Arial" w:hAnsi="Arial"/>
                <w:sz w:val="14"/>
                <w:szCs w:val="14"/>
                <w:color w:val="auto"/>
              </w:rPr>
              <w:t>(47,140)</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color w:val="auto"/>
              </w:rPr>
              <w:t>Share-based compensation (Note 21)</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1,856</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1,856</w:t>
            </w:r>
          </w:p>
        </w:tc>
        <w:tc>
          <w:tcPr>
            <w:tcW w:w="8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1,856</w:t>
            </w: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Settlement of share-based compensation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(372)</w:t>
            </w:r>
          </w:p>
        </w:tc>
        <w:tc>
          <w:tcPr>
            <w:tcW w:w="24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color w:val="auto"/>
              </w:rPr>
              <w:t>Treasury shares, net (Note 11)</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(12,576)</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(12,576)</w:t>
            </w:r>
          </w:p>
        </w:tc>
        <w:tc>
          <w:tcPr>
            <w:tcW w:w="8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(12,576)</w:t>
            </w: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Profit for the year</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42,161</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color w:val="auto"/>
              </w:rPr>
              <w:t>42,161</w:t>
            </w:r>
          </w:p>
        </w:tc>
        <w:tc>
          <w:tcPr>
            <w:tcW w:w="760" w:type="dxa"/>
            <w:vAlign w:val="bottom"/>
            <w:gridSpan w:val="2"/>
          </w:tcPr>
          <w:p>
            <w:pPr>
              <w:jc w:val="right"/>
              <w:ind w:right="29"/>
              <w:spacing w:after="0"/>
              <w:rPr>
                <w:sz w:val="20"/>
                <w:szCs w:val="20"/>
                <w:color w:val="auto"/>
              </w:rPr>
            </w:pPr>
            <w:r>
              <w:rPr>
                <w:rFonts w:ascii="Arial" w:cs="Arial" w:eastAsia="Arial" w:hAnsi="Arial"/>
                <w:sz w:val="14"/>
                <w:szCs w:val="14"/>
                <w:color w:val="auto"/>
              </w:rPr>
              <w:t>8,604</w:t>
            </w:r>
          </w:p>
        </w:tc>
        <w:tc>
          <w:tcPr>
            <w:tcW w:w="720" w:type="dxa"/>
            <w:vAlign w:val="bottom"/>
          </w:tcPr>
          <w:p>
            <w:pPr>
              <w:jc w:val="right"/>
              <w:spacing w:after="0"/>
              <w:rPr>
                <w:sz w:val="20"/>
                <w:szCs w:val="20"/>
                <w:color w:val="auto"/>
              </w:rPr>
            </w:pPr>
            <w:r>
              <w:rPr>
                <w:rFonts w:ascii="Arial" w:cs="Arial" w:eastAsia="Arial" w:hAnsi="Arial"/>
                <w:sz w:val="14"/>
                <w:szCs w:val="14"/>
                <w:color w:val="auto"/>
              </w:rPr>
              <w:t>50,765</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Other comprehensive (loss)/income for the</w:t>
            </w:r>
          </w:p>
        </w:tc>
        <w:tc>
          <w:tcPr>
            <w:tcW w:w="6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year</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(10,058)</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(10,058)</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3,306</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(6,752)</w:t>
            </w:r>
          </w:p>
        </w:tc>
      </w:tr>
      <w:tr>
        <w:trPr>
          <w:trHeight w:val="134"/>
        </w:trPr>
        <w:tc>
          <w:tcPr>
            <w:tcW w:w="2820" w:type="dxa"/>
            <w:vAlign w:val="bottom"/>
            <w:gridSpan w:val="2"/>
          </w:tcPr>
          <w:p>
            <w:pPr>
              <w:spacing w:after="0" w:line="134" w:lineRule="exact"/>
              <w:rPr>
                <w:sz w:val="20"/>
                <w:szCs w:val="20"/>
                <w:color w:val="auto"/>
              </w:rPr>
            </w:pPr>
            <w:r>
              <w:rPr>
                <w:rFonts w:ascii="Arial" w:cs="Arial" w:eastAsia="Arial" w:hAnsi="Arial"/>
                <w:sz w:val="14"/>
                <w:szCs w:val="14"/>
                <w:b w:val="1"/>
                <w:bCs w:val="1"/>
                <w:color w:val="auto"/>
                <w:w w:val="99"/>
              </w:rPr>
              <w:t>Total comprehensive (loss)/income for the</w:t>
            </w: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280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(10,058)</w:t>
            </w: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42,161</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32,103</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11,910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44,013</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Balance as of December 31, 2014</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810</w:t>
            </w: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923,470</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4"/>
                <w:szCs w:val="14"/>
                <w:b w:val="1"/>
                <w:bCs w:val="1"/>
                <w:color w:val="auto"/>
              </w:rPr>
              <w:t>(12,002)</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4"/>
                <w:szCs w:val="14"/>
                <w:b w:val="1"/>
                <w:bCs w:val="1"/>
                <w:color w:val="auto"/>
              </w:rPr>
              <w:t>(12,576)</w:t>
            </w:r>
          </w:p>
        </w:tc>
        <w:tc>
          <w:tcPr>
            <w:tcW w:w="122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29,689</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929,391</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323,646</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1,253,037</w:t>
            </w:r>
          </w:p>
        </w:tc>
      </w:tr>
      <w:tr>
        <w:trPr>
          <w:trHeight w:val="138"/>
        </w:trPr>
        <w:tc>
          <w:tcPr>
            <w:tcW w:w="2820" w:type="dxa"/>
            <w:vAlign w:val="bottom"/>
            <w:gridSpan w:val="2"/>
          </w:tcPr>
          <w:p>
            <w:pPr>
              <w:spacing w:after="0" w:line="138" w:lineRule="exact"/>
              <w:rPr>
                <w:sz w:val="20"/>
                <w:szCs w:val="20"/>
                <w:color w:val="auto"/>
              </w:rPr>
            </w:pPr>
            <w:r>
              <w:rPr>
                <w:rFonts w:ascii="Arial" w:cs="Arial" w:eastAsia="Arial" w:hAnsi="Arial"/>
                <w:sz w:val="14"/>
                <w:szCs w:val="14"/>
                <w:color w:val="auto"/>
              </w:rPr>
              <w:t>Net proceeds from issuance of preference</w:t>
            </w: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shares (Note 4)</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9"/>
              <w:spacing w:after="0"/>
              <w:rPr>
                <w:sz w:val="20"/>
                <w:szCs w:val="20"/>
                <w:color w:val="auto"/>
              </w:rPr>
            </w:pPr>
            <w:r>
              <w:rPr>
                <w:rFonts w:ascii="Arial" w:cs="Arial" w:eastAsia="Arial" w:hAnsi="Arial"/>
                <w:sz w:val="14"/>
                <w:szCs w:val="14"/>
                <w:color w:val="auto"/>
              </w:rPr>
              <w:t>46</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color w:val="auto"/>
              </w:rPr>
              <w:t>110,607</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color w:val="auto"/>
              </w:rPr>
              <w:t>110,653</w:t>
            </w:r>
          </w:p>
        </w:tc>
        <w:tc>
          <w:tcPr>
            <w:tcW w:w="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110,653</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Net proceeds from GasLog Partners’ public</w:t>
            </w:r>
          </w:p>
        </w:tc>
        <w:tc>
          <w:tcPr>
            <w:tcW w:w="6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offering (Note 4)</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171,831</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171,831</w:t>
            </w:r>
          </w:p>
        </w:tc>
      </w:tr>
      <w:tr>
        <w:trPr>
          <w:trHeight w:val="131"/>
        </w:trPr>
        <w:tc>
          <w:tcPr>
            <w:tcW w:w="20" w:type="dxa"/>
            <w:vAlign w:val="bottom"/>
          </w:tcPr>
          <w:p>
            <w:pPr>
              <w:spacing w:after="0"/>
              <w:rPr>
                <w:sz w:val="11"/>
                <w:szCs w:val="11"/>
                <w:color w:val="auto"/>
              </w:rPr>
            </w:pPr>
          </w:p>
        </w:tc>
        <w:tc>
          <w:tcPr>
            <w:tcW w:w="2800" w:type="dxa"/>
            <w:vAlign w:val="bottom"/>
          </w:tcPr>
          <w:p>
            <w:pPr>
              <w:spacing w:after="0" w:line="131" w:lineRule="exact"/>
              <w:rPr>
                <w:sz w:val="20"/>
                <w:szCs w:val="20"/>
                <w:color w:val="auto"/>
              </w:rPr>
            </w:pPr>
            <w:r>
              <w:rPr>
                <w:rFonts w:ascii="Arial" w:cs="Arial" w:eastAsia="Arial" w:hAnsi="Arial"/>
                <w:sz w:val="14"/>
                <w:szCs w:val="14"/>
                <w:color w:val="auto"/>
              </w:rPr>
              <w:t>Dividend paid (common and preference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shares) (Note 12)</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(13,785)</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color w:val="auto"/>
              </w:rPr>
              <w:t>(38,672)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(52,457)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(32,070)</w:t>
            </w:r>
          </w:p>
        </w:tc>
        <w:tc>
          <w:tcPr>
            <w:tcW w:w="720" w:type="dxa"/>
            <w:vAlign w:val="bottom"/>
          </w:tcPr>
          <w:p>
            <w:pPr>
              <w:jc w:val="right"/>
              <w:spacing w:after="0"/>
              <w:rPr>
                <w:sz w:val="20"/>
                <w:szCs w:val="20"/>
                <w:color w:val="auto"/>
              </w:rPr>
            </w:pPr>
            <w:r>
              <w:rPr>
                <w:rFonts w:ascii="Arial" w:cs="Arial" w:eastAsia="Arial" w:hAnsi="Arial"/>
                <w:sz w:val="14"/>
                <w:szCs w:val="14"/>
                <w:color w:val="auto"/>
              </w:rPr>
              <w:t>(84,527)</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Share-based compensation, net of accrued</w:t>
            </w:r>
          </w:p>
        </w:tc>
        <w:tc>
          <w:tcPr>
            <w:tcW w:w="6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dividend (Note 21)</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2,791</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2,791</w:t>
            </w:r>
          </w:p>
        </w:tc>
        <w:tc>
          <w:tcPr>
            <w:tcW w:w="8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2,791</w:t>
            </w: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Settlement of share-based compensation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960" w:type="dxa"/>
            <w:vAlign w:val="bottom"/>
            <w:gridSpan w:val="2"/>
          </w:tcPr>
          <w:p>
            <w:pPr>
              <w:jc w:val="right"/>
              <w:ind w:right="29"/>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color w:val="auto"/>
              </w:rPr>
              <w:t>Profit for the year</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10,829</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10,829</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42,839</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53,668</w:t>
            </w:r>
          </w:p>
        </w:tc>
      </w:tr>
      <w:tr>
        <w:trPr>
          <w:trHeight w:val="250"/>
        </w:trPr>
        <w:tc>
          <w:tcPr>
            <w:tcW w:w="2820" w:type="dxa"/>
            <w:vAlign w:val="bottom"/>
            <w:gridSpan w:val="2"/>
          </w:tcPr>
          <w:p>
            <w:pPr>
              <w:spacing w:after="0"/>
              <w:rPr>
                <w:sz w:val="20"/>
                <w:szCs w:val="20"/>
                <w:color w:val="auto"/>
              </w:rPr>
            </w:pPr>
            <w:r>
              <w:rPr>
                <w:rFonts w:ascii="Arial" w:cs="Arial" w:eastAsia="Arial" w:hAnsi="Arial"/>
                <w:sz w:val="14"/>
                <w:szCs w:val="14"/>
                <w:color w:val="auto"/>
              </w:rPr>
              <w:t>Other comprehensive income for the year</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467</w:t>
            </w:r>
          </w:p>
        </w:tc>
        <w:tc>
          <w:tcPr>
            <w:tcW w:w="240" w:type="dxa"/>
            <w:vAlign w:val="bottom"/>
          </w:tcPr>
          <w:p>
            <w:pPr>
              <w:spacing w:after="0"/>
              <w:rPr>
                <w:sz w:val="21"/>
                <w:szCs w:val="21"/>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467</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Total comprehensive income for the year</w:t>
            </w:r>
          </w:p>
        </w:tc>
        <w:tc>
          <w:tcPr>
            <w:tcW w:w="68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109"/>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467</w:t>
            </w:r>
          </w:p>
        </w:tc>
        <w:tc>
          <w:tcPr>
            <w:tcW w:w="24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21"/>
                <w:szCs w:val="21"/>
                <w:color w:val="auto"/>
              </w:rPr>
            </w:pPr>
          </w:p>
        </w:tc>
        <w:tc>
          <w:tcPr>
            <w:tcW w:w="98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10,829</w:t>
            </w:r>
          </w:p>
        </w:tc>
        <w:tc>
          <w:tcPr>
            <w:tcW w:w="24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11,296</w:t>
            </w:r>
          </w:p>
        </w:tc>
        <w:tc>
          <w:tcPr>
            <w:tcW w:w="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42,839</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b w:val="1"/>
                <w:bCs w:val="1"/>
                <w:color w:val="auto"/>
              </w:rPr>
              <w:t>54,135</w:t>
            </w:r>
          </w:p>
        </w:tc>
      </w:tr>
      <w:tr>
        <w:trPr>
          <w:trHeight w:val="257"/>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Balance as of December 31, 2015</w:t>
            </w:r>
          </w:p>
        </w:tc>
        <w:tc>
          <w:tcPr>
            <w:tcW w:w="680" w:type="dxa"/>
            <w:vAlign w:val="bottom"/>
          </w:tcPr>
          <w:p>
            <w:pPr>
              <w:jc w:val="right"/>
              <w:ind w:right="49"/>
              <w:spacing w:after="0"/>
              <w:rPr>
                <w:sz w:val="20"/>
                <w:szCs w:val="20"/>
                <w:color w:val="auto"/>
              </w:rPr>
            </w:pPr>
            <w:r>
              <w:rPr>
                <w:rFonts w:ascii="Arial" w:cs="Arial" w:eastAsia="Arial" w:hAnsi="Arial"/>
                <w:sz w:val="14"/>
                <w:szCs w:val="14"/>
                <w:b w:val="1"/>
                <w:bCs w:val="1"/>
                <w:color w:val="auto"/>
              </w:rPr>
              <w:t>810</w:t>
            </w:r>
          </w:p>
        </w:tc>
        <w:tc>
          <w:tcPr>
            <w:tcW w:w="104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46</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1,020,292</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(8,829)</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(12,491)</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1,846</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1,001,674</w:t>
            </w:r>
          </w:p>
        </w:tc>
        <w:tc>
          <w:tcPr>
            <w:tcW w:w="7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506,246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1,507,920</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Net proceeds from GasLog Partners’ public</w:t>
            </w:r>
          </w:p>
        </w:tc>
        <w:tc>
          <w:tcPr>
            <w:tcW w:w="68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tcBorders>
              <w:top w:val="single" w:sz="8" w:color="auto"/>
            </w:tcBorders>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tcBorders>
              <w:top w:val="single" w:sz="8" w:color="auto"/>
            </w:tcBorders>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tcBorders>
              <w:top w:val="single" w:sz="8" w:color="auto"/>
            </w:tcBorders>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offering (Note 4)</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52,299</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52,299</w:t>
            </w:r>
          </w:p>
        </w:tc>
      </w:tr>
      <w:tr>
        <w:trPr>
          <w:trHeight w:val="131"/>
        </w:trPr>
        <w:tc>
          <w:tcPr>
            <w:tcW w:w="20" w:type="dxa"/>
            <w:vAlign w:val="bottom"/>
          </w:tcPr>
          <w:p>
            <w:pPr>
              <w:spacing w:after="0"/>
              <w:rPr>
                <w:sz w:val="11"/>
                <w:szCs w:val="11"/>
                <w:color w:val="auto"/>
              </w:rPr>
            </w:pPr>
          </w:p>
        </w:tc>
        <w:tc>
          <w:tcPr>
            <w:tcW w:w="2800" w:type="dxa"/>
            <w:vAlign w:val="bottom"/>
          </w:tcPr>
          <w:p>
            <w:pPr>
              <w:spacing w:after="0" w:line="131" w:lineRule="exact"/>
              <w:rPr>
                <w:sz w:val="20"/>
                <w:szCs w:val="20"/>
                <w:color w:val="auto"/>
              </w:rPr>
            </w:pPr>
            <w:r>
              <w:rPr>
                <w:rFonts w:ascii="Arial" w:cs="Arial" w:eastAsia="Arial" w:hAnsi="Arial"/>
                <w:sz w:val="14"/>
                <w:szCs w:val="14"/>
                <w:color w:val="auto"/>
              </w:rPr>
              <w:t>Dividend paid (common and preference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shares) (Note 12)</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(53,318)</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color w:val="auto"/>
              </w:rPr>
              <w:t>(1,846)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(55,164)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(44,043)</w:t>
            </w:r>
          </w:p>
        </w:tc>
        <w:tc>
          <w:tcPr>
            <w:tcW w:w="720" w:type="dxa"/>
            <w:vAlign w:val="bottom"/>
          </w:tcPr>
          <w:p>
            <w:pPr>
              <w:jc w:val="right"/>
              <w:spacing w:after="0"/>
              <w:rPr>
                <w:sz w:val="20"/>
                <w:szCs w:val="20"/>
                <w:color w:val="auto"/>
              </w:rPr>
            </w:pPr>
            <w:r>
              <w:rPr>
                <w:rFonts w:ascii="Arial" w:cs="Arial" w:eastAsia="Arial" w:hAnsi="Arial"/>
                <w:sz w:val="14"/>
                <w:szCs w:val="14"/>
                <w:color w:val="auto"/>
              </w:rPr>
              <w:t>(99,207)</w:t>
            </w:r>
          </w:p>
        </w:tc>
      </w:tr>
      <w:tr>
        <w:trPr>
          <w:trHeight w:val="131"/>
        </w:trPr>
        <w:tc>
          <w:tcPr>
            <w:tcW w:w="20" w:type="dxa"/>
            <w:vAlign w:val="bottom"/>
          </w:tcPr>
          <w:p>
            <w:pPr>
              <w:spacing w:after="0"/>
              <w:rPr>
                <w:sz w:val="11"/>
                <w:szCs w:val="11"/>
                <w:color w:val="auto"/>
              </w:rPr>
            </w:pPr>
          </w:p>
        </w:tc>
        <w:tc>
          <w:tcPr>
            <w:tcW w:w="2800" w:type="dxa"/>
            <w:vAlign w:val="bottom"/>
            <w:shd w:val="clear" w:color="auto" w:fill="E5FFFF"/>
          </w:tcPr>
          <w:p>
            <w:pPr>
              <w:spacing w:after="0" w:line="131" w:lineRule="exact"/>
              <w:rPr>
                <w:sz w:val="20"/>
                <w:szCs w:val="20"/>
                <w:color w:val="auto"/>
              </w:rPr>
            </w:pPr>
            <w:r>
              <w:rPr>
                <w:rFonts w:ascii="Arial" w:cs="Arial" w:eastAsia="Arial" w:hAnsi="Arial"/>
                <w:sz w:val="14"/>
                <w:szCs w:val="14"/>
                <w:color w:val="auto"/>
              </w:rPr>
              <w:t>Share-based compensation, net of accrued</w:t>
            </w:r>
          </w:p>
        </w:tc>
        <w:tc>
          <w:tcPr>
            <w:tcW w:w="6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color w:val="auto"/>
              </w:rPr>
              <w:t>dividend (Note 21)</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3,597</w:t>
            </w:r>
          </w:p>
        </w:tc>
        <w:tc>
          <w:tcPr>
            <w:tcW w:w="24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9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3,597</w:t>
            </w:r>
          </w:p>
        </w:tc>
        <w:tc>
          <w:tcPr>
            <w:tcW w:w="8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3,597</w:t>
            </w: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Settlement of share-based compensation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(1,577)</w:t>
            </w:r>
          </w:p>
        </w:tc>
        <w:tc>
          <w:tcPr>
            <w:tcW w:w="960" w:type="dxa"/>
            <w:vAlign w:val="bottom"/>
            <w:gridSpan w:val="2"/>
          </w:tcPr>
          <w:p>
            <w:pPr>
              <w:jc w:val="right"/>
              <w:ind w:right="29"/>
              <w:spacing w:after="0"/>
              <w:rPr>
                <w:sz w:val="20"/>
                <w:szCs w:val="20"/>
                <w:color w:val="auto"/>
              </w:rPr>
            </w:pPr>
            <w:r>
              <w:rPr>
                <w:rFonts w:ascii="Arial" w:cs="Arial" w:eastAsia="Arial" w:hAnsi="Arial"/>
                <w:sz w:val="14"/>
                <w:szCs w:val="14"/>
                <w:color w:val="auto"/>
              </w:rPr>
              <w:t>1,630</w:t>
            </w:r>
          </w:p>
        </w:tc>
        <w:tc>
          <w:tcPr>
            <w:tcW w:w="24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43"/>
        </w:trPr>
        <w:tc>
          <w:tcPr>
            <w:tcW w:w="20" w:type="dxa"/>
            <w:vAlign w:val="bottom"/>
          </w:tcPr>
          <w:p>
            <w:pPr>
              <w:spacing w:after="0"/>
              <w:rPr>
                <w:sz w:val="21"/>
                <w:szCs w:val="21"/>
                <w:color w:val="auto"/>
              </w:rPr>
            </w:pPr>
          </w:p>
        </w:tc>
        <w:tc>
          <w:tcPr>
            <w:tcW w:w="2800" w:type="dxa"/>
            <w:vAlign w:val="bottom"/>
            <w:shd w:val="clear" w:color="auto" w:fill="E5FFFF"/>
          </w:tcPr>
          <w:p>
            <w:pPr>
              <w:spacing w:after="0"/>
              <w:rPr>
                <w:sz w:val="20"/>
                <w:szCs w:val="20"/>
                <w:color w:val="auto"/>
              </w:rPr>
            </w:pPr>
            <w:r>
              <w:rPr>
                <w:rFonts w:ascii="Arial" w:cs="Arial" w:eastAsia="Arial" w:hAnsi="Arial"/>
                <w:sz w:val="14"/>
                <w:szCs w:val="14"/>
                <w:color w:val="auto"/>
              </w:rPr>
              <w:t>(Loss)/profit for the year</w:t>
            </w:r>
          </w:p>
        </w:tc>
        <w:tc>
          <w:tcPr>
            <w:tcW w:w="68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9"/>
              <w:spacing w:after="0"/>
              <w:rPr>
                <w:sz w:val="20"/>
                <w:szCs w:val="20"/>
                <w:color w:val="auto"/>
              </w:rPr>
            </w:pPr>
            <w:r>
              <w:rPr>
                <w:rFonts w:ascii="Arial" w:cs="Arial" w:eastAsia="Arial" w:hAnsi="Arial"/>
                <w:sz w:val="14"/>
                <w:szCs w:val="14"/>
                <w:color w:val="auto"/>
              </w:rPr>
              <w:t>(21,486)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(21,486)</w:t>
            </w:r>
          </w:p>
        </w:tc>
        <w:tc>
          <w:tcPr>
            <w:tcW w:w="76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49,537</w:t>
            </w: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28,051</w:t>
            </w:r>
          </w:p>
        </w:tc>
      </w:tr>
      <w:tr>
        <w:trPr>
          <w:trHeight w:val="250"/>
        </w:trPr>
        <w:tc>
          <w:tcPr>
            <w:tcW w:w="2820" w:type="dxa"/>
            <w:vAlign w:val="bottom"/>
            <w:gridSpan w:val="2"/>
          </w:tcPr>
          <w:p>
            <w:pPr>
              <w:spacing w:after="0"/>
              <w:rPr>
                <w:sz w:val="20"/>
                <w:szCs w:val="20"/>
                <w:color w:val="auto"/>
              </w:rPr>
            </w:pPr>
            <w:r>
              <w:rPr>
                <w:rFonts w:ascii="Arial" w:cs="Arial" w:eastAsia="Arial" w:hAnsi="Arial"/>
                <w:sz w:val="14"/>
                <w:szCs w:val="14"/>
                <w:color w:val="auto"/>
              </w:rPr>
              <w:t>Other comprehensive income for the year</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9"/>
              <w:spacing w:after="0"/>
              <w:rPr>
                <w:sz w:val="20"/>
                <w:szCs w:val="20"/>
                <w:color w:val="auto"/>
              </w:rPr>
            </w:pPr>
            <w:r>
              <w:rPr>
                <w:rFonts w:ascii="Arial" w:cs="Arial" w:eastAsia="Arial" w:hAnsi="Arial"/>
                <w:sz w:val="14"/>
                <w:szCs w:val="14"/>
                <w:color w:val="auto"/>
              </w:rPr>
              <w:t>16,969</w:t>
            </w:r>
          </w:p>
        </w:tc>
        <w:tc>
          <w:tcPr>
            <w:tcW w:w="24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color w:val="auto"/>
              </w:rPr>
              <w:t>16,969</w:t>
            </w:r>
          </w:p>
        </w:tc>
        <w:tc>
          <w:tcPr>
            <w:tcW w:w="8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16,969</w:t>
            </w:r>
          </w:p>
        </w:tc>
      </w:tr>
      <w:tr>
        <w:trPr>
          <w:trHeight w:val="127"/>
        </w:trPr>
        <w:tc>
          <w:tcPr>
            <w:tcW w:w="20" w:type="dxa"/>
            <w:vAlign w:val="bottom"/>
          </w:tcPr>
          <w:p>
            <w:pPr>
              <w:spacing w:after="0"/>
              <w:rPr>
                <w:sz w:val="11"/>
                <w:szCs w:val="11"/>
                <w:color w:val="auto"/>
              </w:rPr>
            </w:pPr>
          </w:p>
        </w:tc>
        <w:tc>
          <w:tcPr>
            <w:tcW w:w="2800" w:type="dxa"/>
            <w:vAlign w:val="bottom"/>
            <w:shd w:val="clear" w:color="auto" w:fill="E5FFFF"/>
          </w:tcPr>
          <w:p>
            <w:pPr>
              <w:spacing w:after="0" w:line="127" w:lineRule="exact"/>
              <w:rPr>
                <w:sz w:val="20"/>
                <w:szCs w:val="20"/>
                <w:color w:val="auto"/>
              </w:rPr>
            </w:pPr>
            <w:r>
              <w:rPr>
                <w:rFonts w:ascii="Arial" w:cs="Arial" w:eastAsia="Arial" w:hAnsi="Arial"/>
                <w:sz w:val="14"/>
                <w:szCs w:val="14"/>
                <w:b w:val="1"/>
                <w:bCs w:val="1"/>
                <w:color w:val="auto"/>
                <w:w w:val="98"/>
              </w:rPr>
              <w:t>Total comprehensive income/(loss) for the</w:t>
            </w:r>
          </w:p>
        </w:tc>
        <w:tc>
          <w:tcPr>
            <w:tcW w:w="68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800" w:type="dxa"/>
            <w:vAlign w:val="bottom"/>
            <w:tcBorders>
              <w:top w:val="single" w:sz="8" w:color="auto"/>
            </w:tcBorders>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6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80" w:type="dxa"/>
            <w:vAlign w:val="bottom"/>
            <w:tcBorders>
              <w:top w:val="single" w:sz="8" w:color="auto"/>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940" w:type="dxa"/>
            <w:vAlign w:val="bottom"/>
            <w:tcBorders>
              <w:top w:val="single" w:sz="8" w:color="auto"/>
            </w:tcBorders>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80" w:type="dxa"/>
            <w:vAlign w:val="bottom"/>
            <w:tcBorders>
              <w:top w:val="single" w:sz="8" w:color="auto"/>
            </w:tcBorders>
            <w:shd w:val="clear" w:color="auto" w:fill="E5FFFF"/>
          </w:tcPr>
          <w:p>
            <w:pPr>
              <w:spacing w:after="0"/>
              <w:rPr>
                <w:sz w:val="11"/>
                <w:szCs w:val="11"/>
                <w:color w:val="auto"/>
              </w:rPr>
            </w:pPr>
          </w:p>
        </w:tc>
        <w:tc>
          <w:tcPr>
            <w:tcW w:w="720" w:type="dxa"/>
            <w:vAlign w:val="bottom"/>
            <w:tcBorders>
              <w:top w:val="single" w:sz="8" w:color="auto"/>
            </w:tcBorders>
            <w:shd w:val="clear" w:color="auto" w:fill="E5FF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2800" w:type="dxa"/>
            <w:vAlign w:val="bottom"/>
            <w:shd w:val="clear" w:color="auto" w:fill="E5FFFF"/>
          </w:tcPr>
          <w:p>
            <w:pPr>
              <w:ind w:left="120"/>
              <w:spacing w:after="0"/>
              <w:rPr>
                <w:sz w:val="20"/>
                <w:szCs w:val="20"/>
                <w:color w:val="auto"/>
              </w:rPr>
            </w:pPr>
            <w:r>
              <w:rPr>
                <w:rFonts w:ascii="Arial" w:cs="Arial" w:eastAsia="Arial" w:hAnsi="Arial"/>
                <w:sz w:val="14"/>
                <w:szCs w:val="14"/>
                <w:b w:val="1"/>
                <w:bCs w:val="1"/>
                <w:color w:val="auto"/>
              </w:rPr>
              <w:t>year</w:t>
            </w:r>
          </w:p>
        </w:tc>
        <w:tc>
          <w:tcPr>
            <w:tcW w:w="68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14"/>
                <w:szCs w:val="14"/>
                <w:color w:val="auto"/>
              </w:rPr>
            </w:pPr>
          </w:p>
        </w:tc>
        <w:tc>
          <w:tcPr>
            <w:tcW w:w="800" w:type="dxa"/>
            <w:vAlign w:val="bottom"/>
            <w:tcBorders>
              <w:bottom w:val="single" w:sz="8" w:color="auto"/>
            </w:tcBorders>
            <w:shd w:val="clear" w:color="auto" w:fill="E5FFFF"/>
          </w:tcPr>
          <w:p>
            <w:pPr>
              <w:jc w:val="right"/>
              <w:ind w:right="109"/>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E5FFFF"/>
          </w:tcPr>
          <w:p>
            <w:pPr>
              <w:spacing w:after="0"/>
              <w:rPr>
                <w:sz w:val="14"/>
                <w:szCs w:val="14"/>
                <w:color w:val="auto"/>
              </w:rPr>
            </w:pPr>
          </w:p>
        </w:tc>
        <w:tc>
          <w:tcPr>
            <w:tcW w:w="86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14"/>
                <w:szCs w:val="14"/>
                <w:color w:val="auto"/>
              </w:rPr>
            </w:pPr>
          </w:p>
        </w:tc>
        <w:tc>
          <w:tcPr>
            <w:tcW w:w="72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16,969</w:t>
            </w:r>
          </w:p>
        </w:tc>
        <w:tc>
          <w:tcPr>
            <w:tcW w:w="240" w:type="dxa"/>
            <w:vAlign w:val="bottom"/>
            <w:shd w:val="clear" w:color="auto" w:fill="E5FFFF"/>
          </w:tcPr>
          <w:p>
            <w:pPr>
              <w:spacing w:after="0"/>
              <w:rPr>
                <w:sz w:val="14"/>
                <w:szCs w:val="14"/>
                <w:color w:val="auto"/>
              </w:rPr>
            </w:pPr>
          </w:p>
        </w:tc>
        <w:tc>
          <w:tcPr>
            <w:tcW w:w="72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5FFFF"/>
          </w:tcPr>
          <w:p>
            <w:pPr>
              <w:spacing w:after="0"/>
              <w:rPr>
                <w:sz w:val="14"/>
                <w:szCs w:val="14"/>
                <w:color w:val="auto"/>
              </w:rPr>
            </w:pPr>
          </w:p>
        </w:tc>
        <w:tc>
          <w:tcPr>
            <w:tcW w:w="98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4"/>
                <w:szCs w:val="14"/>
                <w:b w:val="1"/>
                <w:bCs w:val="1"/>
                <w:color w:val="auto"/>
              </w:rPr>
              <w:t>(21,486)</w:t>
            </w:r>
          </w:p>
        </w:tc>
        <w:tc>
          <w:tcPr>
            <w:tcW w:w="240" w:type="dxa"/>
            <w:vAlign w:val="bottom"/>
            <w:shd w:val="clear" w:color="auto" w:fill="E5FFFF"/>
          </w:tcPr>
          <w:p>
            <w:pPr>
              <w:spacing w:after="0"/>
              <w:rPr>
                <w:sz w:val="14"/>
                <w:szCs w:val="14"/>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b w:val="1"/>
                <w:bCs w:val="1"/>
                <w:color w:val="auto"/>
              </w:rPr>
              <w:t>(4,517)</w:t>
            </w:r>
          </w:p>
        </w:tc>
        <w:tc>
          <w:tcPr>
            <w:tcW w:w="8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4"/>
                <w:szCs w:val="14"/>
                <w:b w:val="1"/>
                <w:bCs w:val="1"/>
                <w:color w:val="auto"/>
              </w:rPr>
              <w:t>49,537</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b w:val="1"/>
                <w:bCs w:val="1"/>
                <w:color w:val="auto"/>
              </w:rPr>
              <w:t>45,020</w:t>
            </w:r>
          </w:p>
        </w:tc>
      </w:tr>
      <w:tr>
        <w:trPr>
          <w:trHeight w:val="250"/>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Balance as of December 31, 2016</w:t>
            </w:r>
          </w:p>
        </w:tc>
        <w:tc>
          <w:tcPr>
            <w:tcW w:w="680" w:type="dxa"/>
            <w:vAlign w:val="bottom"/>
          </w:tcPr>
          <w:p>
            <w:pPr>
              <w:jc w:val="right"/>
              <w:ind w:right="49"/>
              <w:spacing w:after="0"/>
              <w:rPr>
                <w:sz w:val="20"/>
                <w:szCs w:val="20"/>
                <w:color w:val="auto"/>
              </w:rPr>
            </w:pPr>
            <w:r>
              <w:rPr>
                <w:rFonts w:ascii="Arial" w:cs="Arial" w:eastAsia="Arial" w:hAnsi="Arial"/>
                <w:sz w:val="14"/>
                <w:szCs w:val="14"/>
                <w:b w:val="1"/>
                <w:bCs w:val="1"/>
                <w:color w:val="auto"/>
              </w:rPr>
              <w:t>810</w:t>
            </w:r>
          </w:p>
        </w:tc>
        <w:tc>
          <w:tcPr>
            <w:tcW w:w="104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46</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966,974</w:t>
            </w: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10,160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(10,861)</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(21,486)</w:t>
            </w:r>
          </w:p>
        </w:tc>
        <w:tc>
          <w:tcPr>
            <w:tcW w:w="1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945,643</w:t>
            </w:r>
          </w:p>
        </w:tc>
        <w:tc>
          <w:tcPr>
            <w:tcW w:w="7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564,039</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1,509,682</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9" w:name="page140"/>
    <w:bookmarkEnd w:id="139"/>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000" w:type="dxa"/>
            <w:vAlign w:val="bottom"/>
          </w:tcPr>
          <w:p>
            <w:pPr>
              <w:jc w:val="right"/>
              <w:ind w:right="264"/>
              <w:spacing w:after="0"/>
              <w:rPr>
                <w:sz w:val="20"/>
                <w:szCs w:val="20"/>
                <w:color w:val="auto"/>
              </w:rPr>
            </w:pPr>
            <w:r>
              <w:rPr>
                <w:rFonts w:ascii="Arial" w:cs="Arial" w:eastAsia="Arial" w:hAnsi="Arial"/>
                <w:sz w:val="16"/>
                <w:szCs w:val="16"/>
                <w:b w:val="1"/>
                <w:bCs w:val="1"/>
                <w:color w:val="auto"/>
              </w:rPr>
              <w:t>2014</w:t>
            </w:r>
          </w:p>
        </w:tc>
        <w:tc>
          <w:tcPr>
            <w:tcW w:w="1120" w:type="dxa"/>
            <w:vAlign w:val="bottom"/>
            <w:gridSpan w:val="2"/>
          </w:tcPr>
          <w:p>
            <w:pPr>
              <w:jc w:val="right"/>
              <w:ind w:right="163"/>
              <w:spacing w:after="0"/>
              <w:rPr>
                <w:sz w:val="20"/>
                <w:szCs w:val="20"/>
                <w:color w:val="auto"/>
              </w:rPr>
            </w:pPr>
            <w:r>
              <w:rPr>
                <w:rFonts w:ascii="Arial" w:cs="Arial" w:eastAsia="Arial" w:hAnsi="Arial"/>
                <w:sz w:val="16"/>
                <w:szCs w:val="16"/>
                <w:b w:val="1"/>
                <w:bCs w:val="1"/>
                <w:color w:val="auto"/>
              </w:rPr>
              <w:t>2015</w:t>
            </w:r>
          </w:p>
        </w:tc>
        <w:tc>
          <w:tcPr>
            <w:tcW w:w="1140" w:type="dxa"/>
            <w:vAlign w:val="bottom"/>
            <w:gridSpan w:val="2"/>
          </w:tcPr>
          <w:p>
            <w:pPr>
              <w:jc w:val="right"/>
              <w:ind w:right="163"/>
              <w:spacing w:after="0"/>
              <w:rPr>
                <w:sz w:val="20"/>
                <w:szCs w:val="20"/>
                <w:color w:val="auto"/>
              </w:rPr>
            </w:pPr>
            <w:r>
              <w:rPr>
                <w:rFonts w:ascii="Arial" w:cs="Arial" w:eastAsia="Arial" w:hAnsi="Arial"/>
                <w:sz w:val="16"/>
                <w:szCs w:val="16"/>
                <w:b w:val="1"/>
                <w:bCs w:val="1"/>
                <w:color w:val="auto"/>
              </w:rPr>
              <w:t>2016</w:t>
            </w:r>
          </w:p>
        </w:tc>
      </w:tr>
      <w:tr>
        <w:trPr>
          <w:trHeight w:val="223"/>
        </w:trPr>
        <w:tc>
          <w:tcPr>
            <w:tcW w:w="20" w:type="dxa"/>
            <w:vAlign w:val="bottom"/>
          </w:tcPr>
          <w:p>
            <w:pPr>
              <w:spacing w:after="0"/>
              <w:rPr>
                <w:sz w:val="19"/>
                <w:szCs w:val="19"/>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100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4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tcBorders>
              <w:top w:val="single" w:sz="8" w:color="auto"/>
            </w:tcBorders>
            <w:shd w:val="clear" w:color="auto" w:fill="E5FFFF"/>
          </w:tcPr>
          <w:p>
            <w:pPr>
              <w:spacing w:after="0"/>
              <w:rPr>
                <w:sz w:val="19"/>
                <w:szCs w:val="19"/>
                <w:color w:val="auto"/>
              </w:rPr>
            </w:pP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Profit for the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50,765</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53,668</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28,051</w:t>
            </w:r>
          </w:p>
        </w:tc>
      </w:tr>
      <w:tr>
        <w:trPr>
          <w:trHeight w:val="230"/>
        </w:trPr>
        <w:tc>
          <w:tcPr>
            <w:tcW w:w="20" w:type="dxa"/>
            <w:vAlign w:val="bottom"/>
          </w:tcPr>
          <w:p>
            <w:pPr>
              <w:spacing w:after="0"/>
              <w:rPr>
                <w:sz w:val="19"/>
                <w:szCs w:val="19"/>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Adjustments for:</w:t>
            </w:r>
          </w:p>
        </w:tc>
        <w:tc>
          <w:tcPr>
            <w:tcW w:w="10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Depreciation</w:t>
            </w:r>
          </w:p>
        </w:tc>
        <w:tc>
          <w:tcPr>
            <w:tcW w:w="1000" w:type="dxa"/>
            <w:vAlign w:val="bottom"/>
          </w:tcPr>
          <w:p>
            <w:pPr>
              <w:jc w:val="right"/>
              <w:spacing w:after="0"/>
              <w:rPr>
                <w:sz w:val="20"/>
                <w:szCs w:val="20"/>
                <w:color w:val="auto"/>
              </w:rPr>
            </w:pPr>
            <w:r>
              <w:rPr>
                <w:rFonts w:ascii="Arial" w:cs="Arial" w:eastAsia="Arial" w:hAnsi="Arial"/>
                <w:sz w:val="19"/>
                <w:szCs w:val="19"/>
                <w:color w:val="auto"/>
              </w:rPr>
              <w:t>70,695</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106,641</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122,957</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Share of profit of associate</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(1,497)</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(1,216)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(1,422)</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Financial income</w:t>
            </w:r>
          </w:p>
        </w:tc>
        <w:tc>
          <w:tcPr>
            <w:tcW w:w="1000" w:type="dxa"/>
            <w:vAlign w:val="bottom"/>
          </w:tcPr>
          <w:p>
            <w:pPr>
              <w:jc w:val="right"/>
              <w:spacing w:after="0"/>
              <w:rPr>
                <w:sz w:val="20"/>
                <w:szCs w:val="20"/>
                <w:color w:val="auto"/>
              </w:rPr>
            </w:pPr>
            <w:r>
              <w:rPr>
                <w:rFonts w:ascii="Arial" w:cs="Arial" w:eastAsia="Arial" w:hAnsi="Arial"/>
                <w:sz w:val="19"/>
                <w:szCs w:val="19"/>
                <w:color w:val="auto"/>
              </w:rPr>
              <w:t>(274)</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(427)</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(720)</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Financial costs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71,579</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91,956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137,316</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Unrealized foreign exchange losses on cash and cash equivalents and short-term investments</w:t>
            </w:r>
          </w:p>
        </w:tc>
        <w:tc>
          <w:tcPr>
            <w:tcW w:w="1000" w:type="dxa"/>
            <w:vAlign w:val="bottom"/>
          </w:tcPr>
          <w:p>
            <w:pPr>
              <w:jc w:val="right"/>
              <w:spacing w:after="0"/>
              <w:rPr>
                <w:sz w:val="20"/>
                <w:szCs w:val="20"/>
                <w:color w:val="auto"/>
              </w:rPr>
            </w:pPr>
            <w:r>
              <w:rPr>
                <w:rFonts w:ascii="Arial" w:cs="Arial" w:eastAsia="Arial" w:hAnsi="Arial"/>
                <w:sz w:val="19"/>
                <w:szCs w:val="19"/>
                <w:color w:val="auto"/>
              </w:rPr>
              <w:t>218</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518</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1,020</w:t>
            </w:r>
          </w:p>
        </w:tc>
      </w:tr>
      <w:tr>
        <w:trPr>
          <w:trHeight w:val="216"/>
        </w:trPr>
        <w:tc>
          <w:tcPr>
            <w:tcW w:w="20" w:type="dxa"/>
            <w:vAlign w:val="bottom"/>
          </w:tcPr>
          <w:p>
            <w:pPr>
              <w:spacing w:after="0"/>
              <w:rPr>
                <w:sz w:val="18"/>
                <w:szCs w:val="18"/>
                <w:color w:val="auto"/>
              </w:rPr>
            </w:pPr>
          </w:p>
        </w:tc>
        <w:tc>
          <w:tcPr>
            <w:tcW w:w="81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Unrealized loss/(gain) on interest rate swaps held for trading including ineffective portion of cash</w:t>
            </w:r>
          </w:p>
        </w:tc>
        <w:tc>
          <w:tcPr>
            <w:tcW w:w="10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ind w:left="160"/>
              <w:spacing w:after="0"/>
              <w:rPr>
                <w:sz w:val="20"/>
                <w:szCs w:val="20"/>
                <w:color w:val="auto"/>
              </w:rPr>
            </w:pPr>
            <w:r>
              <w:rPr>
                <w:rFonts w:ascii="Arial" w:cs="Arial" w:eastAsia="Arial" w:hAnsi="Arial"/>
                <w:sz w:val="19"/>
                <w:szCs w:val="19"/>
                <w:color w:val="auto"/>
              </w:rPr>
              <w:t>flow hedges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7,836</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138</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(18,530)</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Recycled loss of cash flow hedges reclassified to profit or loss</w:t>
            </w:r>
          </w:p>
        </w:tc>
        <w:tc>
          <w:tcPr>
            <w:tcW w:w="1000" w:type="dxa"/>
            <w:vAlign w:val="bottom"/>
          </w:tcPr>
          <w:p>
            <w:pPr>
              <w:jc w:val="right"/>
              <w:spacing w:after="0"/>
              <w:rPr>
                <w:sz w:val="20"/>
                <w:szCs w:val="20"/>
                <w:color w:val="auto"/>
              </w:rPr>
            </w:pPr>
            <w:r>
              <w:rPr>
                <w:rFonts w:ascii="Arial" w:cs="Arial" w:eastAsia="Arial" w:hAnsi="Arial"/>
                <w:sz w:val="19"/>
                <w:szCs w:val="19"/>
                <w:color w:val="auto"/>
              </w:rPr>
              <w:t>6,641</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1,290</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23,514</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Non-cash defined benefit obligations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(202)</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w:t>
            </w:r>
          </w:p>
        </w:tc>
      </w:tr>
      <w:tr>
        <w:trPr>
          <w:trHeight w:val="250"/>
        </w:trPr>
        <w:tc>
          <w:tcPr>
            <w:tcW w:w="8160" w:type="dxa"/>
            <w:vAlign w:val="bottom"/>
            <w:gridSpan w:val="2"/>
          </w:tcPr>
          <w:p>
            <w:pPr>
              <w:spacing w:after="0"/>
              <w:rPr>
                <w:sz w:val="20"/>
                <w:szCs w:val="20"/>
                <w:color w:val="auto"/>
              </w:rPr>
            </w:pPr>
            <w:r>
              <w:rPr>
                <w:rFonts w:ascii="Arial" w:cs="Arial" w:eastAsia="Arial" w:hAnsi="Arial"/>
                <w:sz w:val="19"/>
                <w:szCs w:val="19"/>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1,856</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2,872</w:t>
            </w:r>
          </w:p>
        </w:tc>
        <w:tc>
          <w:tcPr>
            <w:tcW w:w="2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3,869</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207,617</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255,466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296,030</w:t>
            </w:r>
          </w:p>
        </w:tc>
      </w:tr>
      <w:tr>
        <w:trPr>
          <w:trHeight w:val="230"/>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9"/>
                <w:szCs w:val="19"/>
                <w:b w:val="1"/>
                <w:bCs w:val="1"/>
                <w:color w:val="auto"/>
              </w:rPr>
              <w:t>Movements in operating assets and 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(Increase)/decrease in trade and other receivables including related parties, net</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(7,257)</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(2,054)</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4,872</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(Increase)/decrease in prepayments and other assets</w:t>
            </w:r>
          </w:p>
        </w:tc>
        <w:tc>
          <w:tcPr>
            <w:tcW w:w="1000" w:type="dxa"/>
            <w:vAlign w:val="bottom"/>
          </w:tcPr>
          <w:p>
            <w:pPr>
              <w:jc w:val="right"/>
              <w:spacing w:after="0"/>
              <w:rPr>
                <w:sz w:val="20"/>
                <w:szCs w:val="20"/>
                <w:color w:val="auto"/>
              </w:rPr>
            </w:pPr>
            <w:r>
              <w:rPr>
                <w:rFonts w:ascii="Arial" w:cs="Arial" w:eastAsia="Arial" w:hAnsi="Arial"/>
                <w:sz w:val="19"/>
                <w:szCs w:val="19"/>
                <w:color w:val="auto"/>
              </w:rPr>
              <w:t>(2,931)</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1,924</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(1,807)</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Decrease/(increase) in inventories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983</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(1,543)</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(1,964)</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(Increase)/decrease in other non-current assets</w:t>
            </w:r>
          </w:p>
        </w:tc>
        <w:tc>
          <w:tcPr>
            <w:tcW w:w="1000" w:type="dxa"/>
            <w:vAlign w:val="bottom"/>
          </w:tcPr>
          <w:p>
            <w:pPr>
              <w:jc w:val="right"/>
              <w:spacing w:after="0"/>
              <w:rPr>
                <w:sz w:val="20"/>
                <w:szCs w:val="20"/>
                <w:color w:val="auto"/>
              </w:rPr>
            </w:pPr>
            <w:r>
              <w:rPr>
                <w:rFonts w:ascii="Arial" w:cs="Arial" w:eastAsia="Arial" w:hAnsi="Arial"/>
                <w:sz w:val="19"/>
                <w:szCs w:val="19"/>
                <w:color w:val="auto"/>
              </w:rPr>
              <w:t>(3,127)</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(23,172)</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27,133</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Increase/(decrease) in other non-current liabilities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336</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220</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(419)</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Increase in restricted cash</w:t>
            </w: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(42)</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Increase in accounts payable and other current liabilities</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16,678</w:t>
            </w:r>
          </w:p>
        </w:tc>
        <w:tc>
          <w:tcPr>
            <w:tcW w:w="28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9,654</w:t>
            </w: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11,517</w:t>
            </w:r>
          </w:p>
        </w:tc>
      </w:tr>
      <w:tr>
        <w:trPr>
          <w:trHeight w:val="250"/>
        </w:trPr>
        <w:tc>
          <w:tcPr>
            <w:tcW w:w="8160" w:type="dxa"/>
            <w:vAlign w:val="bottom"/>
            <w:gridSpan w:val="2"/>
          </w:tcPr>
          <w:p>
            <w:pPr>
              <w:spacing w:after="0"/>
              <w:rPr>
                <w:sz w:val="20"/>
                <w:szCs w:val="20"/>
                <w:color w:val="auto"/>
              </w:rPr>
            </w:pPr>
            <w:r>
              <w:rPr>
                <w:rFonts w:ascii="Arial" w:cs="Arial" w:eastAsia="Arial" w:hAnsi="Arial"/>
                <w:sz w:val="19"/>
                <w:szCs w:val="19"/>
                <w:color w:val="auto"/>
              </w:rPr>
              <w:t>Cash provided by operations</w:t>
            </w:r>
          </w:p>
        </w:tc>
        <w:tc>
          <w:tcPr>
            <w:tcW w:w="1000" w:type="dxa"/>
            <w:vAlign w:val="bottom"/>
          </w:tcPr>
          <w:p>
            <w:pPr>
              <w:jc w:val="right"/>
              <w:spacing w:after="0"/>
              <w:rPr>
                <w:sz w:val="20"/>
                <w:szCs w:val="20"/>
                <w:color w:val="auto"/>
              </w:rPr>
            </w:pPr>
            <w:r>
              <w:rPr>
                <w:rFonts w:ascii="Arial" w:cs="Arial" w:eastAsia="Arial" w:hAnsi="Arial"/>
                <w:sz w:val="19"/>
                <w:szCs w:val="19"/>
                <w:color w:val="auto"/>
              </w:rPr>
              <w:t>212,299</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240,495</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335,320</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Interest paid</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(64,011)</w:t>
            </w:r>
          </w:p>
        </w:tc>
        <w:tc>
          <w:tcPr>
            <w:tcW w:w="28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(78,916)</w:t>
            </w: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(78,788)</w:t>
            </w:r>
          </w:p>
        </w:tc>
      </w:tr>
      <w:tr>
        <w:trPr>
          <w:trHeight w:val="257"/>
        </w:trPr>
        <w:tc>
          <w:tcPr>
            <w:tcW w:w="8160" w:type="dxa"/>
            <w:vAlign w:val="bottom"/>
            <w:gridSpan w:val="2"/>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148,288</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161,579</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256,532</w:t>
            </w:r>
          </w:p>
        </w:tc>
      </w:tr>
      <w:tr>
        <w:trPr>
          <w:trHeight w:val="230"/>
        </w:trPr>
        <w:tc>
          <w:tcPr>
            <w:tcW w:w="20" w:type="dxa"/>
            <w:vAlign w:val="bottom"/>
          </w:tcPr>
          <w:p>
            <w:pPr>
              <w:spacing w:after="0"/>
              <w:rPr>
                <w:sz w:val="19"/>
                <w:szCs w:val="19"/>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00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4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tcBorders>
              <w:top w:val="single" w:sz="8" w:color="auto"/>
            </w:tcBorders>
            <w:shd w:val="clear" w:color="auto" w:fill="E5FFFF"/>
          </w:tcPr>
          <w:p>
            <w:pPr>
              <w:spacing w:after="0"/>
              <w:rPr>
                <w:sz w:val="19"/>
                <w:szCs w:val="19"/>
                <w:color w:val="auto"/>
              </w:rPr>
            </w:pP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Payments for tangible fixed assets and vessels under construction</w:t>
            </w:r>
          </w:p>
        </w:tc>
        <w:tc>
          <w:tcPr>
            <w:tcW w:w="1000" w:type="dxa"/>
            <w:vAlign w:val="bottom"/>
          </w:tcPr>
          <w:p>
            <w:pPr>
              <w:jc w:val="right"/>
              <w:spacing w:after="0"/>
              <w:rPr>
                <w:sz w:val="20"/>
                <w:szCs w:val="20"/>
                <w:color w:val="auto"/>
              </w:rPr>
            </w:pPr>
            <w:r>
              <w:rPr>
                <w:rFonts w:ascii="Arial" w:cs="Arial" w:eastAsia="Arial" w:hAnsi="Arial"/>
                <w:sz w:val="19"/>
                <w:szCs w:val="19"/>
                <w:color w:val="auto"/>
                <w:w w:val="98"/>
              </w:rPr>
              <w:t>(1,364,283)</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(728,446)</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(761,513)</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Dividends received from associate</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970</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1,675</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1,413</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Return of contributed capital from associate</w:t>
            </w: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137</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Other investments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8160" w:type="dxa"/>
            <w:vAlign w:val="bottom"/>
            <w:gridSpan w:val="2"/>
          </w:tcPr>
          <w:p>
            <w:pPr>
              <w:spacing w:after="0"/>
              <w:rPr>
                <w:sz w:val="20"/>
                <w:szCs w:val="20"/>
                <w:color w:val="auto"/>
              </w:rPr>
            </w:pPr>
            <w:r>
              <w:rPr>
                <w:rFonts w:ascii="Arial" w:cs="Arial" w:eastAsia="Arial" w:hAnsi="Arial"/>
                <w:sz w:val="19"/>
                <w:szCs w:val="19"/>
                <w:color w:val="auto"/>
              </w:rPr>
              <w:t>Purchase of short-term investments</w:t>
            </w:r>
          </w:p>
        </w:tc>
        <w:tc>
          <w:tcPr>
            <w:tcW w:w="1000" w:type="dxa"/>
            <w:vAlign w:val="bottom"/>
          </w:tcPr>
          <w:p>
            <w:pPr>
              <w:jc w:val="right"/>
              <w:spacing w:after="0"/>
              <w:rPr>
                <w:sz w:val="20"/>
                <w:szCs w:val="20"/>
                <w:color w:val="auto"/>
              </w:rPr>
            </w:pPr>
            <w:r>
              <w:rPr>
                <w:rFonts w:ascii="Arial" w:cs="Arial" w:eastAsia="Arial" w:hAnsi="Arial"/>
                <w:sz w:val="19"/>
                <w:szCs w:val="19"/>
                <w:color w:val="auto"/>
              </w:rPr>
              <w:t>(89,823)</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(74,592)</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(19,500)</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Maturity of short-term investments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66,220</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97,007</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7,500</w:t>
            </w:r>
          </w:p>
        </w:tc>
      </w:tr>
      <w:tr>
        <w:trPr>
          <w:trHeight w:val="250"/>
        </w:trPr>
        <w:tc>
          <w:tcPr>
            <w:tcW w:w="8160" w:type="dxa"/>
            <w:vAlign w:val="bottom"/>
            <w:gridSpan w:val="2"/>
          </w:tcPr>
          <w:p>
            <w:pPr>
              <w:spacing w:after="0"/>
              <w:rPr>
                <w:sz w:val="20"/>
                <w:szCs w:val="20"/>
                <w:color w:val="auto"/>
              </w:rPr>
            </w:pPr>
            <w:r>
              <w:rPr>
                <w:rFonts w:ascii="Arial" w:cs="Arial" w:eastAsia="Arial" w:hAnsi="Arial"/>
                <w:sz w:val="19"/>
                <w:szCs w:val="19"/>
                <w:color w:val="auto"/>
              </w:rPr>
              <w:t>Financial income received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260</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359</w:t>
            </w:r>
          </w:p>
        </w:tc>
        <w:tc>
          <w:tcPr>
            <w:tcW w:w="2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721</w:t>
            </w:r>
          </w:p>
        </w:tc>
      </w:tr>
      <w:tr>
        <w:trPr>
          <w:trHeight w:val="243"/>
        </w:trPr>
        <w:tc>
          <w:tcPr>
            <w:tcW w:w="20" w:type="dxa"/>
            <w:vAlign w:val="bottom"/>
          </w:tcPr>
          <w:p>
            <w:pPr>
              <w:spacing w:after="0"/>
              <w:rPr>
                <w:sz w:val="21"/>
                <w:szCs w:val="21"/>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8"/>
              </w:rPr>
              <w:t>(1,386,656)</w:t>
            </w:r>
          </w:p>
        </w:tc>
        <w:tc>
          <w:tcPr>
            <w:tcW w:w="28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8"/>
              </w:rPr>
              <w:t>(704,052)</w:t>
            </w: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(771,242)</w:t>
            </w: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0" w:name="page141"/>
    <w:bookmarkEnd w:id="140"/>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920" w:type="dxa"/>
            <w:vAlign w:val="bottom"/>
          </w:tcPr>
          <w:p>
            <w:pPr>
              <w:jc w:val="right"/>
              <w:ind w:right="204"/>
              <w:spacing w:after="0"/>
              <w:rPr>
                <w:sz w:val="20"/>
                <w:szCs w:val="20"/>
                <w:color w:val="auto"/>
              </w:rPr>
            </w:pPr>
            <w:r>
              <w:rPr>
                <w:rFonts w:ascii="Arial" w:cs="Arial" w:eastAsia="Arial" w:hAnsi="Arial"/>
                <w:sz w:val="16"/>
                <w:szCs w:val="16"/>
                <w:b w:val="1"/>
                <w:bCs w:val="1"/>
                <w:color w:val="auto"/>
              </w:rPr>
              <w:t>2014</w:t>
            </w:r>
          </w:p>
        </w:tc>
        <w:tc>
          <w:tcPr>
            <w:tcW w:w="1140" w:type="dxa"/>
            <w:vAlign w:val="bottom"/>
            <w:gridSpan w:val="2"/>
          </w:tcPr>
          <w:p>
            <w:pPr>
              <w:jc w:val="right"/>
              <w:ind w:right="183"/>
              <w:spacing w:after="0"/>
              <w:rPr>
                <w:sz w:val="20"/>
                <w:szCs w:val="20"/>
                <w:color w:val="auto"/>
              </w:rPr>
            </w:pPr>
            <w:r>
              <w:rPr>
                <w:rFonts w:ascii="Arial" w:cs="Arial" w:eastAsia="Arial" w:hAnsi="Arial"/>
                <w:sz w:val="16"/>
                <w:szCs w:val="16"/>
                <w:b w:val="1"/>
                <w:bCs w:val="1"/>
                <w:color w:val="auto"/>
              </w:rPr>
              <w:t>2015</w:t>
            </w:r>
          </w:p>
        </w:tc>
        <w:tc>
          <w:tcPr>
            <w:tcW w:w="1280" w:type="dxa"/>
            <w:vAlign w:val="bottom"/>
            <w:gridSpan w:val="2"/>
          </w:tcPr>
          <w:p>
            <w:pPr>
              <w:jc w:val="right"/>
              <w:ind w:right="24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92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00" w:type="dxa"/>
            <w:vAlign w:val="bottom"/>
            <w:tcBorders>
              <w:top w:val="single" w:sz="8" w:color="auto"/>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Proceeds from bank loans and bonds</w:t>
            </w:r>
          </w:p>
        </w:tc>
        <w:tc>
          <w:tcPr>
            <w:tcW w:w="920" w:type="dxa"/>
            <w:vAlign w:val="bottom"/>
          </w:tcPr>
          <w:p>
            <w:pPr>
              <w:jc w:val="right"/>
              <w:spacing w:after="0"/>
              <w:rPr>
                <w:sz w:val="20"/>
                <w:szCs w:val="20"/>
                <w:color w:val="auto"/>
              </w:rPr>
            </w:pPr>
            <w:r>
              <w:rPr>
                <w:rFonts w:ascii="Arial" w:cs="Arial" w:eastAsia="Arial" w:hAnsi="Arial"/>
                <w:sz w:val="19"/>
                <w:szCs w:val="19"/>
                <w:color w:val="auto"/>
                <w:w w:val="96"/>
              </w:rPr>
              <w:t>1,480,473</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606,000</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2,274,318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Proceeds from sale and finance leaseback</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217,000</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Bank loan and bond repayments</w:t>
            </w:r>
          </w:p>
        </w:tc>
        <w:tc>
          <w:tcPr>
            <w:tcW w:w="920" w:type="dxa"/>
            <w:vAlign w:val="bottom"/>
          </w:tcPr>
          <w:p>
            <w:pPr>
              <w:jc w:val="right"/>
              <w:spacing w:after="0"/>
              <w:rPr>
                <w:sz w:val="20"/>
                <w:szCs w:val="20"/>
                <w:color w:val="auto"/>
              </w:rPr>
            </w:pPr>
            <w:r>
              <w:rPr>
                <w:rFonts w:ascii="Arial" w:cs="Arial" w:eastAsia="Arial" w:hAnsi="Arial"/>
                <w:sz w:val="19"/>
                <w:szCs w:val="19"/>
                <w:color w:val="auto"/>
              </w:rPr>
              <w:t>(656,944)</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(103,709)</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(1,983,576)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Payment of loan and bonds issuance costs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(22,501)</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(25,969)</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line="216" w:lineRule="exact"/>
              <w:rPr>
                <w:sz w:val="20"/>
                <w:szCs w:val="20"/>
                <w:color w:val="auto"/>
              </w:rPr>
            </w:pPr>
            <w:r>
              <w:rPr>
                <w:rFonts w:ascii="Arial" w:cs="Arial" w:eastAsia="Arial" w:hAnsi="Arial"/>
                <w:sz w:val="19"/>
                <w:szCs w:val="19"/>
                <w:color w:val="auto"/>
              </w:rPr>
              <w:t>Proceeds from public offerings and private placement (net of underwriting discounts and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9"/>
                <w:szCs w:val="19"/>
                <w:color w:val="auto"/>
              </w:rPr>
              <w:t>commissions)</w:t>
            </w:r>
          </w:p>
        </w:tc>
        <w:tc>
          <w:tcPr>
            <w:tcW w:w="920" w:type="dxa"/>
            <w:vAlign w:val="bottom"/>
          </w:tcPr>
          <w:p>
            <w:pPr>
              <w:jc w:val="right"/>
              <w:spacing w:after="0"/>
              <w:rPr>
                <w:sz w:val="20"/>
                <w:szCs w:val="20"/>
                <w:color w:val="auto"/>
              </w:rPr>
            </w:pPr>
            <w:r>
              <w:rPr>
                <w:rFonts w:ascii="Arial" w:cs="Arial" w:eastAsia="Arial" w:hAnsi="Arial"/>
                <w:sz w:val="19"/>
                <w:szCs w:val="19"/>
                <w:color w:val="auto"/>
              </w:rPr>
              <w:t>310,240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Proceeds from issuance of preference shares (net of underwriting discounts and commissions)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111,378</w:t>
            </w:r>
          </w:p>
        </w:tc>
        <w:tc>
          <w:tcPr>
            <w:tcW w:w="2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w w:val="98"/>
              </w:rPr>
              <w:t>Proceeds from GasLog Partners’ public offerings (net of underwriting discounts and commissions)</w:t>
            </w:r>
          </w:p>
        </w:tc>
        <w:tc>
          <w:tcPr>
            <w:tcW w:w="920" w:type="dxa"/>
            <w:vAlign w:val="bottom"/>
          </w:tcPr>
          <w:p>
            <w:pPr>
              <w:jc w:val="right"/>
              <w:spacing w:after="0"/>
              <w:rPr>
                <w:sz w:val="20"/>
                <w:szCs w:val="20"/>
                <w:color w:val="auto"/>
              </w:rPr>
            </w:pPr>
            <w:r>
              <w:rPr>
                <w:rFonts w:ascii="Arial" w:cs="Arial" w:eastAsia="Arial" w:hAnsi="Arial"/>
                <w:sz w:val="19"/>
                <w:szCs w:val="19"/>
                <w:color w:val="auto"/>
              </w:rPr>
              <w:t>323,087</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172,875</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52,731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Payment of equity raising costs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(4,679)</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(1,839)</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(442)</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Payment for cross currency swaps’ termination/modification</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(31,986)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Payment for bond repurchase at a premium</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(2,120)</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Payment for interest rate swaps’ termination</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(30,296)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Proceeds from entering into interest rate swaps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25,465</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Purchase of treasury shares</w:t>
            </w:r>
          </w:p>
        </w:tc>
        <w:tc>
          <w:tcPr>
            <w:tcW w:w="920" w:type="dxa"/>
            <w:vAlign w:val="bottom"/>
          </w:tcPr>
          <w:p>
            <w:pPr>
              <w:jc w:val="right"/>
              <w:spacing w:after="0"/>
              <w:rPr>
                <w:sz w:val="20"/>
                <w:szCs w:val="20"/>
                <w:color w:val="auto"/>
              </w:rPr>
            </w:pPr>
            <w:r>
              <w:rPr>
                <w:rFonts w:ascii="Arial" w:cs="Arial" w:eastAsia="Arial" w:hAnsi="Arial"/>
                <w:sz w:val="19"/>
                <w:szCs w:val="19"/>
                <w:color w:val="auto"/>
              </w:rPr>
              <w:t>(13,221)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Proceeds from stock options exercise</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273</w:t>
            </w:r>
          </w:p>
        </w:tc>
        <w:tc>
          <w:tcPr>
            <w:tcW w:w="28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Dividends paid</w:t>
            </w:r>
          </w:p>
        </w:tc>
        <w:tc>
          <w:tcPr>
            <w:tcW w:w="920" w:type="dxa"/>
            <w:vAlign w:val="bottom"/>
          </w:tcPr>
          <w:p>
            <w:pPr>
              <w:jc w:val="right"/>
              <w:spacing w:after="0"/>
              <w:rPr>
                <w:sz w:val="20"/>
                <w:szCs w:val="20"/>
                <w:color w:val="auto"/>
              </w:rPr>
            </w:pPr>
            <w:r>
              <w:rPr>
                <w:rFonts w:ascii="Arial" w:cs="Arial" w:eastAsia="Arial" w:hAnsi="Arial"/>
                <w:sz w:val="19"/>
                <w:szCs w:val="19"/>
                <w:color w:val="auto"/>
              </w:rPr>
              <w:t>(47,140)</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(84,527)</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(99,207)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(Increase)/decrease in restricted cash</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(22,826)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(39,892)</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62,718</w:t>
            </w:r>
          </w:p>
        </w:tc>
        <w:tc>
          <w:tcPr>
            <w:tcW w:w="0" w:type="dxa"/>
            <w:vAlign w:val="bottom"/>
          </w:tcPr>
          <w:p>
            <w:pPr>
              <w:spacing w:after="0"/>
              <w:rPr>
                <w:sz w:val="1"/>
                <w:szCs w:val="1"/>
                <w:color w:val="auto"/>
              </w:rPr>
            </w:pPr>
          </w:p>
        </w:tc>
      </w:tr>
      <w:tr>
        <w:trPr>
          <w:trHeight w:val="250"/>
        </w:trPr>
        <w:tc>
          <w:tcPr>
            <w:tcW w:w="8080" w:type="dxa"/>
            <w:vAlign w:val="bottom"/>
            <w:gridSpan w:val="2"/>
          </w:tcPr>
          <w:p>
            <w:pPr>
              <w:spacing w:after="0"/>
              <w:rPr>
                <w:sz w:val="20"/>
                <w:szCs w:val="20"/>
                <w:color w:val="auto"/>
              </w:rPr>
            </w:pPr>
            <w:r>
              <w:rPr>
                <w:rFonts w:ascii="Arial" w:cs="Arial" w:eastAsia="Arial" w:hAnsi="Arial"/>
                <w:sz w:val="19"/>
                <w:szCs w:val="19"/>
                <w:color w:val="auto"/>
              </w:rPr>
              <w:t>Payments for vessel held under finance lease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6"/>
              </w:rPr>
              <w:t>1,346,762</w:t>
            </w: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634,317</w:t>
            </w:r>
          </w:p>
        </w:tc>
        <w:tc>
          <w:tcPr>
            <w:tcW w:w="280" w:type="dxa"/>
            <w:vAlign w:val="bottom"/>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439,766</w:t>
            </w:r>
          </w:p>
        </w:tc>
        <w:tc>
          <w:tcPr>
            <w:tcW w:w="0" w:type="dxa"/>
            <w:vAlign w:val="bottom"/>
          </w:tcPr>
          <w:p>
            <w:pPr>
              <w:spacing w:after="0"/>
              <w:rPr>
                <w:sz w:val="1"/>
                <w:szCs w:val="1"/>
                <w:color w:val="auto"/>
              </w:rPr>
            </w:pPr>
          </w:p>
        </w:tc>
      </w:tr>
      <w:tr>
        <w:trPr>
          <w:trHeight w:val="250"/>
        </w:trPr>
        <w:tc>
          <w:tcPr>
            <w:tcW w:w="8080" w:type="dxa"/>
            <w:vAlign w:val="bottom"/>
            <w:gridSpan w:val="2"/>
          </w:tcPr>
          <w:p>
            <w:pPr>
              <w:spacing w:after="0"/>
              <w:rPr>
                <w:sz w:val="20"/>
                <w:szCs w:val="20"/>
                <w:color w:val="auto"/>
              </w:rPr>
            </w:pPr>
            <w:r>
              <w:rPr>
                <w:rFonts w:ascii="Arial" w:cs="Arial" w:eastAsia="Arial" w:hAnsi="Arial"/>
                <w:sz w:val="19"/>
                <w:szCs w:val="19"/>
                <w:color w:val="auto"/>
              </w:rPr>
              <w:t>Effects of exchange rate changes on cash and cash equivalents</w:t>
            </w:r>
          </w:p>
        </w:tc>
        <w:tc>
          <w:tcPr>
            <w:tcW w:w="920" w:type="dxa"/>
            <w:vAlign w:val="bottom"/>
          </w:tcPr>
          <w:p>
            <w:pPr>
              <w:jc w:val="right"/>
              <w:spacing w:after="0"/>
              <w:rPr>
                <w:sz w:val="20"/>
                <w:szCs w:val="20"/>
                <w:color w:val="auto"/>
              </w:rPr>
            </w:pPr>
            <w:r>
              <w:rPr>
                <w:rFonts w:ascii="Arial" w:cs="Arial" w:eastAsia="Arial" w:hAnsi="Arial"/>
                <w:sz w:val="19"/>
                <w:szCs w:val="19"/>
                <w:color w:val="auto"/>
              </w:rPr>
              <w:t>(218)</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(830)</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Increase/(decrease) in cash and cash equivalents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108,176</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91,014</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(75,964)</w:t>
            </w:r>
          </w:p>
        </w:tc>
        <w:tc>
          <w:tcPr>
            <w:tcW w:w="0" w:type="dxa"/>
            <w:vAlign w:val="bottom"/>
          </w:tcPr>
          <w:p>
            <w:pPr>
              <w:spacing w:after="0"/>
              <w:rPr>
                <w:sz w:val="1"/>
                <w:szCs w:val="1"/>
                <w:color w:val="auto"/>
              </w:rPr>
            </w:pPr>
          </w:p>
        </w:tc>
      </w:tr>
      <w:tr>
        <w:trPr>
          <w:trHeight w:val="250"/>
        </w:trPr>
        <w:tc>
          <w:tcPr>
            <w:tcW w:w="8080" w:type="dxa"/>
            <w:vAlign w:val="bottom"/>
            <w:gridSpan w:val="2"/>
          </w:tcPr>
          <w:p>
            <w:pPr>
              <w:spacing w:after="0"/>
              <w:rPr>
                <w:sz w:val="20"/>
                <w:szCs w:val="20"/>
                <w:color w:val="auto"/>
              </w:rPr>
            </w:pPr>
            <w:r>
              <w:rPr>
                <w:rFonts w:ascii="Arial" w:cs="Arial" w:eastAsia="Arial" w:hAnsi="Arial"/>
                <w:sz w:val="19"/>
                <w:szCs w:val="19"/>
                <w:color w:val="auto"/>
              </w:rPr>
              <w:t>Cash and cash equivalents, beginning of the year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103,798</w:t>
            </w:r>
          </w:p>
        </w:tc>
        <w:tc>
          <w:tcPr>
            <w:tcW w:w="2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211,974</w:t>
            </w: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302,988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 and cash equivalents, end of the year</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211,974</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302,988</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227,024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Non-cash investing and financing activities (Note 26)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Capital expenditures included in liabilities at the end of the year</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7,999</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12,576</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2,038</w:t>
            </w:r>
          </w:p>
        </w:tc>
        <w:tc>
          <w:tcPr>
            <w:tcW w:w="0" w:type="dxa"/>
            <w:vAlign w:val="bottom"/>
          </w:tcPr>
          <w:p>
            <w:pPr>
              <w:spacing w:after="0"/>
              <w:rPr>
                <w:sz w:val="1"/>
                <w:szCs w:val="1"/>
                <w:color w:val="auto"/>
              </w:rPr>
            </w:pPr>
          </w:p>
        </w:tc>
      </w:tr>
      <w:tr>
        <w:trPr>
          <w:trHeight w:val="243"/>
        </w:trPr>
        <w:tc>
          <w:tcPr>
            <w:tcW w:w="8080" w:type="dxa"/>
            <w:vAlign w:val="bottom"/>
            <w:gridSpan w:val="2"/>
          </w:tcPr>
          <w:p>
            <w:pPr>
              <w:spacing w:after="0"/>
              <w:rPr>
                <w:sz w:val="20"/>
                <w:szCs w:val="20"/>
                <w:color w:val="auto"/>
              </w:rPr>
            </w:pPr>
            <w:r>
              <w:rPr>
                <w:rFonts w:ascii="Arial" w:cs="Arial" w:eastAsia="Arial" w:hAnsi="Arial"/>
                <w:sz w:val="19"/>
                <w:szCs w:val="19"/>
                <w:color w:val="auto"/>
              </w:rPr>
              <w:t>Equity raising costs included in liabilities at the end of the year</w:t>
            </w:r>
          </w:p>
        </w:tc>
        <w:tc>
          <w:tcPr>
            <w:tcW w:w="920" w:type="dxa"/>
            <w:vAlign w:val="bottom"/>
          </w:tcPr>
          <w:p>
            <w:pPr>
              <w:jc w:val="right"/>
              <w:spacing w:after="0"/>
              <w:rPr>
                <w:sz w:val="20"/>
                <w:szCs w:val="20"/>
                <w:color w:val="auto"/>
              </w:rPr>
            </w:pPr>
            <w:r>
              <w:rPr>
                <w:rFonts w:ascii="Arial" w:cs="Arial" w:eastAsia="Arial" w:hAnsi="Arial"/>
                <w:sz w:val="19"/>
                <w:szCs w:val="19"/>
                <w:color w:val="auto"/>
              </w:rPr>
              <w:t>174</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59</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9"/>
                <w:szCs w:val="19"/>
                <w:color w:val="auto"/>
              </w:rPr>
              <w:t>Loan issuance costs included in liabilities at the end of the year</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903</w:t>
            </w: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247</w:t>
            </w:r>
          </w:p>
        </w:tc>
        <w:tc>
          <w:tcPr>
            <w:tcW w:w="2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7"/>
        </w:trPr>
        <w:tc>
          <w:tcPr>
            <w:tcW w:w="8080" w:type="dxa"/>
            <w:vAlign w:val="bottom"/>
            <w:gridSpan w:val="2"/>
          </w:tcPr>
          <w:p>
            <w:pPr>
              <w:spacing w:after="0"/>
              <w:rPr>
                <w:sz w:val="20"/>
                <w:szCs w:val="20"/>
                <w:color w:val="auto"/>
              </w:rPr>
            </w:pPr>
            <w:r>
              <w:rPr>
                <w:rFonts w:ascii="Arial" w:cs="Arial" w:eastAsia="Arial" w:hAnsi="Arial"/>
                <w:sz w:val="19"/>
                <w:szCs w:val="19"/>
                <w:color w:val="auto"/>
              </w:rPr>
              <w:t>Receivables from stock options exercise included in assets at the end of the year</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1" w:name="page142"/>
    <w:bookmarkEnd w:id="141"/>
    <w:p>
      <w:pPr>
        <w:spacing w:after="0"/>
        <w:rPr>
          <w:sz w:val="20"/>
          <w:szCs w:val="20"/>
          <w:color w:val="auto"/>
        </w:rPr>
      </w:pPr>
      <w:r>
        <w:rPr>
          <w:rFonts w:ascii="Arial" w:cs="Arial" w:eastAsia="Arial" w:hAnsi="Arial"/>
          <w:sz w:val="23"/>
          <w:szCs w:val="23"/>
          <w:b w:val="1"/>
          <w:bCs w:val="1"/>
          <w:color w:val="auto"/>
        </w:rPr>
        <w:t>GasLog Ltd. and its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2014, 2015 and 2016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 except share and per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Operations</w:t>
      </w:r>
    </w:p>
    <w:p>
      <w:pPr>
        <w:spacing w:after="0" w:line="125" w:lineRule="exact"/>
        <w:rPr>
          <w:sz w:val="20"/>
          <w:szCs w:val="20"/>
          <w:color w:val="auto"/>
        </w:rPr>
      </w:pPr>
    </w:p>
    <w:p>
      <w:pPr>
        <w:ind w:right="120" w:firstLine="357"/>
        <w:spacing w:after="0" w:line="289"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December 31, 2016, entities controlled by members of the Livanos family, including GasLog’s chairman, are deemed to beneficially own approximately 40.2% of GasLog’s issued and outstanding common shares. As a result of his ownership of GasLog’s common shares, Mr. Livanos can effectively control the outcome of most matters on which GasLog’s shareholders are entitled to vote.</w:t>
      </w:r>
    </w:p>
    <w:p>
      <w:pPr>
        <w:spacing w:after="0" w:line="56"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in exchange for (i) 162,358 common units and 9,822,358 subordinated units issued to GasLog representing a 49.8% ownership interest and all of the incentive distribution rights (“IDRs”)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 (iii) $65,695 of cash consideration paid directly to GasLog from the GasLog Partners’ IPO proceeds.</w:t>
      </w:r>
    </w:p>
    <w:p>
      <w:pPr>
        <w:spacing w:after="0" w:line="56"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 xml:space="preserve">On September 29, 2014, the Partnership acquired from GasLog 100% of the ownership interests in GAS-sixteen Ltd. and GAS-seventeen Ltd., the entities that own the 145,000 cbm LNG carriers, the </w:t>
      </w:r>
      <w:r>
        <w:rPr>
          <w:rFonts w:ascii="Arial" w:cs="Arial" w:eastAsia="Arial" w:hAnsi="Arial"/>
          <w:sz w:val="19"/>
          <w:szCs w:val="19"/>
          <w:i w:val="1"/>
          <w:iCs w:val="1"/>
          <w:color w:val="auto"/>
        </w:rPr>
        <w:t>Methane Rita Andrea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 Jane Elizabeth</w:t>
      </w:r>
      <w:r>
        <w:rPr>
          <w:rFonts w:ascii="Arial" w:cs="Arial" w:eastAsia="Arial" w:hAnsi="Arial"/>
          <w:sz w:val="19"/>
          <w:szCs w:val="19"/>
          <w:color w:val="auto"/>
        </w:rPr>
        <w:t xml:space="preserve">, respectively, for an aggregate purchase price of $328,000. On July 1, 2015, the Partnership acquired from GasLog 100% of the ownership interests in GAS-nineteen Ltd., GAS-twenty Ltd. and GAS-twenty one Ltd., the entities that own three 145,000 cbm LNG carriers, the </w:t>
      </w:r>
      <w:r>
        <w:rPr>
          <w:rFonts w:ascii="Arial" w:cs="Arial" w:eastAsia="Arial" w:hAnsi="Arial"/>
          <w:sz w:val="19"/>
          <w:szCs w:val="19"/>
          <w:i w:val="1"/>
          <w:iCs w:val="1"/>
          <w:color w:val="auto"/>
        </w:rPr>
        <w:t>Methane Alison Victoria</w:t>
      </w:r>
      <w:r>
        <w:rPr>
          <w:rFonts w:ascii="Arial" w:cs="Arial" w:eastAsia="Arial" w:hAnsi="Arial"/>
          <w:sz w:val="19"/>
          <w:szCs w:val="19"/>
          <w:color w:val="auto"/>
        </w:rPr>
        <w:t xml:space="preserve">, the </w:t>
      </w:r>
      <w:r>
        <w:rPr>
          <w:rFonts w:ascii="Arial" w:cs="Arial" w:eastAsia="Arial" w:hAnsi="Arial"/>
          <w:sz w:val="19"/>
          <w:szCs w:val="19"/>
          <w:i w:val="1"/>
          <w:iCs w:val="1"/>
          <w:color w:val="auto"/>
        </w:rPr>
        <w:t>Methane Shirley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Elisabeth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Methane Heather Sally</w:t>
      </w:r>
      <w:r>
        <w:rPr>
          <w:rFonts w:ascii="Arial" w:cs="Arial" w:eastAsia="Arial" w:hAnsi="Arial"/>
          <w:sz w:val="19"/>
          <w:szCs w:val="19"/>
          <w:color w:val="auto"/>
        </w:rPr>
        <w:t>, respectively, for an aggregate purchase price of $483,000. On November 1, 2016, the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acquired from GasLog 100% of the ownership interest in GAS-seven Ltd., the entity that owns a 155,000 cbm LNG carrier, the </w:t>
      </w:r>
      <w:r>
        <w:rPr>
          <w:rFonts w:ascii="Arial" w:cs="Arial" w:eastAsia="Arial" w:hAnsi="Arial"/>
          <w:sz w:val="19"/>
          <w:szCs w:val="19"/>
          <w:i w:val="1"/>
          <w:iCs w:val="1"/>
          <w:color w:val="auto"/>
        </w:rPr>
        <w:t>GasLog Seattle</w:t>
      </w:r>
      <w:r>
        <w:rPr>
          <w:rFonts w:ascii="Arial" w:cs="Arial" w:eastAsia="Arial" w:hAnsi="Arial"/>
          <w:sz w:val="19"/>
          <w:szCs w:val="19"/>
          <w:color w:val="auto"/>
        </w:rPr>
        <w:t>, for a purchase price of $189,000.</w:t>
      </w:r>
    </w:p>
    <w:p>
      <w:pPr>
        <w:spacing w:after="0" w:line="77"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As of December 31, 2016, GasLog holds a 30.45%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2" w:name="page143"/>
    <w:bookmarkEnd w:id="142"/>
    <w:p>
      <w:pPr>
        <w:spacing w:after="0" w:line="23"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The accompanying consolidated financial statements include the financial statements of GasLog and its subsidiaries. Unless indicated otherwise, the subsidiaries listed below were 100% held (either directly or indirectly) by GasLog. As of December 31, 2016 the Group’s structure is as follows:</w:t>
      </w: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Place of</w:t>
            </w:r>
          </w:p>
        </w:tc>
        <w:tc>
          <w:tcPr>
            <w:tcW w:w="280" w:type="dxa"/>
            <w:vAlign w:val="bottom"/>
          </w:tcPr>
          <w:p>
            <w:pPr>
              <w:spacing w:after="0"/>
              <w:rPr>
                <w:sz w:val="13"/>
                <w:szCs w:val="13"/>
                <w:color w:val="auto"/>
              </w:rPr>
            </w:pPr>
          </w:p>
        </w:tc>
        <w:tc>
          <w:tcPr>
            <w:tcW w:w="12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Date of</w:t>
            </w:r>
          </w:p>
        </w:tc>
        <w:tc>
          <w:tcPr>
            <w:tcW w:w="2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1"/>
              </w:rPr>
              <w:t>Cargo capacity</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1"/>
              </w:rPr>
              <w:t>Delivery</w:t>
            </w:r>
          </w:p>
        </w:tc>
      </w:tr>
      <w:tr>
        <w:trPr>
          <w:trHeight w:val="170"/>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Principal activities</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(cbm)</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Vessel</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r>
      <w:tr>
        <w:trPr>
          <w:trHeight w:val="142"/>
        </w:trPr>
        <w:tc>
          <w:tcPr>
            <w:tcW w:w="20" w:type="dxa"/>
            <w:vAlign w:val="bottom"/>
          </w:tcPr>
          <w:p>
            <w:pPr>
              <w:spacing w:after="0"/>
              <w:rPr>
                <w:sz w:val="12"/>
                <w:szCs w:val="12"/>
                <w:color w:val="auto"/>
              </w:rPr>
            </w:pPr>
          </w:p>
        </w:tc>
        <w:tc>
          <w:tcPr>
            <w:tcW w:w="254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280" w:type="dxa"/>
            <w:vAlign w:val="bottom"/>
            <w:shd w:val="clear" w:color="auto" w:fill="E5FFFF"/>
          </w:tcPr>
          <w:p>
            <w:pPr>
              <w:spacing w:after="0"/>
              <w:rPr>
                <w:sz w:val="12"/>
                <w:szCs w:val="12"/>
                <w:color w:val="auto"/>
              </w:rPr>
            </w:pPr>
          </w:p>
        </w:tc>
        <w:tc>
          <w:tcPr>
            <w:tcW w:w="1440" w:type="dxa"/>
            <w:vAlign w:val="bottom"/>
            <w:tcBorders>
              <w:top w:val="single" w:sz="8" w:color="auto"/>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20" w:type="dxa"/>
            <w:vAlign w:val="bottom"/>
            <w:tcBorders>
              <w:top w:val="single" w:sz="8" w:color="auto"/>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2220" w:type="dxa"/>
            <w:vAlign w:val="bottom"/>
            <w:tcBorders>
              <w:top w:val="single" w:sz="8" w:color="auto"/>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100" w:type="dxa"/>
            <w:vAlign w:val="bottom"/>
            <w:tcBorders>
              <w:top w:val="single" w:sz="8" w:color="auto"/>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00" w:type="dxa"/>
            <w:vAlign w:val="bottom"/>
            <w:tcBorders>
              <w:top w:val="single" w:sz="8" w:color="auto"/>
            </w:tcBorders>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620" w:type="dxa"/>
            <w:vAlign w:val="bottom"/>
            <w:tcBorders>
              <w:top w:val="single" w:sz="8" w:color="auto"/>
            </w:tcBorders>
            <w:shd w:val="clear" w:color="auto" w:fill="E5FF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2"/>
              </w:rPr>
              <w:t>GasLog Investments Ltd.</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BVI</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July 2003</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GasLog Carriers Ltd.</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February 2008</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GasLog Shipping Company Ltd.</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January 2006</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GasLog Partners GP LLC</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Marshall Islands</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January 2014</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GasLog Cyprus Investments Ltd.</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Cyprus</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December 2016</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GasLog Services UK Ltd.</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0"/>
              </w:rPr>
              <w:t>England and Wales</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May 2014</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Service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2"/>
              </w:rPr>
              <w:t>GasLog Services US Inc.</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Delaware</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May 2014</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Service company</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GasLog Asia Pte Ltd.</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0"/>
              </w:rPr>
              <w:t>Singapore</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May 2015</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Service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GasLog LNG Services Ltd.</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August 2004</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8"/>
              </w:rPr>
              <w:t>Vessel management services</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GasLog Monaco S.A.M.</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Monaco</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February 2010</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Service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GAS-one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February 2008</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8"/>
              </w:rPr>
              <w:t>Savannah</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May 2010</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GAS-two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February 2008</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3"/>
              </w:rPr>
              <w:t>Singapore</w:t>
            </w:r>
          </w:p>
        </w:tc>
        <w:tc>
          <w:tcPr>
            <w:tcW w:w="60" w:type="dxa"/>
            <w:vAlign w:val="bottom"/>
            <w:shd w:val="clear" w:color="auto" w:fill="E5FFFF"/>
          </w:tcPr>
          <w:p>
            <w:pPr>
              <w:spacing w:after="0"/>
              <w:rPr>
                <w:sz w:val="14"/>
                <w:szCs w:val="14"/>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July 2010</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6"/>
              </w:rPr>
              <w:t>GAS-six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February 2011</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4"/>
              </w:rPr>
              <w:t>Skagen</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3"/>
              </w:rPr>
              <w:t>July 2013</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5"/>
              </w:rPr>
              <w:t>GAS-eight Ltd.</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March 2011</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3"/>
              </w:rPr>
              <w:t>Solaris</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88"/>
              </w:rPr>
              <w:t>June 2014</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9"/>
              </w:rPr>
              <w:t>December</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5"/>
              </w:rPr>
              <w:t>GAS-nine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June 2011</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91"/>
              </w:rPr>
              <w:t>Saratoga</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2014</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rPr>
              <w:t>April</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6"/>
              </w:rPr>
              <w:t>GAS-ten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88"/>
              </w:rPr>
              <w:t>June 2011</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0"/>
              </w:rPr>
              <w:t>Salem</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2015</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7"/>
              </w:rPr>
              <w:t>March</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5"/>
              </w:rPr>
              <w:t>GAS-eleven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December 2012</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174,000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7"/>
              </w:rPr>
              <w:t>Greece</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2016</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6"/>
              </w:rPr>
              <w:t>GAS-twelve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0"/>
              </w:rPr>
              <w:t>December 2012</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174,000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5"/>
              </w:rPr>
              <w:t>Glasgow</w:t>
            </w:r>
          </w:p>
        </w:tc>
        <w:tc>
          <w:tcPr>
            <w:tcW w:w="60" w:type="dxa"/>
            <w:vAlign w:val="bottom"/>
            <w:shd w:val="clear" w:color="auto" w:fill="E5FFFF"/>
          </w:tcPr>
          <w:p>
            <w:pPr>
              <w:spacing w:after="0"/>
              <w:rPr>
                <w:sz w:val="14"/>
                <w:szCs w:val="14"/>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88"/>
              </w:rPr>
              <w:t>June 2016</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0"/>
              </w:rPr>
              <w:t>September</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6"/>
              </w:rPr>
              <w:t>GAS-thirteen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July 2013</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174,000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9"/>
              </w:rPr>
              <w:t>Geneva</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2016</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w w:val="92"/>
              </w:rPr>
              <w:t>October</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5"/>
              </w:rPr>
              <w:t>GAS-fourteen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July 2013</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174,000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rPr>
              <w:t>Gibraltar</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2016</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2"/>
              </w:rPr>
              <w:t>October</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8"/>
              </w:rPr>
              <w:t>GAS-fifteen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August 2013</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153,600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9"/>
              </w:rPr>
              <w:t>Chelsea</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2013</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rPr>
              <w:t>April</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GAS-eighteen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January 2014</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89"/>
              </w:rPr>
              <w:t>Lydon Volney</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2014</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color w:val="auto"/>
              </w:rPr>
              <w:t>Hull No.</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7"/>
              </w:rPr>
              <w:t>GAS-twenty two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May 2014</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174,000</w:t>
            </w:r>
          </w:p>
        </w:tc>
        <w:tc>
          <w:tcPr>
            <w:tcW w:w="1080" w:type="dxa"/>
            <w:vAlign w:val="bottom"/>
            <w:gridSpan w:val="2"/>
          </w:tcPr>
          <w:p>
            <w:pPr>
              <w:jc w:val="center"/>
              <w:ind w:left="209"/>
              <w:spacing w:after="0"/>
              <w:rPr>
                <w:sz w:val="20"/>
                <w:szCs w:val="20"/>
                <w:color w:val="auto"/>
              </w:rPr>
            </w:pPr>
            <w:r>
              <w:rPr>
                <w:rFonts w:ascii="Arial" w:cs="Arial" w:eastAsia="Arial" w:hAnsi="Arial"/>
                <w:sz w:val="14"/>
                <w:szCs w:val="14"/>
                <w:color w:val="auto"/>
                <w:w w:val="89"/>
              </w:rPr>
              <w:t>2130</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Q1 2018</w:t>
            </w:r>
            <w:r>
              <w:rPr>
                <w:rFonts w:ascii="Arial" w:cs="Arial" w:eastAsia="Arial" w:hAnsi="Arial"/>
                <w:sz w:val="8"/>
                <w:szCs w:val="8"/>
                <w:color w:val="auto"/>
                <w:w w:val="91"/>
              </w:rPr>
              <w:t>(1)</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rPr>
              <w:t>Hull No.</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5"/>
              </w:rPr>
              <w:t>GAS-twenty three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May 2014</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174,000</w:t>
            </w:r>
          </w:p>
        </w:tc>
        <w:tc>
          <w:tcPr>
            <w:tcW w:w="10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89"/>
              </w:rPr>
              <w:t>2131</w:t>
            </w:r>
          </w:p>
        </w:tc>
        <w:tc>
          <w:tcPr>
            <w:tcW w:w="60" w:type="dxa"/>
            <w:vAlign w:val="bottom"/>
            <w:shd w:val="clear" w:color="auto" w:fill="E5FFFF"/>
          </w:tcPr>
          <w:p>
            <w:pPr>
              <w:spacing w:after="0"/>
              <w:rPr>
                <w:sz w:val="14"/>
                <w:szCs w:val="14"/>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Q1 2019</w:t>
            </w:r>
            <w:r>
              <w:rPr>
                <w:rFonts w:ascii="Arial" w:cs="Arial" w:eastAsia="Arial" w:hAnsi="Arial"/>
                <w:sz w:val="8"/>
                <w:szCs w:val="8"/>
                <w:color w:val="auto"/>
                <w:w w:val="91"/>
              </w:rPr>
              <w:t>(1)</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color w:val="auto"/>
              </w:rPr>
              <w:t>Hull No.</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6"/>
              </w:rPr>
              <w:t>GAS-twenty four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June 2014</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174,000</w:t>
            </w:r>
          </w:p>
        </w:tc>
        <w:tc>
          <w:tcPr>
            <w:tcW w:w="1080" w:type="dxa"/>
            <w:vAlign w:val="bottom"/>
            <w:gridSpan w:val="2"/>
          </w:tcPr>
          <w:p>
            <w:pPr>
              <w:jc w:val="center"/>
              <w:ind w:left="209"/>
              <w:spacing w:after="0"/>
              <w:rPr>
                <w:sz w:val="20"/>
                <w:szCs w:val="20"/>
                <w:color w:val="auto"/>
              </w:rPr>
            </w:pPr>
            <w:r>
              <w:rPr>
                <w:rFonts w:ascii="Arial" w:cs="Arial" w:eastAsia="Arial" w:hAnsi="Arial"/>
                <w:sz w:val="14"/>
                <w:szCs w:val="14"/>
                <w:color w:val="auto"/>
                <w:w w:val="89"/>
              </w:rPr>
              <w:t>2800</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Q1 2018</w:t>
            </w:r>
            <w:r>
              <w:rPr>
                <w:rFonts w:ascii="Arial" w:cs="Arial" w:eastAsia="Arial" w:hAnsi="Arial"/>
                <w:sz w:val="8"/>
                <w:szCs w:val="8"/>
                <w:color w:val="auto"/>
                <w:w w:val="91"/>
              </w:rPr>
              <w:t>(1)</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rPr>
              <w:t>Hull No.</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7"/>
              </w:rPr>
              <w:t>GAS-twenty five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88"/>
              </w:rPr>
              <w:t>June 2014</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174,000</w:t>
            </w:r>
          </w:p>
        </w:tc>
        <w:tc>
          <w:tcPr>
            <w:tcW w:w="10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89"/>
              </w:rPr>
              <w:t>2801</w:t>
            </w:r>
          </w:p>
        </w:tc>
        <w:tc>
          <w:tcPr>
            <w:tcW w:w="60" w:type="dxa"/>
            <w:vAlign w:val="bottom"/>
            <w:shd w:val="clear" w:color="auto" w:fill="E5FFFF"/>
          </w:tcPr>
          <w:p>
            <w:pPr>
              <w:spacing w:after="0"/>
              <w:rPr>
                <w:sz w:val="14"/>
                <w:szCs w:val="14"/>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Q1 2018</w:t>
            </w:r>
            <w:r>
              <w:rPr>
                <w:rFonts w:ascii="Arial" w:cs="Arial" w:eastAsia="Arial" w:hAnsi="Arial"/>
                <w:sz w:val="8"/>
                <w:szCs w:val="8"/>
                <w:color w:val="auto"/>
                <w:w w:val="91"/>
              </w:rPr>
              <w:t>(1)</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7"/>
              </w:rPr>
              <w:t>March</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7"/>
              </w:rPr>
              <w:t>GAS-twenty six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January 2015</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9"/>
              </w:rPr>
              <w:t>Finance lease asset company</w:t>
            </w:r>
            <w:r>
              <w:rPr>
                <w:rFonts w:ascii="Arial" w:cs="Arial" w:eastAsia="Arial" w:hAnsi="Arial"/>
                <w:sz w:val="8"/>
                <w:szCs w:val="8"/>
                <w:color w:val="auto"/>
                <w:w w:val="89"/>
              </w:rPr>
              <w:t>(2)</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170,000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97"/>
              </w:rPr>
              <w:t>Julia Louise</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2015</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w w:val="97"/>
              </w:rPr>
              <w:t>March</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GAS-twenty seven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January 2015</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170,000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0"/>
              </w:rPr>
              <w:t>Becki Anne</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2015</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color w:val="auto"/>
              </w:rPr>
              <w:t>Hull No.</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6"/>
              </w:rPr>
              <w:t>GAS-twenty eight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September 2016</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180,000</w:t>
            </w:r>
          </w:p>
        </w:tc>
        <w:tc>
          <w:tcPr>
            <w:tcW w:w="1080" w:type="dxa"/>
            <w:vAlign w:val="bottom"/>
            <w:gridSpan w:val="2"/>
          </w:tcPr>
          <w:p>
            <w:pPr>
              <w:jc w:val="center"/>
              <w:ind w:left="209"/>
              <w:spacing w:after="0"/>
              <w:rPr>
                <w:sz w:val="20"/>
                <w:szCs w:val="20"/>
                <w:color w:val="auto"/>
              </w:rPr>
            </w:pPr>
            <w:r>
              <w:rPr>
                <w:rFonts w:ascii="Arial" w:cs="Arial" w:eastAsia="Arial" w:hAnsi="Arial"/>
                <w:sz w:val="14"/>
                <w:szCs w:val="14"/>
                <w:color w:val="auto"/>
                <w:w w:val="89"/>
              </w:rPr>
              <w:t>2212</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Q2 2019</w:t>
            </w:r>
            <w:r>
              <w:rPr>
                <w:rFonts w:ascii="Arial" w:cs="Arial" w:eastAsia="Arial" w:hAnsi="Arial"/>
                <w:sz w:val="8"/>
                <w:szCs w:val="8"/>
                <w:color w:val="auto"/>
                <w:w w:val="91"/>
              </w:rPr>
              <w:t>(1)</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6"/>
              </w:rPr>
              <w:t>GAS-twenty nine Ltd.</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0"/>
              </w:rPr>
              <w:t>September 2016</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Dormant</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5"/>
              </w:rPr>
              <w:t>GasLog Shipping Limited</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BVI</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July 2003</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Dormant</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254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30.45% interest subsidiaries:</w:t>
            </w:r>
          </w:p>
        </w:tc>
        <w:tc>
          <w:tcPr>
            <w:tcW w:w="28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1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GasLog Partners LP</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Marshall Islands</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January 2014</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3"/>
        </w:trPr>
        <w:tc>
          <w:tcPr>
            <w:tcW w:w="20" w:type="dxa"/>
            <w:vAlign w:val="bottom"/>
          </w:tcPr>
          <w:p>
            <w:pPr>
              <w:spacing w:after="0"/>
              <w:rPr>
                <w:sz w:val="21"/>
                <w:szCs w:val="21"/>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GasLog Partners Holdings LLC</w:t>
            </w:r>
          </w:p>
        </w:tc>
        <w:tc>
          <w:tcPr>
            <w:tcW w:w="280" w:type="dxa"/>
            <w:vAlign w:val="bottom"/>
            <w:shd w:val="clear" w:color="auto" w:fill="E5FFFF"/>
          </w:tcPr>
          <w:p>
            <w:pPr>
              <w:spacing w:after="0"/>
              <w:rPr>
                <w:sz w:val="21"/>
                <w:szCs w:val="21"/>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Marshall Islands</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April 2014</w:t>
            </w:r>
          </w:p>
        </w:tc>
        <w:tc>
          <w:tcPr>
            <w:tcW w:w="28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Holding company</w:t>
            </w:r>
          </w:p>
        </w:tc>
        <w:tc>
          <w:tcPr>
            <w:tcW w:w="280" w:type="dxa"/>
            <w:vAlign w:val="bottom"/>
            <w:shd w:val="clear" w:color="auto" w:fill="E5FFFF"/>
          </w:tcPr>
          <w:p>
            <w:pPr>
              <w:spacing w:after="0"/>
              <w:rPr>
                <w:sz w:val="21"/>
                <w:szCs w:val="21"/>
                <w:color w:val="auto"/>
              </w:rPr>
            </w:pPr>
          </w:p>
        </w:tc>
        <w:tc>
          <w:tcPr>
            <w:tcW w:w="110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9"/>
              </w:rPr>
              <w:t>—</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2"/>
              </w:rPr>
              <w:t>January</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GAS-three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April 2010</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91"/>
              </w:rPr>
              <w:t>Shanghai</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2013</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w w:val="97"/>
              </w:rPr>
              <w:t>March</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GAS-four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April 2010</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4"/>
              </w:rPr>
              <w:t>Santiago</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2013</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8"/>
              </w:rPr>
              <w:t>GAS-five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February 2011</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5"/>
              </w:rPr>
              <w:t>Sydney</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May 2013</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89"/>
              </w:rPr>
              <w:t>GasLog</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w w:val="89"/>
              </w:rPr>
              <w:t>December</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3"/>
              </w:rPr>
              <w:t>GAS-seven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4"/>
              </w:rPr>
              <w:t>March 2011</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1"/>
              </w:rPr>
              <w:t>Seattle</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2013</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91"/>
              </w:rPr>
              <w:t>Methane Rita</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rPr>
              <w:t>April</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GAS-sixteen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January 2014</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8"/>
              </w:rPr>
              <w:t>Andrea</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2014</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90"/>
              </w:rPr>
              <w:t>Methane Jane</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color w:val="auto"/>
              </w:rPr>
              <w:t>April</w:t>
            </w: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GAS-seventeen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January 2014</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3"/>
              </w:rPr>
              <w:t>Elizabeth</w:t>
            </w: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4"/>
                <w:szCs w:val="14"/>
                <w:color w:val="auto"/>
                <w:w w:val="96"/>
              </w:rPr>
              <w:t>2014</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Alison</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GAS-nineteen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April 2014</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94"/>
              </w:rPr>
              <w:t>Victoria</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June 2014</w:t>
            </w:r>
          </w:p>
        </w:tc>
      </w:tr>
      <w:tr>
        <w:trPr>
          <w:trHeight w:val="131"/>
        </w:trPr>
        <w:tc>
          <w:tcPr>
            <w:tcW w:w="20" w:type="dxa"/>
            <w:vAlign w:val="bottom"/>
          </w:tcPr>
          <w:p>
            <w:pPr>
              <w:spacing w:after="0"/>
              <w:rPr>
                <w:sz w:val="11"/>
                <w:szCs w:val="11"/>
                <w:color w:val="auto"/>
              </w:rPr>
            </w:pPr>
          </w:p>
        </w:tc>
        <w:tc>
          <w:tcPr>
            <w:tcW w:w="25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44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222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1100" w:type="dxa"/>
            <w:vAlign w:val="bottom"/>
            <w:shd w:val="clear" w:color="auto" w:fill="E5FFFF"/>
          </w:tcPr>
          <w:p>
            <w:pPr>
              <w:spacing w:after="0"/>
              <w:rPr>
                <w:sz w:val="11"/>
                <w:szCs w:val="11"/>
                <w:color w:val="auto"/>
              </w:rPr>
            </w:pPr>
          </w:p>
        </w:tc>
        <w:tc>
          <w:tcPr>
            <w:tcW w:w="280" w:type="dxa"/>
            <w:vAlign w:val="bottom"/>
            <w:shd w:val="clear" w:color="auto" w:fill="E5FFFF"/>
          </w:tcPr>
          <w:p>
            <w:pPr>
              <w:spacing w:after="0"/>
              <w:rPr>
                <w:sz w:val="11"/>
                <w:szCs w:val="11"/>
                <w:color w:val="auto"/>
              </w:rPr>
            </w:pPr>
          </w:p>
        </w:tc>
        <w:tc>
          <w:tcPr>
            <w:tcW w:w="800" w:type="dxa"/>
            <w:vAlign w:val="bottom"/>
            <w:shd w:val="clear" w:color="auto" w:fill="E5FFFF"/>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1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0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3"/>
              </w:rPr>
              <w:t>Shirley</w:t>
            </w:r>
          </w:p>
        </w:tc>
        <w:tc>
          <w:tcPr>
            <w:tcW w:w="6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5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GAS-twenty Ltd.</w:t>
            </w:r>
          </w:p>
        </w:tc>
        <w:tc>
          <w:tcPr>
            <w:tcW w:w="280" w:type="dxa"/>
            <w:vAlign w:val="bottom"/>
            <w:shd w:val="clear" w:color="auto" w:fill="E5FFFF"/>
          </w:tcPr>
          <w:p>
            <w:pPr>
              <w:spacing w:after="0"/>
              <w:rPr>
                <w:sz w:val="14"/>
                <w:szCs w:val="14"/>
                <w:color w:val="auto"/>
              </w:rPr>
            </w:pPr>
          </w:p>
        </w:tc>
        <w:tc>
          <w:tcPr>
            <w:tcW w:w="144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shd w:val="clear" w:color="auto" w:fill="E5FFFF"/>
          </w:tcPr>
          <w:p>
            <w:pPr>
              <w:spacing w:after="0"/>
              <w:rPr>
                <w:sz w:val="14"/>
                <w:szCs w:val="14"/>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8"/>
              </w:rPr>
              <w:t>April 2014</w:t>
            </w:r>
          </w:p>
        </w:tc>
        <w:tc>
          <w:tcPr>
            <w:tcW w:w="280" w:type="dxa"/>
            <w:vAlign w:val="bottom"/>
            <w:shd w:val="clear" w:color="auto" w:fill="E5FFFF"/>
          </w:tcPr>
          <w:p>
            <w:pPr>
              <w:spacing w:after="0"/>
              <w:rPr>
                <w:sz w:val="14"/>
                <w:szCs w:val="14"/>
                <w:color w:val="auto"/>
              </w:rPr>
            </w:pPr>
          </w:p>
        </w:tc>
        <w:tc>
          <w:tcPr>
            <w:tcW w:w="2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shd w:val="clear" w:color="auto" w:fill="E5FFFF"/>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4"/>
                <w:szCs w:val="14"/>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3"/>
              </w:rPr>
              <w:t>Elisabeth</w:t>
            </w:r>
          </w:p>
        </w:tc>
        <w:tc>
          <w:tcPr>
            <w:tcW w:w="60" w:type="dxa"/>
            <w:vAlign w:val="bottom"/>
            <w:shd w:val="clear" w:color="auto" w:fill="E5FFFF"/>
          </w:tcPr>
          <w:p>
            <w:pPr>
              <w:spacing w:after="0"/>
              <w:rPr>
                <w:sz w:val="14"/>
                <w:szCs w:val="14"/>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88"/>
              </w:rPr>
              <w:t>June 2014</w:t>
            </w: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91"/>
              </w:rPr>
              <w:t>Methane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5"/>
              </w:rPr>
              <w:t>GAS-twenty one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April 2014</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95"/>
              </w:rPr>
              <w:t>Heather Sally</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June 2014</w:t>
            </w:r>
          </w:p>
        </w:tc>
      </w:tr>
      <w:tr>
        <w:trPr>
          <w:trHeight w:val="149"/>
        </w:trPr>
        <w:tc>
          <w:tcPr>
            <w:tcW w:w="20" w:type="dxa"/>
            <w:vAlign w:val="bottom"/>
          </w:tcPr>
          <w:p>
            <w:pPr>
              <w:spacing w:after="0"/>
              <w:rPr>
                <w:sz w:val="12"/>
                <w:szCs w:val="12"/>
                <w:color w:val="auto"/>
              </w:rPr>
            </w:pPr>
          </w:p>
        </w:tc>
        <w:tc>
          <w:tcPr>
            <w:tcW w:w="254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28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1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i w:val="1"/>
                <w:iCs w:val="1"/>
                <w:color w:val="auto"/>
                <w:w w:val="92"/>
              </w:rPr>
              <w:t>Methane Nile</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9"/>
              </w:rPr>
              <w:t>December</w:t>
            </w:r>
          </w:p>
        </w:tc>
      </w:tr>
      <w:tr>
        <w:trPr>
          <w:trHeight w:val="166"/>
        </w:trPr>
        <w:tc>
          <w:tcPr>
            <w:tcW w:w="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7"/>
              </w:rPr>
              <w:t>Egypt LNG Shipping Ltd.</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Bermuda</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May 2010</w:t>
            </w:r>
          </w:p>
        </w:tc>
        <w:tc>
          <w:tcPr>
            <w:tcW w:w="2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Vessel-owning company</w:t>
            </w:r>
          </w:p>
        </w:tc>
        <w:tc>
          <w:tcPr>
            <w:tcW w:w="1380" w:type="dxa"/>
            <w:vAlign w:val="bottom"/>
            <w:gridSpan w:val="2"/>
          </w:tcPr>
          <w:p>
            <w:pPr>
              <w:jc w:val="center"/>
              <w:ind w:left="209"/>
              <w:spacing w:after="0"/>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w w:val="89"/>
              </w:rPr>
              <w:t>Eagle</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2007</w:t>
            </w:r>
          </w:p>
        </w:tc>
      </w:tr>
      <w:tr>
        <w:trPr>
          <w:trHeight w:val="149"/>
        </w:trPr>
        <w:tc>
          <w:tcPr>
            <w:tcW w:w="20" w:type="dxa"/>
            <w:vAlign w:val="bottom"/>
          </w:tcPr>
          <w:p>
            <w:pPr>
              <w:spacing w:after="0"/>
              <w:rPr>
                <w:sz w:val="12"/>
                <w:szCs w:val="12"/>
                <w:color w:val="auto"/>
              </w:rPr>
            </w:pPr>
          </w:p>
        </w:tc>
        <w:tc>
          <w:tcPr>
            <w:tcW w:w="254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33.33% joint venture:</w:t>
            </w:r>
          </w:p>
        </w:tc>
        <w:tc>
          <w:tcPr>
            <w:tcW w:w="28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1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r>
      <w:tr>
        <w:trPr>
          <w:trHeight w:val="258"/>
        </w:trPr>
        <w:tc>
          <w:tcPr>
            <w:tcW w:w="20" w:type="dxa"/>
            <w:vAlign w:val="bottom"/>
          </w:tcPr>
          <w:p>
            <w:pPr>
              <w:spacing w:after="0"/>
              <w:rPr>
                <w:sz w:val="22"/>
                <w:szCs w:val="22"/>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6"/>
              </w:rPr>
              <w:t>The Cool Pool Limited</w:t>
            </w:r>
            <w:r>
              <w:rPr>
                <w:rFonts w:ascii="Arial" w:cs="Arial" w:eastAsia="Arial" w:hAnsi="Arial"/>
                <w:sz w:val="8"/>
                <w:szCs w:val="8"/>
                <w:color w:val="auto"/>
                <w:w w:val="96"/>
              </w:rPr>
              <w:t>(3)</w:t>
            </w:r>
          </w:p>
        </w:tc>
        <w:tc>
          <w:tcPr>
            <w:tcW w:w="2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Marshall Islands</w:t>
            </w:r>
          </w:p>
        </w:tc>
        <w:tc>
          <w:tcPr>
            <w:tcW w:w="2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September 2015</w:t>
            </w:r>
          </w:p>
        </w:tc>
        <w:tc>
          <w:tcPr>
            <w:tcW w:w="28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Service company</w:t>
            </w:r>
          </w:p>
        </w:tc>
        <w:tc>
          <w:tcPr>
            <w:tcW w:w="2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89" w:lineRule="exact"/>
        <w:rPr>
          <w:sz w:val="20"/>
          <w:szCs w:val="20"/>
          <w:color w:val="auto"/>
        </w:rPr>
      </w:pPr>
    </w:p>
    <w:p>
      <w:pPr>
        <w:ind w:left="380" w:hanging="173"/>
        <w:spacing w:after="0"/>
        <w:tabs>
          <w:tab w:leader="none" w:pos="380" w:val="left"/>
        </w:tabs>
        <w:numPr>
          <w:ilvl w:val="0"/>
          <w:numId w:val="89"/>
        </w:numPr>
        <w:rPr>
          <w:rFonts w:ascii="Arial" w:cs="Arial" w:eastAsia="Arial" w:hAnsi="Arial"/>
          <w:sz w:val="9"/>
          <w:szCs w:val="9"/>
          <w:color w:val="auto"/>
        </w:rPr>
      </w:pPr>
      <w:r>
        <w:rPr>
          <w:rFonts w:ascii="Arial" w:cs="Arial" w:eastAsia="Arial" w:hAnsi="Arial"/>
          <w:sz w:val="16"/>
          <w:szCs w:val="16"/>
          <w:color w:val="auto"/>
        </w:rPr>
        <w:t>For newbuildings, expected delivery quarters are presented.</w:t>
      </w:r>
    </w:p>
    <w:p>
      <w:pPr>
        <w:spacing w:after="0" w:line="86" w:lineRule="exact"/>
        <w:rPr>
          <w:rFonts w:ascii="Arial" w:cs="Arial" w:eastAsia="Arial" w:hAnsi="Arial"/>
          <w:sz w:val="9"/>
          <w:szCs w:val="9"/>
          <w:color w:val="auto"/>
        </w:rPr>
      </w:pPr>
    </w:p>
    <w:p>
      <w:pPr>
        <w:ind w:left="380" w:hanging="197"/>
        <w:spacing w:after="0"/>
        <w:tabs>
          <w:tab w:leader="none" w:pos="380" w:val="left"/>
        </w:tabs>
        <w:numPr>
          <w:ilvl w:val="0"/>
          <w:numId w:val="89"/>
        </w:numPr>
        <w:rPr>
          <w:rFonts w:ascii="Arial" w:cs="Arial" w:eastAsia="Arial" w:hAnsi="Arial"/>
          <w:sz w:val="8"/>
          <w:szCs w:val="8"/>
          <w:color w:val="auto"/>
        </w:rPr>
      </w:pPr>
      <w:r>
        <w:rPr>
          <w:rFonts w:ascii="Arial" w:cs="Arial" w:eastAsia="Arial" w:hAnsi="Arial"/>
          <w:sz w:val="13"/>
          <w:szCs w:val="13"/>
          <w:color w:val="auto"/>
        </w:rPr>
        <w:t xml:space="preserve">On February 24, 2016,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a subsidiary of Mitsui Co. Ltd. (“Mitsui”). Refer to Note 7.</w:t>
      </w:r>
    </w:p>
    <w:p>
      <w:pPr>
        <w:spacing w:after="0" w:line="120" w:lineRule="exact"/>
        <w:rPr>
          <w:rFonts w:ascii="Arial" w:cs="Arial" w:eastAsia="Arial" w:hAnsi="Arial"/>
          <w:sz w:val="8"/>
          <w:szCs w:val="8"/>
          <w:color w:val="auto"/>
        </w:rPr>
      </w:pPr>
    </w:p>
    <w:p>
      <w:pPr>
        <w:ind w:left="380" w:right="680" w:hanging="222"/>
        <w:spacing w:after="0" w:line="251" w:lineRule="auto"/>
        <w:tabs>
          <w:tab w:leader="none" w:pos="380" w:val="left"/>
        </w:tabs>
        <w:numPr>
          <w:ilvl w:val="0"/>
          <w:numId w:val="89"/>
        </w:numPr>
        <w:rPr>
          <w:rFonts w:ascii="Arial" w:cs="Arial" w:eastAsia="Arial" w:hAnsi="Arial"/>
          <w:sz w:val="9"/>
          <w:szCs w:val="9"/>
          <w:color w:val="auto"/>
        </w:rPr>
      </w:pPr>
      <w:r>
        <w:rPr>
          <w:rFonts w:ascii="Arial" w:cs="Arial" w:eastAsia="Arial" w:hAnsi="Arial"/>
          <w:sz w:val="16"/>
          <w:szCs w:val="16"/>
          <w:color w:val="auto"/>
        </w:rPr>
        <w:t>On October 1, 2015, GasLog, Dynagas Ltd. (“Dynagas”) and Golar LNG Ltd. (“Golar”) signed a LNG carrier pooling agreement (the “LNG Carrier Pool” or “Pool Agreement”) to market their vessels, which are currently operating in the LNG shipping spot market.</w:t>
      </w:r>
    </w:p>
    <w:p>
      <w:pPr>
        <w:spacing w:after="0" w:line="60" w:lineRule="exact"/>
        <w:rPr>
          <w:rFonts w:ascii="Arial" w:cs="Arial" w:eastAsia="Arial" w:hAnsi="Arial"/>
          <w:sz w:val="9"/>
          <w:szCs w:val="9"/>
          <w:color w:val="auto"/>
        </w:rPr>
      </w:pPr>
    </w:p>
    <w:p>
      <w:pPr>
        <w:ind w:left="380" w:right="40"/>
        <w:spacing w:after="0" w:line="281" w:lineRule="auto"/>
        <w:rPr>
          <w:rFonts w:ascii="Arial" w:cs="Arial" w:eastAsia="Arial" w:hAnsi="Arial"/>
          <w:sz w:val="9"/>
          <w:szCs w:val="9"/>
          <w:color w:val="auto"/>
        </w:rPr>
      </w:pPr>
      <w:r>
        <w:rPr>
          <w:rFonts w:ascii="Arial" w:cs="Arial" w:eastAsia="Arial" w:hAnsi="Arial"/>
          <w:sz w:val="14"/>
          <w:szCs w:val="14"/>
          <w:color w:val="auto"/>
        </w:rPr>
        <w:t>As of December 31, 2016, the LNG Carrier Pool—named the “Cool Pool”—consists of 18 modern, high quality and essentially equivalent vessels powered by fuel efficient tri-fuel diesel electric (“TFDE”) propulsion technology. The three owners’ vessels participation in the Cool Pool are as follows: Dynagas: three vessels; GasLog: five vessels; and Golar: ten vessels. Each vessel owner continues to be fully responsible for the manning and technical management of their respective vessels. For the operation of the Cool Pool, a Marshall Islands service company named “The Cool Pool Limited” or the “Pool Manager”, was incorporated in September 2015 acting as an agent.</w:t>
      </w:r>
    </w:p>
    <w:p>
      <w:pPr>
        <w:sectPr>
          <w:pgSz w:w="11900" w:h="16862" w:orient="portrait"/>
          <w:cols w:equalWidth="0" w:num="1">
            <w:col w:w="11420"/>
          </w:cols>
          <w:pgMar w:left="240" w:top="477" w:right="239" w:bottom="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4" w:name="page145"/>
    <w:bookmarkEnd w:id="144"/>
    <w:p>
      <w:pPr>
        <w:ind w:left="360"/>
        <w:spacing w:after="0"/>
        <w:rPr>
          <w:sz w:val="20"/>
          <w:szCs w:val="20"/>
          <w:color w:val="auto"/>
        </w:rPr>
      </w:pPr>
      <w:r>
        <w:rPr>
          <w:rFonts w:ascii="Arial" w:cs="Arial" w:eastAsia="Arial" w:hAnsi="Arial"/>
          <w:sz w:val="18"/>
          <w:szCs w:val="18"/>
          <w:color w:val="auto"/>
        </w:rPr>
        <w:t>All entities in the Group have a December 31st year end. During 2016 the Group employed an average of 173 employees (2015: 158 and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2014: 142).</w:t>
      </w:r>
    </w:p>
    <w:p>
      <w:pPr>
        <w:spacing w:after="0" w:line="103"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GasLog’s common shares are traded on the New York Stock Exchange (“NYSE”) under the ticker symbol “GLOG”. GasLog’s 8.75% Series A Cumulative Redeemable Perpetual Preference Shares (“Preference Shares”) are traded on the NYSE under the ticker symbol “GLOG PR A”.</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Statement of compliance</w:t>
      </w:r>
    </w:p>
    <w:p>
      <w:pPr>
        <w:spacing w:after="0" w:line="119"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consolidated financial statements of GasLog and its subsidiaries have been prepared in accordance with International Financial Reporting Standards (the “IFRS”) as issued by the International Accounting Standards Board (the “IASB”).</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preparation and approval</w:t>
      </w:r>
    </w:p>
    <w:p>
      <w:pPr>
        <w:spacing w:after="0" w:line="119"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Going concern</w:t>
      </w:r>
    </w:p>
    <w:p>
      <w:pPr>
        <w:spacing w:after="0" w:line="1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62"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On March 1, 2017, the financial statements were authorized on behalf of GasLog’s board of directors for issuance and filing.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principal accounting policies are set out below.</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consolidation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Control is achieved where GasLog:</w:t>
      </w:r>
    </w:p>
    <w:p>
      <w:pPr>
        <w:spacing w:after="0" w:line="90" w:lineRule="exact"/>
        <w:rPr>
          <w:sz w:val="20"/>
          <w:szCs w:val="20"/>
          <w:color w:val="auto"/>
        </w:rPr>
      </w:pPr>
    </w:p>
    <w:p>
      <w:pPr>
        <w:ind w:left="540" w:hanging="168"/>
        <w:spacing w:after="0"/>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has power over the investee;</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is exposed, or has rights, to variable returns from its involvement with the investee;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has the ability to use its power to affect its returns.</w:t>
      </w:r>
    </w:p>
    <w:p>
      <w:pPr>
        <w:spacing w:after="0" w:line="133" w:lineRule="exact"/>
        <w:rPr>
          <w:sz w:val="20"/>
          <w:szCs w:val="20"/>
          <w:color w:val="auto"/>
        </w:rPr>
      </w:pPr>
    </w:p>
    <w:p>
      <w:pPr>
        <w:ind w:right="300" w:firstLine="357"/>
        <w:spacing w:after="0" w:line="344" w:lineRule="auto"/>
        <w:rPr>
          <w:sz w:val="20"/>
          <w:szCs w:val="20"/>
          <w:color w:val="auto"/>
        </w:rPr>
      </w:pPr>
      <w:r>
        <w:rPr>
          <w:rFonts w:ascii="Arial" w:cs="Arial" w:eastAsia="Arial" w:hAnsi="Arial"/>
          <w:sz w:val="17"/>
          <w:szCs w:val="17"/>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All intra-group transactions, balances, income and expenses are eliminated in full on consolidation.</w:t>
      </w:r>
    </w:p>
    <w:p>
      <w:pPr>
        <w:spacing w:after="0" w:line="106"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45" w:name="page146"/>
    <w:bookmarkEnd w:id="145"/>
    <w:p>
      <w:pPr>
        <w:ind w:right="540"/>
        <w:spacing w:after="0" w:line="283" w:lineRule="auto"/>
        <w:rPr>
          <w:sz w:val="20"/>
          <w:szCs w:val="20"/>
          <w:color w:val="auto"/>
        </w:rPr>
      </w:pPr>
      <w:r>
        <w:rPr>
          <w:rFonts w:ascii="Arial" w:cs="Arial" w:eastAsia="Arial" w:hAnsi="Arial"/>
          <w:sz w:val="19"/>
          <w:szCs w:val="19"/>
          <w:color w:val="auto"/>
        </w:rPr>
        <w:t>of such subsidiaries. Total comprehensive income is attributed to a non-controlling interest even if this results in the non-controlling interest having a deficit balance.</w:t>
      </w:r>
    </w:p>
    <w:p>
      <w:pPr>
        <w:spacing w:after="0" w:line="52" w:lineRule="exact"/>
        <w:rPr>
          <w:sz w:val="20"/>
          <w:szCs w:val="20"/>
          <w:color w:val="auto"/>
        </w:rPr>
      </w:pPr>
    </w:p>
    <w:p>
      <w:pPr>
        <w:ind w:right="40" w:firstLine="357"/>
        <w:spacing w:after="0" w:line="281" w:lineRule="auto"/>
        <w:rPr>
          <w:sz w:val="20"/>
          <w:szCs w:val="20"/>
          <w:color w:val="auto"/>
        </w:rPr>
      </w:pPr>
      <w:r>
        <w:rPr>
          <w:rFonts w:ascii="Arial" w:cs="Arial" w:eastAsia="Arial" w:hAnsi="Arial"/>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77"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On disposal of a subsidiary, the attributable amount of goodwill is included in the determination of the profit or loss on disposal.</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in associates</w:t>
      </w:r>
    </w:p>
    <w:p>
      <w:pPr>
        <w:spacing w:after="0" w:line="119" w:lineRule="exact"/>
        <w:rPr>
          <w:sz w:val="20"/>
          <w:szCs w:val="20"/>
          <w:color w:val="auto"/>
        </w:rPr>
      </w:pPr>
    </w:p>
    <w:p>
      <w:pPr>
        <w:ind w:right="340" w:firstLine="357"/>
        <w:spacing w:after="0" w:line="267" w:lineRule="auto"/>
        <w:rPr>
          <w:sz w:val="20"/>
          <w:szCs w:val="20"/>
          <w:color w:val="auto"/>
        </w:rPr>
      </w:pPr>
      <w:r>
        <w:rPr>
          <w:rFonts w:ascii="Arial" w:cs="Arial" w:eastAsia="Arial" w:hAnsi="Arial"/>
          <w:sz w:val="19"/>
          <w:szCs w:val="19"/>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68"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9"/>
          <w:szCs w:val="19"/>
          <w:i w:val="1"/>
          <w:iCs w:val="1"/>
          <w:color w:val="auto"/>
        </w:rPr>
        <w:t>Non-current Assets Held for Sale and Discontinued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Operations. </w:t>
      </w:r>
      <w:r>
        <w:rPr>
          <w:rFonts w:ascii="Arial" w:cs="Arial" w:eastAsia="Arial" w:hAnsi="Arial"/>
          <w:sz w:val="19"/>
          <w:szCs w:val="19"/>
          <w:color w:val="auto"/>
        </w:rPr>
        <w:t>An impairment assessment of investments in associates is performed when there is an indication that the asset has been impaired or</w:t>
      </w:r>
      <w:r>
        <w:rPr>
          <w:rFonts w:ascii="Arial" w:cs="Arial" w:eastAsia="Arial" w:hAnsi="Arial"/>
          <w:sz w:val="19"/>
          <w:szCs w:val="19"/>
          <w:i w:val="1"/>
          <w:iCs w:val="1"/>
          <w:color w:val="auto"/>
        </w:rPr>
        <w:t xml:space="preserve"> </w:t>
      </w:r>
      <w:r>
        <w:rPr>
          <w:rFonts w:ascii="Arial" w:cs="Arial" w:eastAsia="Arial" w:hAnsi="Arial"/>
          <w:sz w:val="19"/>
          <w:szCs w:val="19"/>
          <w:color w:val="auto"/>
        </w:rPr>
        <w:t>the impairment losses recognized in prior years no longer exist.</w:t>
      </w:r>
    </w:p>
    <w:p>
      <w:pPr>
        <w:spacing w:after="0" w:line="7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When the Group’s share of losses exceeds the carrying amount of the investment, the investment is reported at nil value and recognition of losses is discontinued except to the extent of the Group’s commitment.</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in joint ventures</w:t>
      </w:r>
    </w:p>
    <w:p>
      <w:pPr>
        <w:spacing w:after="0" w:line="119" w:lineRule="exact"/>
        <w:rPr>
          <w:sz w:val="20"/>
          <w:szCs w:val="20"/>
          <w:color w:val="auto"/>
        </w:rPr>
      </w:pPr>
    </w:p>
    <w:p>
      <w:pPr>
        <w:jc w:val="both"/>
        <w:ind w:right="60" w:firstLine="357"/>
        <w:spacing w:after="0" w:line="344" w:lineRule="auto"/>
        <w:rPr>
          <w:sz w:val="20"/>
          <w:szCs w:val="20"/>
          <w:color w:val="auto"/>
        </w:rPr>
      </w:pPr>
      <w:r>
        <w:rPr>
          <w:rFonts w:ascii="Arial" w:cs="Arial" w:eastAsia="Arial" w:hAnsi="Arial"/>
          <w:sz w:val="17"/>
          <w:szCs w:val="17"/>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7" w:lineRule="exact"/>
        <w:rPr>
          <w:sz w:val="20"/>
          <w:szCs w:val="20"/>
          <w:color w:val="auto"/>
        </w:rPr>
      </w:pPr>
    </w:p>
    <w:p>
      <w:pPr>
        <w:ind w:right="820" w:firstLine="357"/>
        <w:spacing w:after="0" w:line="283" w:lineRule="auto"/>
        <w:rPr>
          <w:sz w:val="20"/>
          <w:szCs w:val="20"/>
          <w:color w:val="auto"/>
        </w:rPr>
      </w:pPr>
      <w:r>
        <w:rPr>
          <w:rFonts w:ascii="Arial" w:cs="Arial" w:eastAsia="Arial" w:hAnsi="Arial"/>
          <w:sz w:val="19"/>
          <w:szCs w:val="19"/>
          <w:color w:val="auto"/>
        </w:rPr>
        <w:t xml:space="preserve">Under IFRS 11 </w:t>
      </w:r>
      <w:r>
        <w:rPr>
          <w:rFonts w:ascii="Arial" w:cs="Arial" w:eastAsia="Arial" w:hAnsi="Arial"/>
          <w:sz w:val="19"/>
          <w:szCs w:val="19"/>
          <w:i w:val="1"/>
          <w:iCs w:val="1"/>
          <w:color w:val="auto"/>
        </w:rPr>
        <w:t>Joint Arrangements,</w:t>
      </w:r>
      <w:r>
        <w:rPr>
          <w:rFonts w:ascii="Arial" w:cs="Arial" w:eastAsia="Arial" w:hAnsi="Arial"/>
          <w:sz w:val="19"/>
          <w:szCs w:val="19"/>
          <w:color w:val="auto"/>
        </w:rPr>
        <w:t xml:space="preserve"> investments in joint arrangements are classified as either joint operations or joint ventures. The classification depends on the contractual rights and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46" w:name="page147"/>
    <w:bookmarkEnd w:id="146"/>
    <w:p>
      <w:pPr>
        <w:spacing w:after="0" w:line="259" w:lineRule="auto"/>
        <w:rPr>
          <w:sz w:val="20"/>
          <w:szCs w:val="20"/>
          <w:color w:val="auto"/>
        </w:rPr>
      </w:pPr>
      <w:r>
        <w:rPr>
          <w:rFonts w:ascii="Arial" w:cs="Arial" w:eastAsia="Arial" w:hAnsi="Arial"/>
          <w:sz w:val="19"/>
          <w:szCs w:val="19"/>
          <w:color w:val="auto"/>
        </w:rPr>
        <w:t>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Limited is a joint venture. Interests in joint ventures are accounted for using the equity method (see Investment in associates above), after initially being recognized at cost in the consolidated statement of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19"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Lease income from operating leases of vessels where the Group is a lessor is recognised in profit or loss on a straight-line basis over the lease term. The respective leased assets are included in the statement of financial position based on their nature under “Tangible fixed assets”.</w:t>
      </w:r>
    </w:p>
    <w:p>
      <w:pPr>
        <w:spacing w:after="0" w:line="7"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Leases of property, plant and equipment where the Group, as lessee, has substantially all the risks and rewards of ownership are classified as finance leases. Finance leases are capitalised at the lease’s inception at the fair value of the leased property or, if lower, the present value of the minimum lease payments, discounted at the interest rate implicit in the lease, if practicable, or else at the Group’s incremental borrowing rate. The corresponding rental obligations, net of finance charges, are included in current and non-current liabilities as finance lease liabilities. Each lease payment is allocated between the liability and finance cost. The finance cost is charged to profit or loss over the lease period so as to produce a constant periodic rate of interest on the remaining balance of the liability for each period. The property, plant and equipment acquired under finance leases is depreciated over the asset’s useful life or over the shorter of the asset’s useful life and the lease term if there is no reasonable certainty that the Group will obtain ownership at the end of the lease term.</w:t>
      </w:r>
    </w:p>
    <w:p>
      <w:pPr>
        <w:spacing w:after="0" w:line="68"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Leases in which a significant portion of the risks and rewards of ownership are not transferred to the Group as lessee are classified as operating leases. Payments made under operating leases (net of any incentives received from the lessor) are charged to profit or loss on a straight-line basis over the period of the lease.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for revenues and related operating expenses</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Group’s revenues comprise revenues from time charters for the charter hire of its vessels, gross pool revenues, management fees, project supervision income and other income earned during the period in accordance with existing contracts.</w:t>
      </w:r>
    </w:p>
    <w:p>
      <w:pPr>
        <w:spacing w:after="0" w:line="52"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52"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Pool revenues are recognized on a gross basis representing time charter revenues earned by GasLog vessels participating in the pool under charter agreements where GasLog contracts directly with charterers. Revenue is recognised on a monthly basis, when the vessel is made available and services are provided to the charterer during the period, the amount can be estimated reliably and collection of the related revenue is reasonably assured.</w:t>
      </w:r>
    </w:p>
    <w:p>
      <w:pPr>
        <w:spacing w:after="0" w:line="72"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63" w:lineRule="exact"/>
        <w:rPr>
          <w:sz w:val="20"/>
          <w:szCs w:val="20"/>
          <w:color w:val="auto"/>
        </w:rPr>
      </w:pPr>
    </w:p>
    <w:p>
      <w:pPr>
        <w:ind w:left="5540" w:right="1080" w:hanging="5165"/>
        <w:spacing w:after="0" w:line="401" w:lineRule="auto"/>
        <w:rPr>
          <w:sz w:val="20"/>
          <w:szCs w:val="20"/>
          <w:color w:val="auto"/>
        </w:rPr>
      </w:pPr>
      <w:r>
        <w:rPr>
          <w:rFonts w:ascii="Arial" w:cs="Arial" w:eastAsia="Arial" w:hAnsi="Arial"/>
          <w:sz w:val="19"/>
          <w:szCs w:val="19"/>
          <w:color w:val="auto"/>
        </w:rPr>
        <w:t>Time charter hires received in advance are classified as liabilities until the criteria for recognizing the revenue as earned are met.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47" w:name="page148"/>
    <w:bookmarkEnd w:id="147"/>
    <w:p>
      <w:pPr>
        <w:jc w:val="both"/>
        <w:ind w:right="380" w:firstLine="357"/>
        <w:spacing w:after="0" w:line="267" w:lineRule="auto"/>
        <w:rPr>
          <w:sz w:val="20"/>
          <w:szCs w:val="20"/>
          <w:color w:val="auto"/>
        </w:rPr>
      </w:pPr>
      <w:r>
        <w:rPr>
          <w:rFonts w:ascii="Arial" w:cs="Arial" w:eastAsia="Arial" w:hAnsi="Arial"/>
          <w:sz w:val="19"/>
          <w:szCs w:val="19"/>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for voyage expenses and commissions</w:t>
      </w:r>
    </w:p>
    <w:p>
      <w:pPr>
        <w:spacing w:after="0" w:line="119" w:lineRule="exact"/>
        <w:rPr>
          <w:sz w:val="20"/>
          <w:szCs w:val="20"/>
          <w:color w:val="auto"/>
        </w:rPr>
      </w:pPr>
    </w:p>
    <w:p>
      <w:pPr>
        <w:ind w:right="360" w:firstLine="357"/>
        <w:spacing w:after="0" w:line="267" w:lineRule="auto"/>
        <w:rPr>
          <w:sz w:val="20"/>
          <w:szCs w:val="20"/>
          <w:color w:val="auto"/>
        </w:rPr>
      </w:pPr>
      <w:r>
        <w:rPr>
          <w:rFonts w:ascii="Arial" w:cs="Arial" w:eastAsia="Arial" w:hAnsi="Arial"/>
          <w:sz w:val="19"/>
          <w:szCs w:val="19"/>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68"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Furthermore, in relation to the vessels participating in the Cool Pool, 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income and costs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recognized on an accrual basis. Dividend income is recognized when the right to receive payment is established.</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Interest expense, other borrowing costs and realized loss on interest rate swaps are recognized on an accrual basis.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currencies</w:t>
      </w:r>
    </w:p>
    <w:p>
      <w:pPr>
        <w:spacing w:after="0" w:line="119"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financing costs for undrawn facilities</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Deferred financing costs are deferred and amortized to financial costs over the term of the relevant loan, using the effective interest method.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When the relevant loan is terminated or extinguished, the unamortized loan fees are written-off in the consolidated statement of profit or loss.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Vessels under construction</w:t>
      </w:r>
    </w:p>
    <w:p>
      <w:pPr>
        <w:spacing w:after="0" w:line="119" w:lineRule="exact"/>
        <w:rPr>
          <w:sz w:val="20"/>
          <w:szCs w:val="20"/>
          <w:color w:val="auto"/>
        </w:rPr>
      </w:pPr>
    </w:p>
    <w:p>
      <w:pPr>
        <w:ind w:right="260" w:firstLine="357"/>
        <w:spacing w:after="0" w:line="344" w:lineRule="auto"/>
        <w:rPr>
          <w:sz w:val="20"/>
          <w:szCs w:val="20"/>
          <w:color w:val="auto"/>
        </w:rPr>
      </w:pPr>
      <w:r>
        <w:rPr>
          <w:rFonts w:ascii="Arial" w:cs="Arial" w:eastAsia="Arial" w:hAnsi="Arial"/>
          <w:sz w:val="17"/>
          <w:szCs w:val="17"/>
          <w:color w:val="auto"/>
        </w:rPr>
        <w:t>Vessels under construction are presented at cost less identified impairment losses, if any. Costs include shipyard installment payments and other vessel costs incurred during the construction period that are directly attributable to the acquisition or construction of the vessels.</w:t>
      </w:r>
    </w:p>
    <w:p>
      <w:pPr>
        <w:spacing w:after="0" w:line="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Upon completion of the construction, the vessels are presented on the statement of financial position in accordance with the “Tangible fixed assets: Property, plant and equipment” policy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Tangible fixed assets: Property, plant and equipment</w:t>
      </w:r>
    </w:p>
    <w:p>
      <w:pPr>
        <w:spacing w:after="0" w:line="119"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Tangible fixed assets are stated at cost less accumulated depreciation and any accumulated impairment loss. The initial cost of an asset comprises its purchase price and any directly attributable costs of bringing the asset to its working condition.</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148" w:name="page149"/>
    <w:bookmarkEnd w:id="148"/>
    <w:p>
      <w:pPr>
        <w:ind w:right="80" w:firstLine="357"/>
        <w:spacing w:after="0" w:line="259" w:lineRule="auto"/>
        <w:rPr>
          <w:sz w:val="20"/>
          <w:szCs w:val="20"/>
          <w:color w:val="auto"/>
        </w:rPr>
      </w:pPr>
      <w:r>
        <w:rPr>
          <w:rFonts w:ascii="Arial" w:cs="Arial" w:eastAsia="Arial" w:hAnsi="Arial"/>
          <w:sz w:val="19"/>
          <w:szCs w:val="19"/>
          <w:color w:val="auto"/>
        </w:rPr>
        <w:t>The cost of a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77" w:lineRule="exact"/>
        <w:rPr>
          <w:sz w:val="20"/>
          <w:szCs w:val="20"/>
          <w:color w:val="auto"/>
        </w:rPr>
      </w:pPr>
    </w:p>
    <w:p>
      <w:pPr>
        <w:ind w:right="240" w:firstLine="357"/>
        <w:spacing w:after="0" w:line="258" w:lineRule="auto"/>
        <w:rPr>
          <w:sz w:val="20"/>
          <w:szCs w:val="20"/>
          <w:color w:val="auto"/>
        </w:rPr>
      </w:pPr>
      <w:r>
        <w:rPr>
          <w:rFonts w:ascii="Arial" w:cs="Arial" w:eastAsia="Arial" w:hAnsi="Arial"/>
          <w:sz w:val="19"/>
          <w:szCs w:val="19"/>
          <w:color w:val="auto"/>
        </w:rPr>
        <w:t>The LNG vessels are required to undergo a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w:t>
      </w:r>
    </w:p>
    <w:p>
      <w:pPr>
        <w:spacing w:after="0" w:line="76"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expected useful lives of all long-lived assets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Vessel</w:t>
            </w:r>
          </w:p>
        </w:tc>
        <w:tc>
          <w:tcPr>
            <w:tcW w:w="3460" w:type="dxa"/>
            <w:vAlign w:val="bottom"/>
            <w:vMerge w:val="restart"/>
          </w:tcPr>
          <w:p>
            <w:pPr>
              <w:ind w:left="300"/>
              <w:spacing w:after="0"/>
              <w:rPr>
                <w:sz w:val="20"/>
                <w:szCs w:val="20"/>
                <w:color w:val="auto"/>
              </w:rPr>
            </w:pPr>
            <w:r>
              <w:rPr>
                <w:rFonts w:ascii="Arial" w:cs="Arial" w:eastAsia="Arial" w:hAnsi="Arial"/>
                <w:sz w:val="19"/>
                <w:szCs w:val="19"/>
                <w:color w:val="auto"/>
              </w:rPr>
              <w:t>35 years</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9"/>
                <w:szCs w:val="19"/>
                <w:color w:val="auto"/>
              </w:rPr>
              <w:t>LNG vessel component</w:t>
            </w: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9"/>
                <w:szCs w:val="19"/>
                <w:color w:val="auto"/>
              </w:rPr>
              <w:t>Dry-docking component</w:t>
            </w:r>
          </w:p>
        </w:tc>
        <w:tc>
          <w:tcPr>
            <w:tcW w:w="3460" w:type="dxa"/>
            <w:vAlign w:val="bottom"/>
          </w:tcPr>
          <w:p>
            <w:pPr>
              <w:ind w:left="300"/>
              <w:spacing w:after="0"/>
              <w:rPr>
                <w:sz w:val="20"/>
                <w:szCs w:val="20"/>
                <w:color w:val="auto"/>
              </w:rPr>
            </w:pPr>
            <w:r>
              <w:rPr>
                <w:rFonts w:ascii="Arial" w:cs="Arial" w:eastAsia="Arial" w:hAnsi="Arial"/>
                <w:sz w:val="19"/>
                <w:szCs w:val="19"/>
                <w:color w:val="auto"/>
              </w:rPr>
              <w:t>5 years</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9"/>
                <w:szCs w:val="19"/>
                <w:color w:val="auto"/>
              </w:rPr>
              <w:t>Furniture, computer, software and other office equipment</w:t>
            </w:r>
          </w:p>
        </w:tc>
        <w:tc>
          <w:tcPr>
            <w:tcW w:w="3460" w:type="dxa"/>
            <w:vAlign w:val="bottom"/>
          </w:tcPr>
          <w:p>
            <w:pPr>
              <w:ind w:left="300"/>
              <w:spacing w:after="0"/>
              <w:rPr>
                <w:sz w:val="20"/>
                <w:szCs w:val="20"/>
                <w:color w:val="auto"/>
              </w:rPr>
            </w:pPr>
            <w:r>
              <w:rPr>
                <w:rFonts w:ascii="Arial" w:cs="Arial" w:eastAsia="Arial" w:hAnsi="Arial"/>
                <w:sz w:val="19"/>
                <w:szCs w:val="19"/>
                <w:color w:val="auto"/>
              </w:rPr>
              <w:t>3-5 years</w:t>
            </w:r>
          </w:p>
        </w:tc>
        <w:tc>
          <w:tcPr>
            <w:tcW w:w="0" w:type="dxa"/>
            <w:vAlign w:val="bottom"/>
          </w:tcPr>
          <w:p>
            <w:pPr>
              <w:spacing w:after="0"/>
              <w:rPr>
                <w:sz w:val="1"/>
                <w:szCs w:val="1"/>
                <w:color w:val="auto"/>
              </w:rPr>
            </w:pPr>
          </w:p>
        </w:tc>
      </w:tr>
      <w:tr>
        <w:trPr>
          <w:trHeight w:val="247"/>
        </w:trPr>
        <w:tc>
          <w:tcPr>
            <w:tcW w:w="6700" w:type="dxa"/>
            <w:vAlign w:val="bottom"/>
          </w:tcPr>
          <w:p>
            <w:pPr>
              <w:spacing w:after="0"/>
              <w:rPr>
                <w:sz w:val="20"/>
                <w:szCs w:val="20"/>
                <w:color w:val="auto"/>
              </w:rPr>
            </w:pPr>
            <w:r>
              <w:rPr>
                <w:rFonts w:ascii="Arial" w:cs="Arial" w:eastAsia="Arial" w:hAnsi="Arial"/>
                <w:sz w:val="19"/>
                <w:szCs w:val="19"/>
                <w:color w:val="auto"/>
              </w:rPr>
              <w:t>Leasehold improvements</w:t>
            </w:r>
          </w:p>
        </w:tc>
        <w:tc>
          <w:tcPr>
            <w:tcW w:w="3460" w:type="dxa"/>
            <w:vAlign w:val="bottom"/>
          </w:tcPr>
          <w:p>
            <w:pPr>
              <w:ind w:left="300"/>
              <w:spacing w:after="0"/>
              <w:rPr>
                <w:sz w:val="20"/>
                <w:szCs w:val="20"/>
                <w:color w:val="auto"/>
              </w:rPr>
            </w:pPr>
            <w:r>
              <w:rPr>
                <w:rFonts w:ascii="Arial" w:cs="Arial" w:eastAsia="Arial" w:hAnsi="Arial"/>
                <w:sz w:val="19"/>
                <w:szCs w:val="19"/>
                <w:color w:val="auto"/>
                <w:w w:val="91"/>
              </w:rPr>
              <w:t>12 years (or remaining term of the lease)</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5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profit or loss in the period of the change and future periods.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Ordinary maintenance and repairs that do not extend the useful life of the asset are expensed as incurred.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When assets are sold, they are derecognized and any gain or loss resulting from their disposal is included in profit or loss.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tangible fixed assets, vessels under construction and vessel held under finance lease</w:t>
      </w:r>
    </w:p>
    <w:p>
      <w:pPr>
        <w:spacing w:after="0" w:line="11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49" w:name="page150"/>
    <w:bookmarkEnd w:id="149"/>
    <w:p>
      <w:pPr>
        <w:ind w:right="60"/>
        <w:spacing w:after="0" w:line="281" w:lineRule="auto"/>
        <w:rPr>
          <w:sz w:val="20"/>
          <w:szCs w:val="20"/>
          <w:color w:val="auto"/>
        </w:rPr>
      </w:pPr>
      <w:r>
        <w:rPr>
          <w:rFonts w:ascii="Arial" w:cs="Arial" w:eastAsia="Arial" w:hAnsi="Arial"/>
          <w:sz w:val="18"/>
          <w:szCs w:val="18"/>
          <w:color w:val="auto"/>
        </w:rPr>
        <w:t>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Provisions</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Inventories</w:t>
      </w:r>
    </w:p>
    <w:p>
      <w:pPr>
        <w:spacing w:after="0" w:line="106"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Inventories represent lubricants on board the vessel and in the event of vessels unemployment the bunkers on board the vessel. Inventories are stated at the lower of cost calculated on a first in, first out basis, and net realizable value.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instruments</w:t>
      </w:r>
    </w:p>
    <w:p>
      <w:pPr>
        <w:spacing w:after="0" w:line="119" w:lineRule="exact"/>
        <w:rPr>
          <w:sz w:val="20"/>
          <w:szCs w:val="20"/>
          <w:color w:val="auto"/>
        </w:rPr>
      </w:pPr>
    </w:p>
    <w:p>
      <w:pPr>
        <w:jc w:val="both"/>
        <w:ind w:right="220" w:firstLine="357"/>
        <w:spacing w:after="0" w:line="262" w:lineRule="auto"/>
        <w:rPr>
          <w:sz w:val="20"/>
          <w:szCs w:val="20"/>
          <w:color w:val="auto"/>
        </w:rPr>
      </w:pPr>
      <w:r>
        <w:rPr>
          <w:rFonts w:ascii="Arial" w:cs="Arial" w:eastAsia="Arial" w:hAnsi="Arial"/>
          <w:sz w:val="19"/>
          <w:szCs w:val="19"/>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53" w:lineRule="exact"/>
        <w:rPr>
          <w:sz w:val="20"/>
          <w:szCs w:val="20"/>
          <w:color w:val="auto"/>
        </w:rPr>
      </w:pPr>
    </w:p>
    <w:p>
      <w:pPr>
        <w:ind w:left="540" w:hanging="168"/>
        <w:spacing w:after="0"/>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b w:val="1"/>
          <w:bCs w:val="1"/>
          <w:color w:val="auto"/>
        </w:rPr>
        <w:t>Cash and cash equivalents</w:t>
      </w:r>
    </w:p>
    <w:p>
      <w:pPr>
        <w:spacing w:after="0" w:line="125" w:lineRule="exact"/>
        <w:rPr>
          <w:sz w:val="20"/>
          <w:szCs w:val="20"/>
          <w:color w:val="auto"/>
        </w:rPr>
      </w:pPr>
    </w:p>
    <w:p>
      <w:pPr>
        <w:ind w:left="360" w:right="60"/>
        <w:spacing w:after="0" w:line="267" w:lineRule="auto"/>
        <w:rPr>
          <w:sz w:val="20"/>
          <w:szCs w:val="20"/>
          <w:color w:val="auto"/>
        </w:rPr>
      </w:pPr>
      <w:r>
        <w:rPr>
          <w:rFonts w:ascii="Arial" w:cs="Arial" w:eastAsia="Arial" w:hAnsi="Arial"/>
          <w:sz w:val="19"/>
          <w:szCs w:val="19"/>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48" w:lineRule="exact"/>
        <w:rPr>
          <w:sz w:val="20"/>
          <w:szCs w:val="20"/>
          <w:color w:val="auto"/>
        </w:rPr>
      </w:pPr>
    </w:p>
    <w:p>
      <w:pPr>
        <w:ind w:left="540" w:hanging="168"/>
        <w:spacing w:after="0"/>
        <w:tabs>
          <w:tab w:leader="none" w:pos="540"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Restricted cash</w:t>
      </w:r>
    </w:p>
    <w:p>
      <w:pPr>
        <w:spacing w:after="0" w:line="139" w:lineRule="exact"/>
        <w:rPr>
          <w:sz w:val="20"/>
          <w:szCs w:val="20"/>
          <w:color w:val="auto"/>
        </w:rPr>
      </w:pPr>
    </w:p>
    <w:p>
      <w:pPr>
        <w:ind w:left="360"/>
        <w:spacing w:after="0" w:line="283" w:lineRule="auto"/>
        <w:rPr>
          <w:sz w:val="20"/>
          <w:szCs w:val="20"/>
          <w:color w:val="auto"/>
        </w:rPr>
      </w:pPr>
      <w:r>
        <w:rPr>
          <w:rFonts w:ascii="Arial" w:cs="Arial" w:eastAsia="Arial" w:hAnsi="Arial"/>
          <w:sz w:val="19"/>
          <w:szCs w:val="19"/>
          <w:color w:val="auto"/>
        </w:rPr>
        <w:t>Restricted cash comprises cash held that is not available for use by the Group including cash held in blocked accounts in order to comply with the covenants under the Group’s credit facilities.</w:t>
      </w:r>
    </w:p>
    <w:p>
      <w:pPr>
        <w:spacing w:after="0" w:line="32" w:lineRule="exact"/>
        <w:rPr>
          <w:sz w:val="20"/>
          <w:szCs w:val="20"/>
          <w:color w:val="auto"/>
        </w:rPr>
      </w:pPr>
    </w:p>
    <w:p>
      <w:pPr>
        <w:ind w:left="540" w:hanging="168"/>
        <w:spacing w:after="0"/>
        <w:tabs>
          <w:tab w:leader="none" w:pos="540"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Short-term investments</w:t>
      </w:r>
    </w:p>
    <w:p>
      <w:pPr>
        <w:spacing w:after="0" w:line="125" w:lineRule="exact"/>
        <w:rPr>
          <w:sz w:val="20"/>
          <w:szCs w:val="20"/>
          <w:color w:val="auto"/>
        </w:rPr>
      </w:pPr>
    </w:p>
    <w:p>
      <w:pPr>
        <w:jc w:val="both"/>
        <w:ind w:left="360" w:right="120"/>
        <w:spacing w:after="0" w:line="267" w:lineRule="auto"/>
        <w:rPr>
          <w:sz w:val="20"/>
          <w:szCs w:val="20"/>
          <w:color w:val="auto"/>
        </w:rPr>
      </w:pPr>
      <w:r>
        <w:rPr>
          <w:rFonts w:ascii="Arial" w:cs="Arial" w:eastAsia="Arial" w:hAnsi="Arial"/>
          <w:sz w:val="19"/>
          <w:szCs w:val="19"/>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48" w:lineRule="exact"/>
        <w:rPr>
          <w:sz w:val="20"/>
          <w:szCs w:val="20"/>
          <w:color w:val="auto"/>
        </w:rPr>
      </w:pPr>
    </w:p>
    <w:p>
      <w:pPr>
        <w:ind w:left="540" w:hanging="168"/>
        <w:spacing w:after="0"/>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Trade receivables</w:t>
      </w:r>
    </w:p>
    <w:p>
      <w:pPr>
        <w:spacing w:after="0" w:line="139" w:lineRule="exact"/>
        <w:rPr>
          <w:sz w:val="20"/>
          <w:szCs w:val="20"/>
          <w:color w:val="auto"/>
        </w:rPr>
      </w:pPr>
    </w:p>
    <w:p>
      <w:pPr>
        <w:ind w:left="360" w:right="440"/>
        <w:spacing w:after="0" w:line="283" w:lineRule="auto"/>
        <w:rPr>
          <w:sz w:val="20"/>
          <w:szCs w:val="20"/>
          <w:color w:val="auto"/>
        </w:rPr>
      </w:pPr>
      <w:r>
        <w:rPr>
          <w:rFonts w:ascii="Arial" w:cs="Arial" w:eastAsia="Arial" w:hAnsi="Arial"/>
          <w:sz w:val="19"/>
          <w:szCs w:val="19"/>
          <w:color w:val="auto"/>
        </w:rPr>
        <w:t>Trade receivables are carried at the amount expected to be received from the third party to settle the obligation. Bad debts are written off during the period in which they are identified.</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50" w:name="page151"/>
    <w:bookmarkEnd w:id="150"/>
    <w:p>
      <w:pPr>
        <w:ind w:left="360"/>
        <w:spacing w:after="0"/>
        <w:rPr>
          <w:sz w:val="20"/>
          <w:szCs w:val="20"/>
          <w:color w:val="auto"/>
        </w:rPr>
      </w:pPr>
      <w:r>
        <w:rPr>
          <w:rFonts w:ascii="Arial" w:cs="Arial" w:eastAsia="Arial" w:hAnsi="Arial"/>
          <w:sz w:val="19"/>
          <w:szCs w:val="19"/>
          <w:color w:val="auto"/>
        </w:rPr>
        <w:t>An estimate is made for doubtful receivables based on a review of all outstanding amounts at each reporting date.</w:t>
      </w:r>
    </w:p>
    <w:p>
      <w:pPr>
        <w:spacing w:after="0" w:line="100" w:lineRule="exact"/>
        <w:rPr>
          <w:sz w:val="20"/>
          <w:szCs w:val="20"/>
          <w:color w:val="auto"/>
        </w:rPr>
      </w:pPr>
    </w:p>
    <w:p>
      <w:pPr>
        <w:ind w:left="540" w:hanging="168"/>
        <w:spacing w:after="0"/>
        <w:tabs>
          <w:tab w:leader="none" w:pos="540"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Borrowings</w:t>
      </w:r>
    </w:p>
    <w:p>
      <w:pPr>
        <w:spacing w:after="0" w:line="139" w:lineRule="exact"/>
        <w:rPr>
          <w:sz w:val="20"/>
          <w:szCs w:val="20"/>
          <w:color w:val="auto"/>
        </w:rPr>
      </w:pPr>
    </w:p>
    <w:p>
      <w:pPr>
        <w:ind w:left="360" w:right="120"/>
        <w:spacing w:after="0" w:line="312" w:lineRule="auto"/>
        <w:rPr>
          <w:sz w:val="20"/>
          <w:szCs w:val="20"/>
          <w:color w:val="auto"/>
        </w:rPr>
      </w:pPr>
      <w:r>
        <w:rPr>
          <w:rFonts w:ascii="Arial" w:cs="Arial" w:eastAsia="Arial" w:hAnsi="Arial"/>
          <w:sz w:val="18"/>
          <w:szCs w:val="18"/>
          <w:color w:val="auto"/>
        </w:rPr>
        <w:t>Borrowings are measured at amortized cost, using the effective interest rate method. Any difference between the proceeds (net of transaction costs) and the settlement of the borrowings is recognized in the statement of profit or loss over the term of the borrowings.</w:t>
      </w:r>
    </w:p>
    <w:p>
      <w:pPr>
        <w:spacing w:after="0" w:line="10" w:lineRule="exact"/>
        <w:rPr>
          <w:sz w:val="20"/>
          <w:szCs w:val="20"/>
          <w:color w:val="auto"/>
        </w:rPr>
      </w:pPr>
    </w:p>
    <w:p>
      <w:pPr>
        <w:ind w:left="540" w:hanging="168"/>
        <w:spacing w:after="0"/>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b w:val="1"/>
          <w:bCs w:val="1"/>
          <w:color w:val="auto"/>
        </w:rPr>
        <w:t>Derivative financial instruments</w:t>
      </w:r>
    </w:p>
    <w:p>
      <w:pPr>
        <w:spacing w:after="0" w:line="125" w:lineRule="exact"/>
        <w:rPr>
          <w:sz w:val="20"/>
          <w:szCs w:val="20"/>
          <w:color w:val="auto"/>
        </w:rPr>
      </w:pPr>
    </w:p>
    <w:p>
      <w:pPr>
        <w:ind w:left="360" w:right="240"/>
        <w:spacing w:after="0" w:line="283" w:lineRule="auto"/>
        <w:rPr>
          <w:sz w:val="20"/>
          <w:szCs w:val="20"/>
          <w:color w:val="auto"/>
        </w:rPr>
      </w:pPr>
      <w:r>
        <w:rPr>
          <w:rFonts w:ascii="Arial" w:cs="Arial" w:eastAsia="Arial" w:hAnsi="Arial"/>
          <w:sz w:val="19"/>
          <w:szCs w:val="19"/>
          <w:color w:val="auto"/>
        </w:rPr>
        <w:t>The Group enters into a variety of derivative financial instruments to economically hedge its exposure to interest rate and foreign exchange rate risks, including interest rate swaps and cross currency swaps.</w:t>
      </w:r>
    </w:p>
    <w:p>
      <w:pPr>
        <w:spacing w:after="0" w:line="52" w:lineRule="exact"/>
        <w:rPr>
          <w:sz w:val="20"/>
          <w:szCs w:val="20"/>
          <w:color w:val="auto"/>
        </w:rPr>
      </w:pPr>
    </w:p>
    <w:p>
      <w:pPr>
        <w:ind w:left="360" w:right="200"/>
        <w:spacing w:after="0" w:line="259" w:lineRule="auto"/>
        <w:rPr>
          <w:sz w:val="20"/>
          <w:szCs w:val="20"/>
          <w:color w:val="auto"/>
        </w:rPr>
      </w:pPr>
      <w:r>
        <w:rPr>
          <w:rFonts w:ascii="Arial" w:cs="Arial" w:eastAsia="Arial" w:hAnsi="Arial"/>
          <w:sz w:val="19"/>
          <w:szCs w:val="19"/>
          <w:color w:val="auto"/>
        </w:rPr>
        <w:t>Derivative financial instruments are initially recognized at fair value,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77" w:lineRule="exact"/>
        <w:rPr>
          <w:sz w:val="20"/>
          <w:szCs w:val="20"/>
          <w:color w:val="auto"/>
        </w:rPr>
      </w:pPr>
    </w:p>
    <w:p>
      <w:pPr>
        <w:ind w:left="360" w:right="40"/>
        <w:spacing w:after="0" w:line="281" w:lineRule="auto"/>
        <w:rPr>
          <w:sz w:val="20"/>
          <w:szCs w:val="20"/>
          <w:color w:val="auto"/>
        </w:rPr>
      </w:pPr>
      <w:r>
        <w:rPr>
          <w:rFonts w:ascii="Arial" w:cs="Arial" w:eastAsia="Arial" w:hAnsi="Arial"/>
          <w:sz w:val="18"/>
          <w:szCs w:val="18"/>
          <w:color w:val="auto"/>
        </w:rPr>
        <w:t>The Group’s 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57" w:lineRule="exact"/>
        <w:rPr>
          <w:sz w:val="20"/>
          <w:szCs w:val="20"/>
          <w:color w:val="auto"/>
        </w:rPr>
      </w:pPr>
    </w:p>
    <w:p>
      <w:pPr>
        <w:ind w:left="360"/>
        <w:spacing w:after="0" w:line="258" w:lineRule="auto"/>
        <w:rPr>
          <w:sz w:val="20"/>
          <w:szCs w:val="20"/>
          <w:color w:val="auto"/>
        </w:rPr>
      </w:pPr>
      <w:r>
        <w:rPr>
          <w:rFonts w:ascii="Arial" w:cs="Arial" w:eastAsia="Arial" w:hAnsi="Arial"/>
          <w:sz w:val="19"/>
          <w:szCs w:val="19"/>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w:t>
      </w:r>
    </w:p>
    <w:p>
      <w:pPr>
        <w:spacing w:after="0" w:line="76" w:lineRule="exact"/>
        <w:rPr>
          <w:sz w:val="20"/>
          <w:szCs w:val="20"/>
          <w:color w:val="auto"/>
        </w:rPr>
      </w:pPr>
    </w:p>
    <w:p>
      <w:pPr>
        <w:ind w:left="360" w:right="60"/>
        <w:spacing w:after="0" w:line="262" w:lineRule="auto"/>
        <w:rPr>
          <w:sz w:val="20"/>
          <w:szCs w:val="20"/>
          <w:color w:val="auto"/>
        </w:rPr>
      </w:pPr>
      <w:r>
        <w:rPr>
          <w:rFonts w:ascii="Arial" w:cs="Arial" w:eastAsia="Arial" w:hAnsi="Arial"/>
          <w:sz w:val="19"/>
          <w:szCs w:val="19"/>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53" w:lineRule="exact"/>
        <w:rPr>
          <w:sz w:val="20"/>
          <w:szCs w:val="20"/>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Finance lease liabilities</w:t>
      </w:r>
    </w:p>
    <w:p>
      <w:pPr>
        <w:spacing w:after="0" w:line="139" w:lineRule="exact"/>
        <w:rPr>
          <w:sz w:val="20"/>
          <w:szCs w:val="20"/>
          <w:color w:val="auto"/>
        </w:rPr>
      </w:pPr>
    </w:p>
    <w:p>
      <w:pPr>
        <w:ind w:left="360" w:right="80"/>
        <w:spacing w:after="0" w:line="262" w:lineRule="auto"/>
        <w:rPr>
          <w:sz w:val="20"/>
          <w:szCs w:val="20"/>
          <w:color w:val="auto"/>
        </w:rPr>
      </w:pPr>
      <w:r>
        <w:rPr>
          <w:rFonts w:ascii="Arial" w:cs="Arial" w:eastAsia="Arial" w:hAnsi="Arial"/>
          <w:sz w:val="19"/>
          <w:szCs w:val="19"/>
          <w:color w:val="auto"/>
        </w:rPr>
        <w:t>Finance lease liabilities are initially measured at the fair value of the leased property or, if lower, the present value of the minimum lease payments—discounted at the interest rate implicit in the lease, if practicable, or else at the entity’s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19"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The information provided to the Group’s chief operating decision maker (the “CODM”) being the Chief Executive Officer, to review the Group’s operating results and allocate resources, is on a</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151" w:name="page152"/>
    <w:bookmarkEnd w:id="151"/>
    <w:p>
      <w:pPr>
        <w:ind w:right="200"/>
        <w:spacing w:after="0" w:line="283" w:lineRule="auto"/>
        <w:rPr>
          <w:sz w:val="20"/>
          <w:szCs w:val="20"/>
          <w:color w:val="auto"/>
        </w:rPr>
      </w:pPr>
      <w:r>
        <w:rPr>
          <w:rFonts w:ascii="Arial" w:cs="Arial" w:eastAsia="Arial" w:hAnsi="Arial"/>
          <w:sz w:val="19"/>
          <w:szCs w:val="19"/>
          <w:color w:val="auto"/>
        </w:rPr>
        <w:t>consolidated basis for a single reportable segment. Furthermore, when the Group charters a vessel to a charterer, the charterer is free to trade the vessel worldwide and, as a result, the disclosure of geographic information is impracticable.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Share-based compensation to employees and others providing similar services are measured at the fair value of the equity instruments on the grant date. Details regarding the determination of the fair value of share-based transactions are set out in Note 21.</w:t>
      </w:r>
    </w:p>
    <w:p>
      <w:pPr>
        <w:spacing w:after="0" w:line="5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accounting judgments and key sources of estimation uncertainty</w:t>
      </w:r>
    </w:p>
    <w:p>
      <w:pPr>
        <w:spacing w:after="0" w:line="119"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accounting judgments:</w:t>
      </w:r>
    </w:p>
    <w:p>
      <w:pPr>
        <w:spacing w:after="0" w:line="119"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52" w:lineRule="exact"/>
        <w:rPr>
          <w:sz w:val="20"/>
          <w:szCs w:val="20"/>
          <w:color w:val="auto"/>
        </w:rPr>
      </w:pPr>
    </w:p>
    <w:p>
      <w:pPr>
        <w:ind w:right="100" w:firstLine="357"/>
        <w:spacing w:after="0" w:line="290" w:lineRule="auto"/>
        <w:rPr>
          <w:sz w:val="20"/>
          <w:szCs w:val="20"/>
          <w:color w:val="auto"/>
        </w:rPr>
      </w:pPr>
      <w:r>
        <w:rPr>
          <w:rFonts w:ascii="Arial" w:cs="Arial" w:eastAsia="Arial" w:hAnsi="Arial"/>
          <w:sz w:val="17"/>
          <w:szCs w:val="17"/>
          <w:b w:val="1"/>
          <w:bCs w:val="1"/>
          <w:i w:val="1"/>
          <w:iCs w:val="1"/>
          <w:color w:val="auto"/>
        </w:rPr>
        <w:t xml:space="preserve">Classification of the non-controlling interests: </w:t>
      </w:r>
      <w:r>
        <w:rPr>
          <w:rFonts w:ascii="Arial" w:cs="Arial" w:eastAsia="Arial" w:hAnsi="Arial"/>
          <w:sz w:val="17"/>
          <w:szCs w:val="17"/>
          <w:color w:val="auto"/>
        </w:rPr>
        <w:t>The non-controlling interests in the Partnership comprise the portion of the Partnership’s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units that are not directly or indirectly held by GasLog (24,410,000 units as of December 31, 2016).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55" w:lineRule="exact"/>
        <w:rPr>
          <w:sz w:val="20"/>
          <w:szCs w:val="20"/>
          <w:color w:val="auto"/>
        </w:rPr>
      </w:pPr>
    </w:p>
    <w:p>
      <w:pPr>
        <w:ind w:right="40" w:firstLine="357"/>
        <w:spacing w:after="0" w:line="302" w:lineRule="auto"/>
        <w:rPr>
          <w:sz w:val="20"/>
          <w:szCs w:val="20"/>
          <w:color w:val="auto"/>
        </w:rPr>
      </w:pPr>
      <w:r>
        <w:rPr>
          <w:rFonts w:ascii="Arial" w:cs="Arial" w:eastAsia="Arial" w:hAnsi="Arial"/>
          <w:sz w:val="17"/>
          <w:szCs w:val="17"/>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52" w:name="page153"/>
    <w:bookmarkEnd w:id="152"/>
    <w:p>
      <w:pPr>
        <w:ind w:right="200"/>
        <w:spacing w:after="0" w:line="283" w:lineRule="auto"/>
        <w:rPr>
          <w:sz w:val="20"/>
          <w:szCs w:val="20"/>
          <w:color w:val="auto"/>
        </w:rPr>
      </w:pPr>
      <w:r>
        <w:rPr>
          <w:rFonts w:ascii="Arial" w:cs="Arial" w:eastAsia="Arial" w:hAnsi="Arial"/>
          <w:sz w:val="19"/>
          <w:szCs w:val="19"/>
          <w:color w:val="auto"/>
        </w:rPr>
        <w:t>Accordingly, management has concluded that the non-controlling interests do not represent a contractual obligation on the Partnership to deliver cash and therefore should be classified as equity within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sources of estimation uncertainty are as follows:</w:t>
      </w:r>
    </w:p>
    <w:p>
      <w:pPr>
        <w:spacing w:after="0" w:line="125"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b w:val="1"/>
          <w:bCs w:val="1"/>
          <w:i w:val="1"/>
          <w:iCs w:val="1"/>
          <w:color w:val="auto"/>
        </w:rPr>
        <w:t xml:space="preserve">Vessel lives and residual value: </w:t>
      </w:r>
      <w:r>
        <w:rPr>
          <w:rFonts w:ascii="Arial" w:cs="Arial" w:eastAsia="Arial" w:hAnsi="Arial"/>
          <w:sz w:val="18"/>
          <w:szCs w:val="18"/>
          <w:color w:val="auto"/>
        </w:rPr>
        <w:t>Vessels are stated at cost, less accumulated depreciation. The estimates and assumptions that have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effect on the vessel carrying amount relate to the estimation of the useful life of a LNG vessel of 35 years and the residual value. An increase in the estimated useful life of a vessel or in its residual value would have the effect of decreasing the annual depreciation charge and an increase in the estimated useful life of a vessel would also extend the annual depreciation charge into later periods. A decrease in the useful life of a vessel or its residual value would have the effect of increasing the annual depreciation charge.</w:t>
      </w:r>
    </w:p>
    <w:p>
      <w:pPr>
        <w:spacing w:after="0" w:line="62"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Management estimated residual value of its vessels to be equal to the product of its lightweight tonnage (“LWT”) and an estimated scrap rate per LWT. Effective December 31, 2016, following management’s annual reassessment, the estimated scrap rate per LWT was decreased. This change in estimate is expected to increase the future annual depreciation by $482. The estimated residual value of the ships may not represent the fair market value at any one time partly because market prices of scrap values tend to fluctuate. Management might revise its estimate of the residual values of the ships in the future in response to changing market conditions.</w:t>
      </w:r>
    </w:p>
    <w:p>
      <w:pPr>
        <w:spacing w:after="0" w:line="77"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regulations place significant limitations on the ability of a vessel to trade on a worldwide basis, the vessel’s useful life will be adjusted to end at the date such regulations become effective.</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b w:val="1"/>
          <w:bCs w:val="1"/>
          <w:i w:val="1"/>
          <w:iCs w:val="1"/>
          <w:color w:val="auto"/>
        </w:rPr>
        <w:t xml:space="preserve">Vessel cost: </w:t>
      </w:r>
      <w:r>
        <w:rPr>
          <w:rFonts w:ascii="Arial" w:cs="Arial" w:eastAsia="Arial" w:hAnsi="Arial"/>
          <w:sz w:val="19"/>
          <w:szCs w:val="19"/>
          <w:color w:val="auto"/>
        </w:rPr>
        <w:t>When determining vessel cost, the Group recognizes the installment payments paid to the shipyard or the acquisition price paid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seller for secondhand vessels along with any directly attributable costs of bringing the vessels to their working condition. Directly attributable costs incurred during the vessel construction periods consist of commissions, on-site supervision costs, costs for sea trials, certain critical initial spare parts and equipment, costs directly incurred for negotiating the construction contracts, initial lubricants and other vessel delivery expenses. Any vendor discounts are deducted from the vessel cost. Subsequent expenditures for conversions and major improvements are also capitalized when the recognition criteria are met.</w:t>
      </w:r>
    </w:p>
    <w:p>
      <w:pPr>
        <w:spacing w:after="0" w:line="76" w:lineRule="exact"/>
        <w:rPr>
          <w:sz w:val="20"/>
          <w:szCs w:val="20"/>
          <w:color w:val="auto"/>
        </w:rPr>
      </w:pPr>
    </w:p>
    <w:p>
      <w:pPr>
        <w:ind w:right="200" w:firstLine="357"/>
        <w:spacing w:after="0" w:line="289" w:lineRule="auto"/>
        <w:rPr>
          <w:sz w:val="20"/>
          <w:szCs w:val="20"/>
          <w:color w:val="auto"/>
        </w:rPr>
      </w:pPr>
      <w:r>
        <w:rPr>
          <w:rFonts w:ascii="Arial" w:cs="Arial" w:eastAsia="Arial" w:hAnsi="Arial"/>
          <w:sz w:val="18"/>
          <w:szCs w:val="18"/>
          <w:color w:val="auto"/>
        </w:rPr>
        <w:t>The vessel cost component is depreciated on a straight-line basis over the expected useful life of each vessel, based on the cost of the vessel less its estimated residual value. The Group estimates the useful lives of its vessels to be 35 years from the date of delivery from the shipyard, which management believes is within industry standards and represents the most reasonable useful life for each of the vessels.</w:t>
      </w:r>
    </w:p>
    <w:p>
      <w:pPr>
        <w:spacing w:after="0" w:line="49"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The Group must periodically dry-dock each of the vessels for inspection, repairs and any modifications. At the time of delivery of a ship from the shipyard, the Group estimates the dry-docking component of the cost of the vessel, representing estimated costs to be incurred during the first dry-docking at the dry-dock yard for a special survey and parts and supplies used in making required major repairs that meet the recognition criteria, based on the Group’s historical experience with similar types of vessels. For subsequent dry-dockings actual costs are capitalized when incurred. Costs that will be capitalized as part of the future dry-dockings will include a variety of costs incurred directly attributable to the dry-docking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53" w:name="page154"/>
    <w:bookmarkEnd w:id="153"/>
    <w:p>
      <w:pPr>
        <w:ind w:left="360"/>
        <w:spacing w:after="0"/>
        <w:rPr>
          <w:sz w:val="20"/>
          <w:szCs w:val="20"/>
          <w:color w:val="auto"/>
        </w:rPr>
      </w:pPr>
      <w:r>
        <w:rPr>
          <w:rFonts w:ascii="Arial" w:cs="Arial" w:eastAsia="Arial" w:hAnsi="Arial"/>
          <w:sz w:val="19"/>
          <w:szCs w:val="19"/>
          <w:color w:val="auto"/>
        </w:rPr>
        <w:t>Ordinary maintenance and repairs that do not extend the useful life of the asset are expensed as incurred.</w:t>
      </w:r>
    </w:p>
    <w:p>
      <w:pPr>
        <w:spacing w:after="0" w:line="119" w:lineRule="exact"/>
        <w:rPr>
          <w:sz w:val="20"/>
          <w:szCs w:val="20"/>
          <w:color w:val="auto"/>
        </w:rPr>
      </w:pPr>
    </w:p>
    <w:p>
      <w:pPr>
        <w:ind w:right="140" w:firstLine="357"/>
        <w:spacing w:after="0" w:line="256" w:lineRule="auto"/>
        <w:rPr>
          <w:sz w:val="20"/>
          <w:szCs w:val="20"/>
          <w:color w:val="auto"/>
        </w:rPr>
      </w:pPr>
      <w:r>
        <w:rPr>
          <w:rFonts w:ascii="Arial" w:cs="Arial" w:eastAsia="Arial" w:hAnsi="Arial"/>
          <w:sz w:val="19"/>
          <w:szCs w:val="19"/>
          <w:color w:val="auto"/>
        </w:rPr>
        <w:t>The Group recognizes dry-docking costs as a separate component of the vessel’s carrying amount and amortizes the dry-docking cost on a straight-line basis over the estimated period until the next dry-docking. If the vessel is disposed of before the next dry-docking, the remaining balance of the dry-dock is written-off and forms part of the gain or loss recognized upon disposal of vessels in the period of disposal. The Group expects that its vessels will be required to be dry-docked in approximately 60 months after their delivery from the shipyard, and thereafter every 60 months will be required to undergo special or intermediate surveys and dry-docking for major repairs and maintenance that cannot be performed while the vessels are operating. The Group amortizes its estimated dry-docking expenses for the first special survey over five years, in case of new vessels, and until the next dry-docking for secondhand vessels unless the Group intends to dry-dock the vessels earlier as circumstances arise.</w:t>
      </w:r>
    </w:p>
    <w:p>
      <w:pPr>
        <w:spacing w:after="0" w:line="80" w:lineRule="exact"/>
        <w:rPr>
          <w:sz w:val="20"/>
          <w:szCs w:val="20"/>
          <w:color w:val="auto"/>
        </w:rPr>
      </w:pPr>
    </w:p>
    <w:p>
      <w:pPr>
        <w:jc w:val="both"/>
        <w:ind w:right="600" w:firstLine="357"/>
        <w:spacing w:after="0" w:line="289"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Group evaluates the carrying amounts of its vessels to determine whether there is any indication that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4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 All of these items have been historically volatile. In assessing the fair value less cost to sell of the vessel, the Group obtains vessel valuations from independent and internationally recognized ship brokers on an annual basis or when there is an indication that an asset or assets may be impaired. If an indication of impairment is identified, the need for recognizing an impairment loss is assessed by comparing the carrying amount of the vessel to the higher of the fair value less cost to sell and the value in use.</w:t>
      </w:r>
    </w:p>
    <w:p>
      <w:pPr>
        <w:spacing w:after="0" w:line="68"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Group’s estimates of basic market value assume that the vessels are all in seaworthy condition without a need for repair and if inspected would be certified in class without notations of any kind. The Group’s estimates are based on approximate market values for its vessels that have been received from shipbrokers, which are also commonly used and accepted by the Group’s lenders for determining compliance with the relevant covenants in its credit facilities. Vessel values can be highly volatile, so that the estimates may not be indicative of the current or future basic market value of the Group’s vessels or prices that could be achieved if it were to sell them.</w:t>
      </w:r>
    </w:p>
    <w:p>
      <w:pPr>
        <w:spacing w:after="0" w:line="62" w:lineRule="exact"/>
        <w:rPr>
          <w:sz w:val="20"/>
          <w:szCs w:val="20"/>
          <w:color w:val="auto"/>
        </w:rPr>
      </w:pPr>
    </w:p>
    <w:p>
      <w:pPr>
        <w:ind w:right="120" w:firstLine="357"/>
        <w:spacing w:after="0" w:line="287" w:lineRule="auto"/>
        <w:rPr>
          <w:sz w:val="20"/>
          <w:szCs w:val="20"/>
          <w:color w:val="auto"/>
        </w:rPr>
      </w:pPr>
      <w:r>
        <w:rPr>
          <w:rFonts w:ascii="Arial" w:cs="Arial" w:eastAsia="Arial" w:hAnsi="Arial"/>
          <w:sz w:val="17"/>
          <w:szCs w:val="17"/>
          <w:color w:val="auto"/>
        </w:rPr>
        <w:t>As of December 31, 2016, the carrying amounts of ten vessels were higher than the estimated charter free market value and the Group concluded that events and circumstances triggered the existence of potential impairment of these vessels. As a result, the Group performed the impairment assessment of these vessels by comparing the discounted projected net operating cash flows for these vessels to their carrying values. The significant factors and assumptions the Group used in its discounted projected net operating cash flow analysis included, among others, operating revenues, off-hire revenues, dry-docking costs, operating expenses, management fees estimates, residual values and the discount factor. Revenue assumptions were based on contracted time charter rates up to the end of life of the current contract of each vessel as well as the estimated average time charter rates for the remaining life of the vessel after the completion of its current contract. The estimated daily time charter rates used for non-contracted revenue days are based on a combination of (i) recent charter market rates, (ii) conditions existing in the LNG market as of December 31, 2016,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the Group’s control, management believes the use of revenue estimates, based on the combination of factors (i) to (iv)</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54" w:name="page155"/>
    <w:bookmarkEnd w:id="154"/>
    <w:p>
      <w:pPr>
        <w:ind w:right="260"/>
        <w:spacing w:after="0" w:line="281" w:lineRule="auto"/>
        <w:rPr>
          <w:sz w:val="20"/>
          <w:szCs w:val="20"/>
          <w:color w:val="auto"/>
        </w:rPr>
      </w:pPr>
      <w:r>
        <w:rPr>
          <w:rFonts w:ascii="Arial" w:cs="Arial" w:eastAsia="Arial" w:hAnsi="Arial"/>
          <w:sz w:val="18"/>
          <w:szCs w:val="18"/>
          <w:color w:val="auto"/>
        </w:rPr>
        <w:t>above, to be reasonable as of the reporting date. In addition, the Group used an annual operating expenses escalation factor and estimates of scheduled and unscheduled off-hire revenues based on historical experience. All estimates used and assumptions made were in accordance with the Group’s internal budgets and historical experience of the shipping industry. The value in use for the ten vessels calculated as per above was higher than the carrying amount of these vessels and consequently, no impairment loss was recognized.</w:t>
      </w:r>
    </w:p>
    <w:p>
      <w:pPr>
        <w:spacing w:after="0" w:line="57"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b w:val="1"/>
          <w:bCs w:val="1"/>
          <w:i w:val="1"/>
          <w:iCs w:val="1"/>
          <w:color w:val="auto"/>
        </w:rPr>
        <w:t xml:space="preserve">Measurement of share-based compensation: </w:t>
      </w:r>
      <w:r>
        <w:rPr>
          <w:rFonts w:ascii="Arial" w:cs="Arial" w:eastAsia="Arial" w:hAnsi="Arial"/>
          <w:sz w:val="19"/>
          <w:szCs w:val="19"/>
          <w:color w:val="auto"/>
        </w:rPr>
        <w:t>Share-based compensation to executives and others providing similar services are measured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fair value of the equity instruments on the grant date. Details regarding the determination of the fair value of share-based transactions are set out in Note 21.</w:t>
      </w:r>
    </w:p>
    <w:p>
      <w:pPr>
        <w:spacing w:after="0" w:line="68" w:lineRule="exact"/>
        <w:rPr>
          <w:sz w:val="20"/>
          <w:szCs w:val="20"/>
          <w:color w:val="auto"/>
        </w:rPr>
      </w:pPr>
    </w:p>
    <w:p>
      <w:pPr>
        <w:ind w:right="200" w:firstLine="357"/>
        <w:spacing w:after="0" w:line="259" w:lineRule="auto"/>
        <w:rPr>
          <w:sz w:val="20"/>
          <w:szCs w:val="20"/>
          <w:color w:val="auto"/>
        </w:rPr>
      </w:pPr>
      <w:r>
        <w:rPr>
          <w:rFonts w:ascii="Arial" w:cs="Arial" w:eastAsia="Arial" w:hAnsi="Arial"/>
          <w:sz w:val="19"/>
          <w:szCs w:val="19"/>
          <w:color w:val="auto"/>
        </w:rPr>
        <w:t>The fair value determined at the grant date of the equity-settled share-based compensation is expensed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77"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b w:val="1"/>
          <w:bCs w:val="1"/>
          <w:i w:val="1"/>
          <w:iCs w:val="1"/>
          <w:color w:val="auto"/>
        </w:rPr>
        <w:t xml:space="preserve">Impairment of goodwill: </w:t>
      </w:r>
      <w:r>
        <w:rPr>
          <w:rFonts w:ascii="Arial" w:cs="Arial" w:eastAsia="Arial" w:hAnsi="Arial"/>
          <w:sz w:val="19"/>
          <w:szCs w:val="19"/>
          <w:color w:val="auto"/>
        </w:rPr>
        <w:t>The Group reviews goodwill for impairment at least annually. For the purpose of impairment testing, goodwill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been allocated to the cash-generating unit representing the management company, GasLog LNG Services Ltd., which was acquired by the Group in 2005.</w:t>
      </w:r>
    </w:p>
    <w:p>
      <w:pPr>
        <w:spacing w:after="0" w:line="68"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Determining whether goodwill is impaired requires an estimation of the recoverable amount, which is the higher of fair value less costs to sell and value in use, of the cash-generating units to which goodwill has been allocated. The value in use calculation requires the Group to estimate the future cash flows expected to arise from the cash-generating unit(s) and a suitable discount rate in order to calculate present value. Details of the impairment analysis are set out in Note 3. No impairment loss was recognized for any of the periods presented.</w:t>
      </w:r>
    </w:p>
    <w:p>
      <w:pPr>
        <w:spacing w:after="0" w:line="57"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b w:val="1"/>
          <w:bCs w:val="1"/>
          <w:i w:val="1"/>
          <w:iCs w:val="1"/>
          <w:color w:val="auto"/>
        </w:rPr>
        <w:t xml:space="preserve">Fair value of derivative financial instruments: </w:t>
      </w:r>
      <w:r>
        <w:rPr>
          <w:rFonts w:ascii="Arial" w:cs="Arial" w:eastAsia="Arial" w:hAnsi="Arial"/>
          <w:sz w:val="19"/>
          <w:szCs w:val="19"/>
          <w:color w:val="auto"/>
        </w:rPr>
        <w:t>The Group’s risk management policies permit the use of derivative financial instruments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 interest rate risk and foreign exchange risk. Changes in fair value of derivative financial instruments that are not designated as cash flow hedges for accounting purposes are recognized in the consolidated statement of profit or loss.</w:t>
      </w:r>
    </w:p>
    <w:p>
      <w:pPr>
        <w:spacing w:after="0" w:line="54"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A substantial majority of the Group’s derivative instruments activity relates to the use of interest rate swaps. The fair value of the Group’s interest rate swap agreements is the estimated amount that the Group would receive or pay to terminate the agreements at the reporting date, taking into account current interest rates and the current credit worthiness of both the Group and the swap counterparties. The estimated amount is the present value of estimated future cash flows, being equal to the difference between the benchmark interest rate and the fixed rate in the interest rate swap agreement, multiplied by the notional principal amount of the interest rate swap agreement at each interest reset date.</w:t>
      </w:r>
    </w:p>
    <w:p>
      <w:pPr>
        <w:spacing w:after="0" w:line="46" w:lineRule="exact"/>
        <w:rPr>
          <w:sz w:val="20"/>
          <w:szCs w:val="20"/>
          <w:color w:val="auto"/>
        </w:rPr>
      </w:pPr>
    </w:p>
    <w:p>
      <w:pPr>
        <w:jc w:val="both"/>
        <w:ind w:right="200" w:firstLine="357"/>
        <w:spacing w:after="0" w:line="302" w:lineRule="auto"/>
        <w:rPr>
          <w:sz w:val="20"/>
          <w:szCs w:val="20"/>
          <w:color w:val="auto"/>
        </w:rPr>
      </w:pPr>
      <w:r>
        <w:rPr>
          <w:rFonts w:ascii="Arial" w:cs="Arial" w:eastAsia="Arial" w:hAnsi="Arial"/>
          <w:sz w:val="17"/>
          <w:szCs w:val="17"/>
          <w:color w:val="auto"/>
        </w:rPr>
        <w:t>The fair value of the Group’s interest and currency swap agreements at the end of each period are most significantly affected by the interest rate implied by market-observable data such as the London Interbank Offered Rate (“LIBOR”) yield curve, and forward foreign exchange rates. While the fair value of the Group’s interest and currency swap agreements are typically more sensitive to changes in short-term rates, significant changes in the long-term benchmark interest and foreign exchange rates also materially impact interest and currency swap agreements.</w:t>
      </w:r>
    </w:p>
    <w:p>
      <w:pPr>
        <w:spacing w:after="0" w:line="43"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color w:val="auto"/>
        </w:rPr>
        <w:t>The fair value of the Group’s interest rate and currency swap agreements are also affected by changes in its specific credit risk and counterparties’ risk included in the discount factor. The estimate of the Group’s credit risk is based on the credit rating of other companies in the LNG industry where publicly available, the rating of the global transportation industry where the shipping industry is included and the feedback that the Group receives from its lenders as part of the margin setting for the new loan agreements. The counterparties’ credit risk is estimated either by using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credit default swap rates obtained from public information or, if not available, by using the credit rating of the counterparties.</w:t>
      </w:r>
    </w:p>
    <w:p>
      <w:pPr>
        <w:spacing w:after="0" w:line="119"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The LIBOR yield curve and the Group’s specific credit risk are expected to vary over the life of the interest rate swap agreements. The larger the notional amount of the interest rate swap agreements outstanding and the longer the remaining duration of the interest rate swap agreements, the larger the impact of any variability in these factors will be on the fair value of the Group’s interest rate swaps. The Group economically hedges the interest rate exposure on a significant amount of its long-term debt and for long durations. As such, the Group has historically experienced, and expects to continue to experience, material variations in the period-to-period fair value of its derivative instruments.</w:t>
      </w:r>
    </w:p>
    <w:p>
      <w:pPr>
        <w:spacing w:after="0" w:line="46"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Although the Group measures the fair value of its derivative instruments utilizing the inputs and assumptions described above, if it were to terminate the agreements at the reporting date, the amount the Group would pay or receive to terminate the derivative instruments may differ from the estimate of fair value. If the estimated fair value differs from the actual termination amount, an adjustment to the carrying amount of the applicable derivative asset or liability would be recognized in profit or loss for the current period. Such adjustments could be material. See Note 25 for the effects on the change in fair value of its derivative instruments on the consolidated statements of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Adoption of new and revised IFRS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Standards and amendments in issue not yet adopted</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At the date of authorization of these financial statements, the following standards and amendments relevant to the Group were in issue but not yet effective:</w:t>
      </w:r>
    </w:p>
    <w:p>
      <w:pPr>
        <w:spacing w:after="0" w:line="52"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 xml:space="preserve">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IAS 11 </w:t>
      </w:r>
      <w:r>
        <w:rPr>
          <w:rFonts w:ascii="Arial" w:cs="Arial" w:eastAsia="Arial" w:hAnsi="Arial"/>
          <w:sz w:val="18"/>
          <w:szCs w:val="18"/>
          <w:i w:val="1"/>
          <w:iCs w:val="1"/>
          <w:color w:val="auto"/>
        </w:rPr>
        <w:t>Construction Contracts</w:t>
      </w:r>
      <w:r>
        <w:rPr>
          <w:rFonts w:ascii="Arial" w:cs="Arial" w:eastAsia="Arial" w:hAnsi="Arial"/>
          <w:sz w:val="18"/>
          <w:szCs w:val="18"/>
          <w:color w:val="auto"/>
        </w:rPr>
        <w:t xml:space="preserve"> and a number of revenue-related interpretations. The standard was amended in September 2015 to delay the effective date to annual periods 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anticipates that the implementation of this standard will not have a material impact on the Group’s consolidated financial statements since the vast majority of revenues are generated by long-term contracts with charterers.</w:t>
      </w:r>
    </w:p>
    <w:p>
      <w:pPr>
        <w:spacing w:after="0" w:line="71" w:lineRule="exact"/>
        <w:rPr>
          <w:sz w:val="20"/>
          <w:szCs w:val="20"/>
          <w:color w:val="auto"/>
        </w:rPr>
      </w:pPr>
    </w:p>
    <w:p>
      <w:pPr>
        <w:ind w:right="120" w:firstLine="357"/>
        <w:spacing w:after="0" w:line="256" w:lineRule="auto"/>
        <w:rPr>
          <w:sz w:val="20"/>
          <w:szCs w:val="20"/>
          <w:color w:val="auto"/>
        </w:rPr>
      </w:pPr>
      <w:r>
        <w:rPr>
          <w:rFonts w:ascii="Arial" w:cs="Arial" w:eastAsia="Arial" w:hAnsi="Arial"/>
          <w:sz w:val="19"/>
          <w:szCs w:val="19"/>
          <w:color w:val="auto"/>
        </w:rPr>
        <w:t xml:space="preserve">In July 2014, the IASB issued the complete version of IFRS 9 </w:t>
      </w:r>
      <w:r>
        <w:rPr>
          <w:rFonts w:ascii="Arial" w:cs="Arial" w:eastAsia="Arial" w:hAnsi="Arial"/>
          <w:sz w:val="19"/>
          <w:szCs w:val="19"/>
          <w:i w:val="1"/>
          <w:iCs w:val="1"/>
          <w:color w:val="auto"/>
        </w:rPr>
        <w:t>Financial Instruments.</w:t>
      </w:r>
      <w:r>
        <w:rPr>
          <w:rFonts w:ascii="Arial" w:cs="Arial" w:eastAsia="Arial" w:hAnsi="Arial"/>
          <w:sz w:val="19"/>
          <w:szCs w:val="19"/>
          <w:color w:val="auto"/>
        </w:rPr>
        <w:t xml:space="preserve">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80" w:lineRule="exact"/>
        <w:rPr>
          <w:sz w:val="20"/>
          <w:szCs w:val="20"/>
          <w:color w:val="auto"/>
        </w:rPr>
      </w:pPr>
    </w:p>
    <w:p>
      <w:pPr>
        <w:ind w:right="40" w:firstLine="357"/>
        <w:spacing w:after="0" w:line="339"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which sets out the principles for the recognition, measurement, presentation and disclosure of leases for both parties to a contract, i.e. the customer (“lessee”) and the supplier (“lessor”). IFRS 16 eliminates the classification of leases 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56" w:name="page157"/>
    <w:bookmarkEnd w:id="156"/>
    <w:p>
      <w:pPr>
        <w:ind w:right="220"/>
        <w:spacing w:after="0" w:line="291" w:lineRule="auto"/>
        <w:rPr>
          <w:sz w:val="20"/>
          <w:szCs w:val="20"/>
          <w:color w:val="auto"/>
        </w:rPr>
      </w:pPr>
      <w:r>
        <w:rPr>
          <w:rFonts w:ascii="Arial" w:cs="Arial" w:eastAsia="Arial" w:hAnsi="Arial"/>
          <w:sz w:val="17"/>
          <w:szCs w:val="17"/>
          <w:color w:val="auto"/>
        </w:rPr>
        <w:t>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w:t>
      </w:r>
    </w:p>
    <w:p>
      <w:pPr>
        <w:spacing w:after="0" w:line="1" w:lineRule="exact"/>
        <w:rPr>
          <w:sz w:val="20"/>
          <w:szCs w:val="20"/>
          <w:color w:val="auto"/>
        </w:rPr>
      </w:pPr>
    </w:p>
    <w:p>
      <w:pPr>
        <w:ind w:firstLine="8"/>
        <w:spacing w:after="0" w:line="255" w:lineRule="auto"/>
        <w:tabs>
          <w:tab w:leader="none" w:pos="27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9"/>
          <w:szCs w:val="19"/>
          <w:i w:val="1"/>
          <w:iCs w:val="1"/>
          <w:color w:val="auto"/>
        </w:rPr>
        <w:t>Leases</w:t>
      </w:r>
      <w:r>
        <w:rPr>
          <w:rFonts w:ascii="Arial" w:cs="Arial" w:eastAsia="Arial" w:hAnsi="Arial"/>
          <w:sz w:val="19"/>
          <w:szCs w:val="19"/>
          <w:color w:val="auto"/>
        </w:rPr>
        <w:t xml:space="preserve">, and related Interpretations. The standard is effective from January 1, 2019, with early adoption permitted only with concurrent adoption of IFRS 15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Management is currently evaluating the impact of this standard on the Group’s consolidated financial statements.</w:t>
      </w:r>
    </w:p>
    <w:p>
      <w:pPr>
        <w:spacing w:after="0" w:line="79"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 xml:space="preserve">In January 2016, the IASB issued amendments to IAS 7 </w:t>
      </w:r>
      <w:r>
        <w:rPr>
          <w:rFonts w:ascii="Arial" w:cs="Arial" w:eastAsia="Arial" w:hAnsi="Arial"/>
          <w:sz w:val="19"/>
          <w:szCs w:val="19"/>
          <w:i w:val="1"/>
          <w:iCs w:val="1"/>
          <w:color w:val="auto"/>
        </w:rPr>
        <w:t>Statement of Cash Flows</w:t>
      </w:r>
      <w:r>
        <w:rPr>
          <w:rFonts w:ascii="Arial" w:cs="Arial" w:eastAsia="Arial" w:hAnsi="Arial"/>
          <w:sz w:val="19"/>
          <w:szCs w:val="19"/>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are effective for annual periods beginning on or after January 1, 2017, with earlier application being permitted. Entities are not required to present comparative information for preceding periods. Management anticipates that these amendments will only have a disclosure impact on the Group’s consolidated financial statements.</w:t>
      </w:r>
    </w:p>
    <w:p>
      <w:pPr>
        <w:spacing w:after="0" w:line="77"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 xml:space="preserve">In June 2016, the IASB issued amendments to IFRS 2 </w:t>
      </w:r>
      <w:r>
        <w:rPr>
          <w:rFonts w:ascii="Arial" w:cs="Arial" w:eastAsia="Arial" w:hAnsi="Arial"/>
          <w:sz w:val="19"/>
          <w:szCs w:val="19"/>
          <w:i w:val="1"/>
          <w:iCs w:val="1"/>
          <w:color w:val="auto"/>
        </w:rPr>
        <w:t>Share-based Payment</w:t>
      </w:r>
      <w:r>
        <w:rPr>
          <w:rFonts w:ascii="Arial" w:cs="Arial" w:eastAsia="Arial" w:hAnsi="Arial"/>
          <w:sz w:val="19"/>
          <w:szCs w:val="19"/>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consolidated financial statements.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impact of all other IFRS standards and amendments issued but not yet adopted is not expected to be material.</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Goodwill</w:t>
      </w:r>
    </w:p>
    <w:p>
      <w:pPr>
        <w:spacing w:after="0" w:line="125" w:lineRule="exact"/>
        <w:rPr>
          <w:sz w:val="20"/>
          <w:szCs w:val="20"/>
          <w:color w:val="auto"/>
        </w:rPr>
      </w:pPr>
    </w:p>
    <w:p>
      <w:pPr>
        <w:ind w:right="200" w:firstLine="357"/>
        <w:spacing w:after="0" w:line="277"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2016, the Group assessed the recoverable amount of goodwill, and concluded that goodwill associated with the Group’s vessel management company was not impaired. The recoverable amount of the vessel management operations is determined based on a value-in-use calculation which uses cash flow to be generated based on financial budget for the year ending December 31, 2017, approved by management.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key assumptions used in the value-in-use calculations (2017 and beyond) are as follows:</w:t>
      </w:r>
    </w:p>
    <w:p>
      <w:pPr>
        <w:spacing w:after="0" w:line="106" w:lineRule="exact"/>
        <w:rPr>
          <w:sz w:val="20"/>
          <w:szCs w:val="20"/>
          <w:color w:val="auto"/>
        </w:rPr>
      </w:pPr>
    </w:p>
    <w:p>
      <w:pPr>
        <w:ind w:left="860" w:hanging="501"/>
        <w:spacing w:after="0"/>
        <w:tabs>
          <w:tab w:leader="none" w:pos="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Average inflation of 1.0% per annum;</w:t>
      </w:r>
    </w:p>
    <w:p>
      <w:pPr>
        <w:spacing w:after="0" w:line="105" w:lineRule="exact"/>
        <w:rPr>
          <w:rFonts w:ascii="Arial" w:cs="Arial" w:eastAsia="Arial" w:hAnsi="Arial"/>
          <w:sz w:val="19"/>
          <w:szCs w:val="19"/>
          <w:color w:val="auto"/>
        </w:rPr>
      </w:pPr>
    </w:p>
    <w:p>
      <w:pPr>
        <w:ind w:left="860" w:hanging="501"/>
        <w:spacing w:after="0"/>
        <w:tabs>
          <w:tab w:leader="none" w:pos="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pre-tax discount rate of 12.8% per annum;</w:t>
      </w:r>
    </w:p>
    <w:p>
      <w:pPr>
        <w:spacing w:after="0" w:line="105" w:lineRule="exact"/>
        <w:rPr>
          <w:rFonts w:ascii="Arial" w:cs="Arial" w:eastAsia="Arial" w:hAnsi="Arial"/>
          <w:sz w:val="19"/>
          <w:szCs w:val="19"/>
          <w:color w:val="auto"/>
        </w:rPr>
      </w:pPr>
    </w:p>
    <w:p>
      <w:pPr>
        <w:ind w:left="860" w:hanging="501"/>
        <w:spacing w:after="0"/>
        <w:tabs>
          <w:tab w:leader="none" w:pos="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Annual growth rate of 1.0%; and</w:t>
      </w:r>
    </w:p>
    <w:p>
      <w:pPr>
        <w:spacing w:after="0" w:line="105" w:lineRule="exact"/>
        <w:rPr>
          <w:rFonts w:ascii="Arial" w:cs="Arial" w:eastAsia="Arial" w:hAnsi="Arial"/>
          <w:sz w:val="19"/>
          <w:szCs w:val="19"/>
          <w:color w:val="auto"/>
        </w:rPr>
      </w:pPr>
    </w:p>
    <w:p>
      <w:pPr>
        <w:ind w:left="860" w:hanging="501"/>
        <w:spacing w:after="0"/>
        <w:tabs>
          <w:tab w:leader="none" w:pos="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1 Euro = USD 1.15.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57" w:name="page158"/>
    <w:bookmarkEnd w:id="157"/>
    <w:p>
      <w:pPr>
        <w:ind w:right="160" w:firstLine="357"/>
        <w:spacing w:after="0" w:line="289" w:lineRule="auto"/>
        <w:rPr>
          <w:sz w:val="20"/>
          <w:szCs w:val="20"/>
          <w:color w:val="auto"/>
        </w:rPr>
      </w:pPr>
      <w:r>
        <w:rPr>
          <w:rFonts w:ascii="Arial" w:cs="Arial" w:eastAsia="Arial" w:hAnsi="Arial"/>
          <w:sz w:val="18"/>
          <w:szCs w:val="18"/>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Equity Transactions</w:t>
      </w:r>
    </w:p>
    <w:p>
      <w:pPr>
        <w:spacing w:after="0" w:line="125"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On January 22, 2014, GasLog completed a follow-on public offering of 10,925,000 common shares, including 1,425,000 common shares issued upon the exercise in full by the underwriters of their option to purchase additional shares. The public offering price was $15.75 per share. GasLog also sold 2,317,460 common shares at the public offering price in a private placement to certain of its directors and officers and one of its major shareholders. The net proceeds from the public offering and the concurrent private placement, after deducting underwriting discounts and offering expenses, were $199,016.</w:t>
      </w:r>
    </w:p>
    <w:p>
      <w:pPr>
        <w:spacing w:after="0" w:line="77"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On April 16, 2014, GasLog completed a follow-on public offering of 4,887,500 common shares, including 637,500 common shares issued upon the exercise in full by the underwriters of their option to purchase additional shares. The public offering price was $23.75 per share. The net proceeds from the public offering, after deducting underwriting discounts and other offering expenses, were approximately $109,940.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12, 2014, the Partnership completed its IPO with the sale and issuance of 9,660,000 common units, resulting in net proceeds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$186,029 and representing a 48.2% ownership interest (Note 1). GasLog Partners used the net IPO proceeds to (a) pay $65,695 directly to GasLog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as cash consideration for the contribution of GAS-three Ltd., GAS-four Ltd. and GAS-five Ltd., (b) prepay $82,634 of debt plus accrued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$416 and (c) make a payment of $2,285 (including $271 accrued interest) to settle the mark-to-market loss on termination of one interest rate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swap and reduction of a second interest rate swap in connection with the aforementioned debt prepayment. The balance of $35,000 was retained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by the Partnership for general corporate purposes. The net proceeds from the GasLog Partners’ IPO of $186,029 were received in cash and have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been allocated to non-controlling interest.</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29, 2014, GasLog Partners completed a follow-on public offering of 4,500,000 common units at a public offering price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$31.00 per unit. The net proceeds from this offering after deducting underwriting discounts and other offering expenses were $133,007 and have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been allocated to non-controlling interest.</w:t>
      </w:r>
    </w:p>
    <w:p>
      <w:pPr>
        <w:spacing w:after="0" w:line="103"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On April 7, 2015, GasLog completed a public offering of 4,600,000 Preference Shares (including 600,000 shares issued upon the exercise in full by the underwriters of their option to purchase additional Preference Shares), par value $0.01 per share, liquidation preference $25.00 per share, which priced at $25.00 per share. The net proceeds from the offering after deducting underwriting discounts, commissions and other offering expenses were $110,653.</w:t>
      </w:r>
    </w:p>
    <w:p>
      <w:pPr>
        <w:spacing w:after="0" w:line="72"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On June 26, 2015, GasLog Partners completed a public offering of 7,500,000 common units at a public offering price of $23.90 per unit. The net proceeds from this offering after deducting underwriting discounts and other offering expenses, were $171,831. In connection with the offering, the Partnership issued 153,061 general partner units to its general partner in order for GasLog to retain its 2.0%.</w:t>
      </w:r>
    </w:p>
    <w:p>
      <w:pPr>
        <w:spacing w:after="0" w:line="49"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On August 5, 2016, GasLog Partners completed a public offering of 2,750,000 common units at a public offering price of $19.50 per unit. The net proceeds from this offering after deducting underwriting discounts and other offering expenses, were $52,299. In connection with the offering, the Partnership issued 56,122 general partner units to its general partner in order for GasLog to retain its 2.0%.</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58" w:name="page159"/>
    <w:bookmarkEnd w:id="158"/>
    <w:p>
      <w:pPr>
        <w:ind w:left="360"/>
        <w:spacing w:after="0"/>
        <w:rPr>
          <w:sz w:val="20"/>
          <w:szCs w:val="20"/>
          <w:color w:val="auto"/>
        </w:rPr>
      </w:pPr>
      <w:r>
        <w:rPr>
          <w:rFonts w:ascii="Arial" w:cs="Arial" w:eastAsia="Arial" w:hAnsi="Arial"/>
          <w:sz w:val="19"/>
          <w:szCs w:val="19"/>
          <w:color w:val="auto"/>
        </w:rPr>
        <w:t>The balance of non-controlling interest as of December 31, 2015 and 2016 is as follows: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194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840" w:type="dxa"/>
            <w:vAlign w:val="bottom"/>
          </w:tcPr>
          <w:p>
            <w:pPr>
              <w:jc w:val="right"/>
              <w:ind w:right="166"/>
              <w:spacing w:after="0"/>
              <w:rPr>
                <w:sz w:val="20"/>
                <w:szCs w:val="20"/>
                <w:color w:val="auto"/>
              </w:rPr>
            </w:pPr>
            <w:r>
              <w:rPr>
                <w:rFonts w:ascii="Arial" w:cs="Arial" w:eastAsia="Arial" w:hAnsi="Arial"/>
                <w:sz w:val="16"/>
                <w:szCs w:val="16"/>
                <w:b w:val="1"/>
                <w:bCs w:val="1"/>
                <w:color w:val="auto"/>
              </w:rPr>
              <w:t>2015</w:t>
            </w:r>
          </w:p>
        </w:tc>
        <w:tc>
          <w:tcPr>
            <w:tcW w:w="1160" w:type="dxa"/>
            <w:vAlign w:val="bottom"/>
            <w:gridSpan w:val="2"/>
          </w:tcPr>
          <w:p>
            <w:pPr>
              <w:jc w:val="right"/>
              <w:ind w:right="183"/>
              <w:spacing w:after="0"/>
              <w:rPr>
                <w:sz w:val="20"/>
                <w:szCs w:val="20"/>
                <w:color w:val="auto"/>
              </w:rPr>
            </w:pPr>
            <w:r>
              <w:rPr>
                <w:rFonts w:ascii="Arial" w:cs="Arial" w:eastAsia="Arial" w:hAnsi="Arial"/>
                <w:sz w:val="16"/>
                <w:szCs w:val="16"/>
                <w:b w:val="1"/>
                <w:bCs w:val="1"/>
                <w:color w:val="auto"/>
              </w:rPr>
              <w:t>2016</w:t>
            </w:r>
          </w:p>
        </w:tc>
      </w:tr>
      <w:tr>
        <w:trPr>
          <w:trHeight w:val="203"/>
        </w:trPr>
        <w:tc>
          <w:tcPr>
            <w:tcW w:w="8400" w:type="dxa"/>
            <w:vAlign w:val="bottom"/>
            <w:gridSpan w:val="2"/>
            <w:shd w:val="clear" w:color="auto" w:fill="E5FFFF"/>
          </w:tcPr>
          <w:p>
            <w:pPr>
              <w:spacing w:after="0" w:line="183" w:lineRule="exact"/>
              <w:rPr>
                <w:sz w:val="20"/>
                <w:szCs w:val="20"/>
                <w:color w:val="auto"/>
              </w:rPr>
            </w:pPr>
            <w:r>
              <w:rPr>
                <w:rFonts w:ascii="Arial" w:cs="Arial" w:eastAsia="Arial" w:hAnsi="Arial"/>
                <w:sz w:val="19"/>
                <w:szCs w:val="19"/>
                <w:b w:val="1"/>
                <w:bCs w:val="1"/>
                <w:i w:val="1"/>
                <w:iCs w:val="1"/>
                <w:color w:val="auto"/>
              </w:rPr>
              <w:t>Non-controlling interest</w:t>
            </w:r>
          </w:p>
        </w:tc>
        <w:tc>
          <w:tcPr>
            <w:tcW w:w="840" w:type="dxa"/>
            <w:vAlign w:val="bottom"/>
            <w:tcBorders>
              <w:top w:val="single" w:sz="8" w:color="auto"/>
            </w:tcBorders>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spacing w:after="0"/>
              <w:rPr>
                <w:sz w:val="17"/>
                <w:szCs w:val="17"/>
                <w:color w:val="auto"/>
              </w:rPr>
            </w:pPr>
          </w:p>
        </w:tc>
      </w:tr>
      <w:tr>
        <w:trPr>
          <w:trHeight w:val="243"/>
        </w:trPr>
        <w:tc>
          <w:tcPr>
            <w:tcW w:w="194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As of January 1,</w:t>
            </w:r>
          </w:p>
        </w:tc>
        <w:tc>
          <w:tcPr>
            <w:tcW w:w="6460" w:type="dxa"/>
            <w:vAlign w:val="bottom"/>
            <w:tcBorders>
              <w:top w:val="single" w:sz="8" w:color="E5FFFF"/>
            </w:tcBorders>
          </w:tcPr>
          <w:p>
            <w:pPr>
              <w:spacing w:after="0"/>
              <w:rPr>
                <w:sz w:val="21"/>
                <w:szCs w:val="21"/>
                <w:color w:val="auto"/>
              </w:rPr>
            </w:pPr>
          </w:p>
        </w:tc>
        <w:tc>
          <w:tcPr>
            <w:tcW w:w="84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323,646</w:t>
            </w:r>
          </w:p>
        </w:tc>
        <w:tc>
          <w:tcPr>
            <w:tcW w:w="1160" w:type="dxa"/>
            <w:vAlign w:val="bottom"/>
            <w:tcBorders>
              <w:top w:val="single" w:sz="8" w:color="E5FFFF"/>
            </w:tcBorders>
            <w:gridSpan w:val="2"/>
          </w:tcPr>
          <w:p>
            <w:pPr>
              <w:jc w:val="right"/>
              <w:spacing w:after="0"/>
              <w:rPr>
                <w:sz w:val="20"/>
                <w:szCs w:val="20"/>
                <w:color w:val="auto"/>
              </w:rPr>
            </w:pPr>
            <w:r>
              <w:rPr>
                <w:rFonts w:ascii="Arial" w:cs="Arial" w:eastAsia="Arial" w:hAnsi="Arial"/>
                <w:sz w:val="19"/>
                <w:szCs w:val="19"/>
                <w:color w:val="auto"/>
              </w:rPr>
              <w:t>506,246</w:t>
            </w:r>
          </w:p>
        </w:tc>
      </w:tr>
      <w:tr>
        <w:trPr>
          <w:trHeight w:val="243"/>
        </w:trPr>
        <w:tc>
          <w:tcPr>
            <w:tcW w:w="84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proceeds from the Partnership’s equity offerings</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171,831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52,299</w:t>
            </w:r>
          </w:p>
        </w:tc>
      </w:tr>
      <w:tr>
        <w:trPr>
          <w:trHeight w:val="243"/>
        </w:trPr>
        <w:tc>
          <w:tcPr>
            <w:tcW w:w="8400" w:type="dxa"/>
            <w:vAlign w:val="bottom"/>
            <w:gridSpan w:val="2"/>
          </w:tcPr>
          <w:p>
            <w:pPr>
              <w:spacing w:after="0"/>
              <w:rPr>
                <w:sz w:val="20"/>
                <w:szCs w:val="20"/>
                <w:color w:val="auto"/>
              </w:rPr>
            </w:pPr>
            <w:r>
              <w:rPr>
                <w:rFonts w:ascii="Arial" w:cs="Arial" w:eastAsia="Arial" w:hAnsi="Arial"/>
                <w:sz w:val="19"/>
                <w:szCs w:val="19"/>
                <w:color w:val="auto"/>
              </w:rPr>
              <w:t>Dividend declared and paid</w:t>
            </w:r>
          </w:p>
        </w:tc>
        <w:tc>
          <w:tcPr>
            <w:tcW w:w="840" w:type="dxa"/>
            <w:vAlign w:val="bottom"/>
          </w:tcPr>
          <w:p>
            <w:pPr>
              <w:jc w:val="right"/>
              <w:spacing w:after="0"/>
              <w:rPr>
                <w:sz w:val="20"/>
                <w:szCs w:val="20"/>
                <w:color w:val="auto"/>
              </w:rPr>
            </w:pPr>
            <w:r>
              <w:rPr>
                <w:rFonts w:ascii="Arial" w:cs="Arial" w:eastAsia="Arial" w:hAnsi="Arial"/>
                <w:sz w:val="19"/>
                <w:szCs w:val="19"/>
                <w:color w:val="auto"/>
              </w:rPr>
              <w:t>(32,070)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(44,043)</w:t>
            </w:r>
          </w:p>
        </w:tc>
      </w:tr>
      <w:tr>
        <w:trPr>
          <w:trHeight w:val="243"/>
        </w:trPr>
        <w:tc>
          <w:tcPr>
            <w:tcW w:w="84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Profit and total comprehensive income allocated to non-controlling interest</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42,839</w:t>
            </w:r>
          </w:p>
        </w:tc>
        <w:tc>
          <w:tcPr>
            <w:tcW w:w="280" w:type="dxa"/>
            <w:vAlign w:val="bottom"/>
            <w:shd w:val="clear" w:color="auto" w:fill="E5FFFF"/>
          </w:tcPr>
          <w:p>
            <w:pPr>
              <w:spacing w:after="0"/>
              <w:rPr>
                <w:sz w:val="21"/>
                <w:szCs w:val="21"/>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49,537</w:t>
            </w:r>
          </w:p>
        </w:tc>
      </w:tr>
      <w:tr>
        <w:trPr>
          <w:trHeight w:val="250"/>
        </w:trPr>
        <w:tc>
          <w:tcPr>
            <w:tcW w:w="8400" w:type="dxa"/>
            <w:vAlign w:val="bottom"/>
            <w:gridSpan w:val="2"/>
          </w:tcPr>
          <w:p>
            <w:pPr>
              <w:spacing w:after="0"/>
              <w:rPr>
                <w:sz w:val="20"/>
                <w:szCs w:val="20"/>
                <w:color w:val="auto"/>
              </w:rPr>
            </w:pPr>
            <w:r>
              <w:rPr>
                <w:rFonts w:ascii="Arial" w:cs="Arial" w:eastAsia="Arial" w:hAnsi="Arial"/>
                <w:sz w:val="19"/>
                <w:szCs w:val="19"/>
                <w:b w:val="1"/>
                <w:bCs w:val="1"/>
                <w:color w:val="auto"/>
              </w:rPr>
              <w:t>As of December 31,</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506,246</w:t>
            </w:r>
          </w:p>
        </w:tc>
        <w:tc>
          <w:tcPr>
            <w:tcW w:w="1160" w:type="dxa"/>
            <w:vAlign w:val="bottom"/>
            <w:gridSpan w:val="2"/>
          </w:tcPr>
          <w:p>
            <w:pPr>
              <w:jc w:val="right"/>
              <w:spacing w:after="0"/>
              <w:rPr>
                <w:sz w:val="20"/>
                <w:szCs w:val="20"/>
                <w:color w:val="auto"/>
              </w:rPr>
            </w:pPr>
            <w:r>
              <w:rPr>
                <w:rFonts w:ascii="Arial" w:cs="Arial" w:eastAsia="Arial" w:hAnsi="Arial"/>
                <w:sz w:val="19"/>
                <w:szCs w:val="19"/>
                <w:b w:val="1"/>
                <w:bCs w:val="1"/>
                <w:color w:val="auto"/>
              </w:rPr>
              <w:t>564,039</w:t>
            </w:r>
          </w:p>
        </w:tc>
      </w:tr>
      <w:tr>
        <w:trPr>
          <w:trHeight w:val="20"/>
        </w:trPr>
        <w:tc>
          <w:tcPr>
            <w:tcW w:w="19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40" w:firstLine="357"/>
        <w:spacing w:after="0" w:line="261" w:lineRule="auto"/>
        <w:rPr>
          <w:sz w:val="20"/>
          <w:szCs w:val="20"/>
          <w:color w:val="auto"/>
        </w:rPr>
      </w:pPr>
      <w:r>
        <w:rPr>
          <w:rFonts w:ascii="Arial" w:cs="Arial" w:eastAsia="Arial" w:hAnsi="Arial"/>
          <w:sz w:val="19"/>
          <w:szCs w:val="19"/>
          <w:color w:val="auto"/>
        </w:rPr>
        <w:t>The profit allocation to non-controlling interest is based on the distribution policy for available cash stated in the Partnership Agreement and is illustrated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6"/>
                <w:szCs w:val="16"/>
                <w:b w:val="1"/>
                <w:bCs w:val="1"/>
                <w:color w:val="auto"/>
              </w:rPr>
              <w:t>Marginal Percentage Interest in Distributions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45"/>
        </w:trPr>
        <w:tc>
          <w:tcPr>
            <w:tcW w:w="4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3"/>
              </w:rPr>
              <w:t>Total Quarterly</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6"/>
        </w:trPr>
        <w:tc>
          <w:tcPr>
            <w:tcW w:w="4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Distribution</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7"/>
              </w:rPr>
              <w:t>General</w:t>
            </w:r>
          </w:p>
        </w:tc>
        <w:tc>
          <w:tcPr>
            <w:tcW w:w="3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3"/>
              </w:rPr>
              <w:t>Holders of</w:t>
            </w:r>
          </w:p>
        </w:tc>
      </w:tr>
      <w:tr>
        <w:trPr>
          <w:trHeight w:val="199"/>
        </w:trPr>
        <w:tc>
          <w:tcPr>
            <w:tcW w:w="49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Target Amount</w:t>
            </w:r>
          </w:p>
        </w:tc>
        <w:tc>
          <w:tcPr>
            <w:tcW w:w="9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8"/>
              </w:rPr>
              <w:t>Unitholders</w:t>
            </w:r>
          </w:p>
        </w:tc>
        <w:tc>
          <w:tcPr>
            <w:tcW w:w="3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Partner</w:t>
            </w:r>
          </w:p>
        </w:tc>
        <w:tc>
          <w:tcPr>
            <w:tcW w:w="300" w:type="dxa"/>
            <w:vAlign w:val="bottom"/>
          </w:tcPr>
          <w:p>
            <w:pPr>
              <w:spacing w:after="0"/>
              <w:rPr>
                <w:sz w:val="17"/>
                <w:szCs w:val="17"/>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IDRs</w:t>
            </w:r>
          </w:p>
        </w:tc>
      </w:tr>
      <w:tr>
        <w:trPr>
          <w:trHeight w:val="237"/>
        </w:trPr>
        <w:tc>
          <w:tcPr>
            <w:tcW w:w="4960" w:type="dxa"/>
            <w:vAlign w:val="bottom"/>
            <w:shd w:val="clear" w:color="auto" w:fill="E5FFFF"/>
          </w:tcPr>
          <w:p>
            <w:pPr>
              <w:spacing w:after="0"/>
              <w:rPr>
                <w:sz w:val="20"/>
                <w:szCs w:val="20"/>
                <w:color w:val="auto"/>
              </w:rPr>
            </w:pPr>
            <w:r>
              <w:rPr>
                <w:rFonts w:ascii="Arial" w:cs="Arial" w:eastAsia="Arial" w:hAnsi="Arial"/>
                <w:sz w:val="19"/>
                <w:szCs w:val="19"/>
                <w:color w:val="auto"/>
              </w:rPr>
              <w:t>Minimum Quarterly Distribution</w:t>
            </w:r>
          </w:p>
        </w:tc>
        <w:tc>
          <w:tcPr>
            <w:tcW w:w="90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960" w:type="dxa"/>
            <w:vAlign w:val="bottom"/>
            <w:shd w:val="clear" w:color="auto" w:fill="E5FFFF"/>
          </w:tcPr>
          <w:p>
            <w:pPr>
              <w:ind w:left="40"/>
              <w:spacing w:after="0"/>
              <w:rPr>
                <w:sz w:val="20"/>
                <w:szCs w:val="20"/>
                <w:color w:val="auto"/>
              </w:rPr>
            </w:pPr>
            <w:r>
              <w:rPr>
                <w:rFonts w:ascii="Arial" w:cs="Arial" w:eastAsia="Arial" w:hAnsi="Arial"/>
                <w:sz w:val="19"/>
                <w:szCs w:val="19"/>
                <w:color w:val="auto"/>
              </w:rPr>
              <w:t>$0.375</w:t>
            </w:r>
          </w:p>
        </w:tc>
        <w:tc>
          <w:tcPr>
            <w:tcW w:w="1320" w:type="dxa"/>
            <w:vAlign w:val="bottom"/>
            <w:gridSpan w:val="2"/>
            <w:shd w:val="clear" w:color="auto" w:fill="E5FFFF"/>
          </w:tcPr>
          <w:p>
            <w:pPr>
              <w:jc w:val="right"/>
              <w:ind w:right="52"/>
              <w:spacing w:after="0"/>
              <w:rPr>
                <w:sz w:val="20"/>
                <w:szCs w:val="20"/>
                <w:color w:val="auto"/>
              </w:rPr>
            </w:pPr>
            <w:r>
              <w:rPr>
                <w:rFonts w:ascii="Arial" w:cs="Arial" w:eastAsia="Arial" w:hAnsi="Arial"/>
                <w:sz w:val="19"/>
                <w:szCs w:val="19"/>
                <w:color w:val="auto"/>
              </w:rPr>
              <w:t>98.0%</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0%</w:t>
            </w:r>
          </w:p>
        </w:tc>
      </w:tr>
      <w:tr>
        <w:trPr>
          <w:trHeight w:val="243"/>
        </w:trPr>
        <w:tc>
          <w:tcPr>
            <w:tcW w:w="4960" w:type="dxa"/>
            <w:vAlign w:val="bottom"/>
          </w:tcPr>
          <w:p>
            <w:pPr>
              <w:spacing w:after="0"/>
              <w:rPr>
                <w:sz w:val="20"/>
                <w:szCs w:val="20"/>
                <w:color w:val="auto"/>
              </w:rPr>
            </w:pPr>
            <w:r>
              <w:rPr>
                <w:rFonts w:ascii="Arial" w:cs="Arial" w:eastAsia="Arial" w:hAnsi="Arial"/>
                <w:sz w:val="19"/>
                <w:szCs w:val="19"/>
                <w:color w:val="auto"/>
              </w:rPr>
              <w:t>First Target Distribution</w:t>
            </w:r>
          </w:p>
        </w:tc>
        <w:tc>
          <w:tcPr>
            <w:tcW w:w="900" w:type="dxa"/>
            <w:vAlign w:val="bottom"/>
          </w:tcPr>
          <w:p>
            <w:pPr>
              <w:ind w:left="80"/>
              <w:spacing w:after="0"/>
              <w:rPr>
                <w:sz w:val="20"/>
                <w:szCs w:val="20"/>
                <w:color w:val="auto"/>
              </w:rPr>
            </w:pPr>
            <w:r>
              <w:rPr>
                <w:rFonts w:ascii="Arial" w:cs="Arial" w:eastAsia="Arial" w:hAnsi="Arial"/>
                <w:sz w:val="19"/>
                <w:szCs w:val="19"/>
                <w:color w:val="auto"/>
              </w:rPr>
              <w:t>$0.375</w:t>
            </w:r>
          </w:p>
        </w:tc>
        <w:tc>
          <w:tcPr>
            <w:tcW w:w="1220" w:type="dxa"/>
            <w:vAlign w:val="bottom"/>
          </w:tcPr>
          <w:p>
            <w:pPr>
              <w:jc w:val="center"/>
              <w:spacing w:after="0"/>
              <w:rPr>
                <w:sz w:val="20"/>
                <w:szCs w:val="20"/>
                <w:color w:val="auto"/>
              </w:rPr>
            </w:pPr>
            <w:r>
              <w:rPr>
                <w:rFonts w:ascii="Arial" w:cs="Arial" w:eastAsia="Arial" w:hAnsi="Arial"/>
                <w:sz w:val="19"/>
                <w:szCs w:val="19"/>
                <w:color w:val="auto"/>
                <w:w w:val="94"/>
              </w:rPr>
              <w:t>up to</w:t>
            </w:r>
          </w:p>
        </w:tc>
        <w:tc>
          <w:tcPr>
            <w:tcW w:w="960" w:type="dxa"/>
            <w:vAlign w:val="bottom"/>
          </w:tcPr>
          <w:p>
            <w:pPr>
              <w:ind w:left="40"/>
              <w:spacing w:after="0"/>
              <w:rPr>
                <w:sz w:val="20"/>
                <w:szCs w:val="20"/>
                <w:color w:val="auto"/>
              </w:rPr>
            </w:pPr>
            <w:r>
              <w:rPr>
                <w:rFonts w:ascii="Arial" w:cs="Arial" w:eastAsia="Arial" w:hAnsi="Arial"/>
                <w:sz w:val="19"/>
                <w:szCs w:val="19"/>
                <w:color w:val="auto"/>
              </w:rPr>
              <w:t>$0.43125</w:t>
            </w:r>
          </w:p>
        </w:tc>
        <w:tc>
          <w:tcPr>
            <w:tcW w:w="1320" w:type="dxa"/>
            <w:vAlign w:val="bottom"/>
            <w:gridSpan w:val="2"/>
          </w:tcPr>
          <w:p>
            <w:pPr>
              <w:jc w:val="right"/>
              <w:ind w:right="52"/>
              <w:spacing w:after="0"/>
              <w:rPr>
                <w:sz w:val="20"/>
                <w:szCs w:val="20"/>
                <w:color w:val="auto"/>
              </w:rPr>
            </w:pPr>
            <w:r>
              <w:rPr>
                <w:rFonts w:ascii="Arial" w:cs="Arial" w:eastAsia="Arial" w:hAnsi="Arial"/>
                <w:sz w:val="19"/>
                <w:szCs w:val="19"/>
                <w:color w:val="auto"/>
              </w:rPr>
              <w:t>98.0%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0%</w:t>
            </w:r>
          </w:p>
        </w:tc>
      </w:tr>
      <w:tr>
        <w:trPr>
          <w:trHeight w:val="243"/>
        </w:trPr>
        <w:tc>
          <w:tcPr>
            <w:tcW w:w="4960" w:type="dxa"/>
            <w:vAlign w:val="bottom"/>
            <w:shd w:val="clear" w:color="auto" w:fill="E5FFFF"/>
          </w:tcPr>
          <w:p>
            <w:pPr>
              <w:spacing w:after="0"/>
              <w:rPr>
                <w:sz w:val="20"/>
                <w:szCs w:val="20"/>
                <w:color w:val="auto"/>
              </w:rPr>
            </w:pPr>
            <w:r>
              <w:rPr>
                <w:rFonts w:ascii="Arial" w:cs="Arial" w:eastAsia="Arial" w:hAnsi="Arial"/>
                <w:sz w:val="19"/>
                <w:szCs w:val="19"/>
                <w:color w:val="auto"/>
              </w:rPr>
              <w:t>Second Target Distribution</w:t>
            </w:r>
          </w:p>
        </w:tc>
        <w:tc>
          <w:tcPr>
            <w:tcW w:w="900" w:type="dxa"/>
            <w:vAlign w:val="bottom"/>
            <w:shd w:val="clear" w:color="auto" w:fill="E5FFFF"/>
          </w:tcPr>
          <w:p>
            <w:pPr>
              <w:ind w:left="80"/>
              <w:spacing w:after="0"/>
              <w:rPr>
                <w:sz w:val="20"/>
                <w:szCs w:val="20"/>
                <w:color w:val="auto"/>
              </w:rPr>
            </w:pPr>
            <w:r>
              <w:rPr>
                <w:rFonts w:ascii="Arial" w:cs="Arial" w:eastAsia="Arial" w:hAnsi="Arial"/>
                <w:sz w:val="19"/>
                <w:szCs w:val="19"/>
                <w:color w:val="auto"/>
              </w:rPr>
              <w:t>$0.43125</w:t>
            </w:r>
          </w:p>
        </w:tc>
        <w:tc>
          <w:tcPr>
            <w:tcW w:w="122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4"/>
              </w:rPr>
              <w:t>up to</w:t>
            </w:r>
          </w:p>
        </w:tc>
        <w:tc>
          <w:tcPr>
            <w:tcW w:w="960" w:type="dxa"/>
            <w:vAlign w:val="bottom"/>
            <w:shd w:val="clear" w:color="auto" w:fill="E5FFFF"/>
          </w:tcPr>
          <w:p>
            <w:pPr>
              <w:ind w:left="40"/>
              <w:spacing w:after="0"/>
              <w:rPr>
                <w:sz w:val="20"/>
                <w:szCs w:val="20"/>
                <w:color w:val="auto"/>
              </w:rPr>
            </w:pPr>
            <w:r>
              <w:rPr>
                <w:rFonts w:ascii="Arial" w:cs="Arial" w:eastAsia="Arial" w:hAnsi="Arial"/>
                <w:sz w:val="19"/>
                <w:szCs w:val="19"/>
                <w:color w:val="auto"/>
              </w:rPr>
              <w:t>$0.46875</w:t>
            </w:r>
          </w:p>
        </w:tc>
        <w:tc>
          <w:tcPr>
            <w:tcW w:w="1320" w:type="dxa"/>
            <w:vAlign w:val="bottom"/>
            <w:gridSpan w:val="2"/>
            <w:shd w:val="clear" w:color="auto" w:fill="E5FFFF"/>
          </w:tcPr>
          <w:p>
            <w:pPr>
              <w:jc w:val="right"/>
              <w:ind w:right="52"/>
              <w:spacing w:after="0"/>
              <w:rPr>
                <w:sz w:val="20"/>
                <w:szCs w:val="20"/>
                <w:color w:val="auto"/>
              </w:rPr>
            </w:pPr>
            <w:r>
              <w:rPr>
                <w:rFonts w:ascii="Arial" w:cs="Arial" w:eastAsia="Arial" w:hAnsi="Arial"/>
                <w:sz w:val="19"/>
                <w:szCs w:val="19"/>
                <w:color w:val="auto"/>
              </w:rPr>
              <w:t>85.0%</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13.0%</w:t>
            </w:r>
          </w:p>
        </w:tc>
      </w:tr>
      <w:tr>
        <w:trPr>
          <w:trHeight w:val="243"/>
        </w:trPr>
        <w:tc>
          <w:tcPr>
            <w:tcW w:w="4960" w:type="dxa"/>
            <w:vAlign w:val="bottom"/>
          </w:tcPr>
          <w:p>
            <w:pPr>
              <w:spacing w:after="0"/>
              <w:rPr>
                <w:sz w:val="20"/>
                <w:szCs w:val="20"/>
                <w:color w:val="auto"/>
              </w:rPr>
            </w:pPr>
            <w:r>
              <w:rPr>
                <w:rFonts w:ascii="Arial" w:cs="Arial" w:eastAsia="Arial" w:hAnsi="Arial"/>
                <w:sz w:val="19"/>
                <w:szCs w:val="19"/>
                <w:color w:val="auto"/>
              </w:rPr>
              <w:t>Third Target Distribution</w:t>
            </w:r>
          </w:p>
        </w:tc>
        <w:tc>
          <w:tcPr>
            <w:tcW w:w="900" w:type="dxa"/>
            <w:vAlign w:val="bottom"/>
          </w:tcPr>
          <w:p>
            <w:pPr>
              <w:ind w:left="80"/>
              <w:spacing w:after="0"/>
              <w:rPr>
                <w:sz w:val="20"/>
                <w:szCs w:val="20"/>
                <w:color w:val="auto"/>
              </w:rPr>
            </w:pPr>
            <w:r>
              <w:rPr>
                <w:rFonts w:ascii="Arial" w:cs="Arial" w:eastAsia="Arial" w:hAnsi="Arial"/>
                <w:sz w:val="19"/>
                <w:szCs w:val="19"/>
                <w:color w:val="auto"/>
              </w:rPr>
              <w:t>$0.46875</w:t>
            </w:r>
          </w:p>
        </w:tc>
        <w:tc>
          <w:tcPr>
            <w:tcW w:w="1220" w:type="dxa"/>
            <w:vAlign w:val="bottom"/>
          </w:tcPr>
          <w:p>
            <w:pPr>
              <w:jc w:val="center"/>
              <w:spacing w:after="0"/>
              <w:rPr>
                <w:sz w:val="20"/>
                <w:szCs w:val="20"/>
                <w:color w:val="auto"/>
              </w:rPr>
            </w:pPr>
            <w:r>
              <w:rPr>
                <w:rFonts w:ascii="Arial" w:cs="Arial" w:eastAsia="Arial" w:hAnsi="Arial"/>
                <w:sz w:val="19"/>
                <w:szCs w:val="19"/>
                <w:color w:val="auto"/>
                <w:w w:val="94"/>
              </w:rPr>
              <w:t>up to</w:t>
            </w:r>
          </w:p>
        </w:tc>
        <w:tc>
          <w:tcPr>
            <w:tcW w:w="960" w:type="dxa"/>
            <w:vAlign w:val="bottom"/>
          </w:tcPr>
          <w:p>
            <w:pPr>
              <w:ind w:left="40"/>
              <w:spacing w:after="0"/>
              <w:rPr>
                <w:sz w:val="20"/>
                <w:szCs w:val="20"/>
                <w:color w:val="auto"/>
              </w:rPr>
            </w:pPr>
            <w:r>
              <w:rPr>
                <w:rFonts w:ascii="Arial" w:cs="Arial" w:eastAsia="Arial" w:hAnsi="Arial"/>
                <w:sz w:val="19"/>
                <w:szCs w:val="19"/>
                <w:color w:val="auto"/>
              </w:rPr>
              <w:t>$0.5625</w:t>
            </w:r>
          </w:p>
        </w:tc>
        <w:tc>
          <w:tcPr>
            <w:tcW w:w="1320" w:type="dxa"/>
            <w:vAlign w:val="bottom"/>
            <w:gridSpan w:val="2"/>
          </w:tcPr>
          <w:p>
            <w:pPr>
              <w:jc w:val="right"/>
              <w:ind w:right="52"/>
              <w:spacing w:after="0"/>
              <w:rPr>
                <w:sz w:val="20"/>
                <w:szCs w:val="20"/>
                <w:color w:val="auto"/>
              </w:rPr>
            </w:pPr>
            <w:r>
              <w:rPr>
                <w:rFonts w:ascii="Arial" w:cs="Arial" w:eastAsia="Arial" w:hAnsi="Arial"/>
                <w:sz w:val="19"/>
                <w:szCs w:val="19"/>
                <w:color w:val="auto"/>
              </w:rPr>
              <w:t>75.0%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23.0%</w:t>
            </w:r>
          </w:p>
        </w:tc>
      </w:tr>
      <w:tr>
        <w:trPr>
          <w:trHeight w:val="243"/>
        </w:trPr>
        <w:tc>
          <w:tcPr>
            <w:tcW w:w="4960" w:type="dxa"/>
            <w:vAlign w:val="bottom"/>
            <w:shd w:val="clear" w:color="auto" w:fill="E5FFFF"/>
          </w:tcPr>
          <w:p>
            <w:pPr>
              <w:spacing w:after="0"/>
              <w:rPr>
                <w:sz w:val="20"/>
                <w:szCs w:val="20"/>
                <w:color w:val="auto"/>
              </w:rPr>
            </w:pPr>
            <w:r>
              <w:rPr>
                <w:rFonts w:ascii="Arial" w:cs="Arial" w:eastAsia="Arial" w:hAnsi="Arial"/>
                <w:sz w:val="19"/>
                <w:szCs w:val="19"/>
                <w:color w:val="auto"/>
              </w:rPr>
              <w:t>Thereafter</w:t>
            </w:r>
          </w:p>
        </w:tc>
        <w:tc>
          <w:tcPr>
            <w:tcW w:w="9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Above</w:t>
            </w:r>
          </w:p>
        </w:tc>
        <w:tc>
          <w:tcPr>
            <w:tcW w:w="1220" w:type="dxa"/>
            <w:vAlign w:val="bottom"/>
            <w:shd w:val="clear" w:color="auto" w:fill="E5FFFF"/>
          </w:tcPr>
          <w:p>
            <w:pPr>
              <w:spacing w:after="0"/>
              <w:rPr>
                <w:sz w:val="21"/>
                <w:szCs w:val="21"/>
                <w:color w:val="auto"/>
              </w:rPr>
            </w:pPr>
          </w:p>
        </w:tc>
        <w:tc>
          <w:tcPr>
            <w:tcW w:w="960" w:type="dxa"/>
            <w:vAlign w:val="bottom"/>
            <w:shd w:val="clear" w:color="auto" w:fill="E5FFFF"/>
          </w:tcPr>
          <w:p>
            <w:pPr>
              <w:ind w:left="40"/>
              <w:spacing w:after="0"/>
              <w:rPr>
                <w:sz w:val="20"/>
                <w:szCs w:val="20"/>
                <w:color w:val="auto"/>
              </w:rPr>
            </w:pPr>
            <w:r>
              <w:rPr>
                <w:rFonts w:ascii="Arial" w:cs="Arial" w:eastAsia="Arial" w:hAnsi="Arial"/>
                <w:sz w:val="19"/>
                <w:szCs w:val="19"/>
                <w:color w:val="auto"/>
              </w:rPr>
              <w:t>$0.5625</w:t>
            </w:r>
          </w:p>
        </w:tc>
        <w:tc>
          <w:tcPr>
            <w:tcW w:w="300" w:type="dxa"/>
            <w:vAlign w:val="bottom"/>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ind w:right="52"/>
              <w:spacing w:after="0"/>
              <w:rPr>
                <w:sz w:val="20"/>
                <w:szCs w:val="20"/>
                <w:color w:val="auto"/>
              </w:rPr>
            </w:pPr>
            <w:r>
              <w:rPr>
                <w:rFonts w:ascii="Arial" w:cs="Arial" w:eastAsia="Arial" w:hAnsi="Arial"/>
                <w:sz w:val="19"/>
                <w:szCs w:val="19"/>
                <w:color w:val="auto"/>
              </w:rPr>
              <w:t>50.0%</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48.0%</w:t>
            </w:r>
          </w:p>
        </w:tc>
      </w:tr>
    </w:tbl>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00" w:type="dxa"/>
            <w:vAlign w:val="bottom"/>
          </w:tcPr>
          <w:p>
            <w:pPr>
              <w:jc w:val="right"/>
              <w:ind w:right="105"/>
              <w:spacing w:after="0"/>
              <w:rPr>
                <w:sz w:val="20"/>
                <w:szCs w:val="20"/>
                <w:color w:val="auto"/>
              </w:rPr>
            </w:pPr>
            <w:r>
              <w:rPr>
                <w:rFonts w:ascii="Arial" w:cs="Arial" w:eastAsia="Arial" w:hAnsi="Arial"/>
                <w:sz w:val="16"/>
                <w:szCs w:val="16"/>
                <w:b w:val="1"/>
                <w:bCs w:val="1"/>
                <w:color w:val="auto"/>
              </w:rPr>
              <w:t>2015</w:t>
            </w:r>
          </w:p>
        </w:tc>
        <w:tc>
          <w:tcPr>
            <w:tcW w:w="1020" w:type="dxa"/>
            <w:vAlign w:val="bottom"/>
            <w:gridSpan w:val="2"/>
          </w:tcPr>
          <w:p>
            <w:pPr>
              <w:jc w:val="right"/>
              <w:ind w:right="10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29"/>
        </w:trPr>
        <w:tc>
          <w:tcPr>
            <w:tcW w:w="3020" w:type="dxa"/>
            <w:vAlign w:val="bottom"/>
            <w:tcBorders>
              <w:bottom w:val="single" w:sz="8" w:color="E5FFFF"/>
            </w:tcBorders>
            <w:vMerge w:val="restart"/>
            <w:shd w:val="clear" w:color="auto" w:fill="E5FFFF"/>
          </w:tcPr>
          <w:p>
            <w:pPr>
              <w:spacing w:after="0" w:line="183" w:lineRule="exact"/>
              <w:rPr>
                <w:sz w:val="20"/>
                <w:szCs w:val="20"/>
                <w:color w:val="auto"/>
              </w:rPr>
            </w:pPr>
            <w:r>
              <w:rPr>
                <w:rFonts w:ascii="Arial" w:cs="Arial" w:eastAsia="Arial" w:hAnsi="Arial"/>
                <w:sz w:val="19"/>
                <w:szCs w:val="19"/>
                <w:b w:val="1"/>
                <w:bCs w:val="1"/>
                <w:i w:val="1"/>
                <w:iCs w:val="1"/>
                <w:color w:val="auto"/>
                <w:w w:val="90"/>
              </w:rPr>
              <w:t>Allocation of GasLog Partners’ profit</w:t>
            </w:r>
          </w:p>
        </w:tc>
        <w:tc>
          <w:tcPr>
            <w:tcW w:w="120" w:type="dxa"/>
            <w:vAlign w:val="bottom"/>
            <w:tcBorders>
              <w:bottom w:val="single" w:sz="8" w:color="auto"/>
            </w:tcBorders>
            <w:shd w:val="clear" w:color="auto" w:fill="E5FFFF"/>
          </w:tcPr>
          <w:p>
            <w:pPr>
              <w:jc w:val="right"/>
              <w:spacing w:after="0" w:line="115" w:lineRule="exact"/>
              <w:rPr>
                <w:sz w:val="20"/>
                <w:szCs w:val="20"/>
                <w:color w:val="auto"/>
              </w:rPr>
            </w:pPr>
            <w:r>
              <w:rPr>
                <w:rFonts w:ascii="Arial" w:cs="Arial" w:eastAsia="Arial" w:hAnsi="Arial"/>
                <w:sz w:val="11"/>
                <w:szCs w:val="11"/>
                <w:b w:val="1"/>
                <w:bCs w:val="1"/>
                <w:i w:val="1"/>
                <w:iCs w:val="1"/>
                <w:color w:val="auto"/>
                <w:w w:val="85"/>
              </w:rPr>
              <w:t>(*)</w:t>
            </w:r>
          </w:p>
        </w:tc>
        <w:tc>
          <w:tcPr>
            <w:tcW w:w="5540" w:type="dxa"/>
            <w:vAlign w:val="bottom"/>
            <w:tcBorders>
              <w:bottom w:val="single" w:sz="8" w:color="E5FFFF"/>
            </w:tcBorders>
            <w:vMerge w:val="restart"/>
            <w:shd w:val="clear" w:color="auto" w:fill="E5FFFF"/>
          </w:tcPr>
          <w:p>
            <w:pPr>
              <w:spacing w:after="0"/>
              <w:rPr>
                <w:sz w:val="11"/>
                <w:szCs w:val="11"/>
                <w:color w:val="auto"/>
              </w:rPr>
            </w:pPr>
          </w:p>
        </w:tc>
        <w:tc>
          <w:tcPr>
            <w:tcW w:w="700" w:type="dxa"/>
            <w:vAlign w:val="bottom"/>
            <w:tcBorders>
              <w:top w:val="single" w:sz="8" w:color="auto"/>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720" w:type="dxa"/>
            <w:vAlign w:val="bottom"/>
            <w:tcBorders>
              <w:top w:val="single" w:sz="8" w:color="auto"/>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20" w:type="dxa"/>
            <w:vAlign w:val="bottom"/>
            <w:tcBorders>
              <w:bottom w:val="single" w:sz="8" w:color="auto"/>
            </w:tcBorders>
            <w:vMerge w:val="continue"/>
            <w:shd w:val="clear" w:color="auto" w:fill="E5FFFF"/>
          </w:tcPr>
          <w:p>
            <w:pPr>
              <w:spacing w:after="0"/>
              <w:rPr>
                <w:sz w:val="4"/>
                <w:szCs w:val="4"/>
                <w:color w:val="auto"/>
              </w:rPr>
            </w:pPr>
          </w:p>
        </w:tc>
        <w:tc>
          <w:tcPr>
            <w:tcW w:w="120" w:type="dxa"/>
            <w:vAlign w:val="bottom"/>
            <w:tcBorders>
              <w:bottom w:val="single" w:sz="8" w:color="E5FFFF"/>
            </w:tcBorders>
            <w:shd w:val="clear" w:color="auto" w:fill="E5FFFF"/>
          </w:tcPr>
          <w:p>
            <w:pPr>
              <w:spacing w:after="0"/>
              <w:rPr>
                <w:sz w:val="4"/>
                <w:szCs w:val="4"/>
                <w:color w:val="auto"/>
              </w:rPr>
            </w:pPr>
          </w:p>
        </w:tc>
        <w:tc>
          <w:tcPr>
            <w:tcW w:w="5540" w:type="dxa"/>
            <w:vAlign w:val="bottom"/>
            <w:tcBorders>
              <w:bottom w:val="single" w:sz="8" w:color="E5FFFF"/>
            </w:tcBorders>
            <w:vMerge w:val="continue"/>
            <w:shd w:val="clear" w:color="auto" w:fill="E5FFFF"/>
          </w:tcPr>
          <w:p>
            <w:pPr>
              <w:spacing w:after="0"/>
              <w:rPr>
                <w:sz w:val="4"/>
                <w:szCs w:val="4"/>
                <w:color w:val="auto"/>
              </w:rPr>
            </w:pPr>
          </w:p>
        </w:tc>
        <w:tc>
          <w:tcPr>
            <w:tcW w:w="700" w:type="dxa"/>
            <w:vAlign w:val="bottom"/>
            <w:tcBorders>
              <w:bottom w:val="single" w:sz="8" w:color="E5FFFF"/>
            </w:tcBorders>
            <w:shd w:val="clear" w:color="auto" w:fill="E5FFFF"/>
          </w:tcPr>
          <w:p>
            <w:pPr>
              <w:spacing w:after="0"/>
              <w:rPr>
                <w:sz w:val="4"/>
                <w:szCs w:val="4"/>
                <w:color w:val="auto"/>
              </w:rPr>
            </w:pPr>
          </w:p>
        </w:tc>
        <w:tc>
          <w:tcPr>
            <w:tcW w:w="300" w:type="dxa"/>
            <w:vAlign w:val="bottom"/>
            <w:tcBorders>
              <w:bottom w:val="single" w:sz="8" w:color="E5FFFF"/>
            </w:tcBorders>
            <w:shd w:val="clear" w:color="auto" w:fill="E5FFFF"/>
          </w:tcPr>
          <w:p>
            <w:pPr>
              <w:spacing w:after="0"/>
              <w:rPr>
                <w:sz w:val="4"/>
                <w:szCs w:val="4"/>
                <w:color w:val="auto"/>
              </w:rPr>
            </w:pPr>
          </w:p>
        </w:tc>
        <w:tc>
          <w:tcPr>
            <w:tcW w:w="720" w:type="dxa"/>
            <w:vAlign w:val="bottom"/>
            <w:tcBorders>
              <w:bottom w:val="single" w:sz="8" w:color="E5FFFF"/>
            </w:tcBorders>
            <w:shd w:val="clear" w:color="auto" w:fill="E5FF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680" w:type="dxa"/>
            <w:vAlign w:val="bottom"/>
            <w:tcBorders>
              <w:top w:val="single" w:sz="8" w:color="E5FFFF"/>
            </w:tcBorders>
            <w:gridSpan w:val="3"/>
          </w:tcPr>
          <w:p>
            <w:pPr>
              <w:spacing w:after="0"/>
              <w:rPr>
                <w:sz w:val="20"/>
                <w:szCs w:val="20"/>
                <w:color w:val="auto"/>
              </w:rPr>
            </w:pPr>
            <w:r>
              <w:rPr>
                <w:rFonts w:ascii="Arial" w:cs="Arial" w:eastAsia="Arial" w:hAnsi="Arial"/>
                <w:sz w:val="19"/>
                <w:szCs w:val="19"/>
                <w:color w:val="auto"/>
              </w:rPr>
              <w:t>Partnership’s profit attributable to:</w:t>
            </w:r>
          </w:p>
        </w:tc>
        <w:tc>
          <w:tcPr>
            <w:tcW w:w="700" w:type="dxa"/>
            <w:vAlign w:val="bottom"/>
            <w:tcBorders>
              <w:top w:val="single" w:sz="8" w:color="E5FFFF"/>
            </w:tcBorders>
          </w:tcPr>
          <w:p>
            <w:pPr>
              <w:spacing w:after="0"/>
              <w:rPr>
                <w:sz w:val="19"/>
                <w:szCs w:val="19"/>
                <w:color w:val="auto"/>
              </w:rPr>
            </w:pPr>
          </w:p>
        </w:tc>
        <w:tc>
          <w:tcPr>
            <w:tcW w:w="300" w:type="dxa"/>
            <w:vAlign w:val="bottom"/>
            <w:tcBorders>
              <w:top w:val="single" w:sz="8" w:color="E5FFFF"/>
            </w:tcBorders>
          </w:tcPr>
          <w:p>
            <w:pPr>
              <w:spacing w:after="0"/>
              <w:rPr>
                <w:sz w:val="19"/>
                <w:szCs w:val="19"/>
                <w:color w:val="auto"/>
              </w:rPr>
            </w:pPr>
          </w:p>
        </w:tc>
        <w:tc>
          <w:tcPr>
            <w:tcW w:w="720" w:type="dxa"/>
            <w:vAlign w:val="bottom"/>
            <w:tcBorders>
              <w:top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Common unitholders</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43,198</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49,886</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Arial" w:cs="Arial" w:eastAsia="Arial" w:hAnsi="Arial"/>
                <w:sz w:val="19"/>
                <w:szCs w:val="19"/>
                <w:color w:val="auto"/>
              </w:rPr>
              <w:t>Subordinated unitholders</w:t>
            </w:r>
          </w:p>
        </w:tc>
        <w:tc>
          <w:tcPr>
            <w:tcW w:w="700" w:type="dxa"/>
            <w:vAlign w:val="bottom"/>
          </w:tcPr>
          <w:p>
            <w:pPr>
              <w:jc w:val="right"/>
              <w:spacing w:after="0"/>
              <w:rPr>
                <w:sz w:val="20"/>
                <w:szCs w:val="20"/>
                <w:color w:val="auto"/>
              </w:rPr>
            </w:pPr>
            <w:r>
              <w:rPr>
                <w:rFonts w:ascii="Arial" w:cs="Arial" w:eastAsia="Arial" w:hAnsi="Arial"/>
                <w:sz w:val="19"/>
                <w:szCs w:val="19"/>
                <w:color w:val="auto"/>
              </w:rPr>
              <w:t>18,135</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21,048</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General partner</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1,301</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1,545</w:t>
            </w:r>
          </w:p>
        </w:tc>
        <w:tc>
          <w:tcPr>
            <w:tcW w:w="0" w:type="dxa"/>
            <w:vAlign w:val="bottom"/>
          </w:tcPr>
          <w:p>
            <w:pPr>
              <w:spacing w:after="0"/>
              <w:rPr>
                <w:sz w:val="1"/>
                <w:szCs w:val="1"/>
                <w:color w:val="auto"/>
              </w:rPr>
            </w:pPr>
          </w:p>
        </w:tc>
      </w:tr>
      <w:tr>
        <w:trPr>
          <w:trHeight w:val="250"/>
        </w:trPr>
        <w:tc>
          <w:tcPr>
            <w:tcW w:w="8680" w:type="dxa"/>
            <w:vAlign w:val="bottom"/>
            <w:gridSpan w:val="3"/>
          </w:tcPr>
          <w:p>
            <w:pPr>
              <w:spacing w:after="0"/>
              <w:rPr>
                <w:sz w:val="20"/>
                <w:szCs w:val="20"/>
                <w:color w:val="auto"/>
              </w:rPr>
            </w:pPr>
            <w:r>
              <w:rPr>
                <w:rFonts w:ascii="Arial" w:cs="Arial" w:eastAsia="Arial" w:hAnsi="Arial"/>
                <w:sz w:val="19"/>
                <w:szCs w:val="19"/>
                <w:color w:val="auto"/>
              </w:rPr>
              <w:t>IDRs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2,406</w:t>
            </w:r>
          </w:p>
        </w:tc>
        <w:tc>
          <w:tcPr>
            <w:tcW w:w="3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4,791</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65,040</w:t>
            </w:r>
          </w:p>
        </w:tc>
        <w:tc>
          <w:tcPr>
            <w:tcW w:w="30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77,270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tcPr>
          <w:p>
            <w:pPr>
              <w:spacing w:after="0"/>
              <w:rPr>
                <w:sz w:val="20"/>
                <w:szCs w:val="20"/>
                <w:color w:val="auto"/>
              </w:rPr>
            </w:pPr>
            <w:r>
              <w:rPr>
                <w:rFonts w:ascii="Arial" w:cs="Arial" w:eastAsia="Arial" w:hAnsi="Arial"/>
                <w:sz w:val="19"/>
                <w:szCs w:val="19"/>
                <w:color w:val="auto"/>
              </w:rPr>
              <w:t>Partnership’s profit allocated to GasLog</w:t>
            </w:r>
          </w:p>
        </w:tc>
        <w:tc>
          <w:tcPr>
            <w:tcW w:w="700" w:type="dxa"/>
            <w:vAlign w:val="bottom"/>
          </w:tcPr>
          <w:p>
            <w:pPr>
              <w:jc w:val="right"/>
              <w:spacing w:after="0"/>
              <w:rPr>
                <w:sz w:val="20"/>
                <w:szCs w:val="20"/>
                <w:color w:val="auto"/>
              </w:rPr>
            </w:pPr>
            <w:r>
              <w:rPr>
                <w:rFonts w:ascii="Arial" w:cs="Arial" w:eastAsia="Arial" w:hAnsi="Arial"/>
                <w:sz w:val="19"/>
                <w:szCs w:val="19"/>
                <w:color w:val="auto"/>
              </w:rPr>
              <w:t>22,201</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27,733</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Partnership’s profit allocated to non-controlling interest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42,839</w:t>
            </w:r>
          </w:p>
        </w:tc>
        <w:tc>
          <w:tcPr>
            <w:tcW w:w="30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49,537</w:t>
            </w:r>
          </w:p>
        </w:tc>
        <w:tc>
          <w:tcPr>
            <w:tcW w:w="0" w:type="dxa"/>
            <w:vAlign w:val="bottom"/>
          </w:tcPr>
          <w:p>
            <w:pPr>
              <w:spacing w:after="0"/>
              <w:rPr>
                <w:sz w:val="1"/>
                <w:szCs w:val="1"/>
                <w:color w:val="auto"/>
              </w:rPr>
            </w:pPr>
          </w:p>
        </w:tc>
      </w:tr>
      <w:tr>
        <w:trPr>
          <w:trHeight w:val="250"/>
        </w:trPr>
        <w:tc>
          <w:tcPr>
            <w:tcW w:w="8680" w:type="dxa"/>
            <w:vAlign w:val="bottom"/>
            <w:gridSpan w:val="3"/>
          </w:tcPr>
          <w:p>
            <w:pPr>
              <w:spacing w:after="0"/>
              <w:rPr>
                <w:sz w:val="20"/>
                <w:szCs w:val="20"/>
                <w:color w:val="auto"/>
              </w:rPr>
            </w:pPr>
            <w:r>
              <w:rPr>
                <w:rFonts w:ascii="Arial" w:cs="Arial" w:eastAsia="Arial" w:hAnsi="Arial"/>
                <w:sz w:val="19"/>
                <w:szCs w:val="19"/>
                <w:b w:val="1"/>
                <w:bCs w:val="1"/>
                <w:color w:val="auto"/>
              </w:rPr>
              <w:t>Total</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65,040</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77,270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right="160" w:hanging="169"/>
        <w:spacing w:after="0" w:line="251"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Includes profits of: (i) GAS-nineteen Ltd., GAS-twenty Ltd. and GAS-twenty one Ltd. for the period after their transfer to the Partnership on July 1, 2015, and (ii) GAS-seven Ltd. for the period after its transfer to the Partnership on November 1, 2016.</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Investment in Associate and Joint Venture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Group participates in the following associate and joint venture: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4"/>
              </w:rPr>
              <w:t>% of</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6"/>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87"/>
              </w:rPr>
              <w:t>ownership</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9"/>
        </w:trPr>
        <w:tc>
          <w:tcPr>
            <w:tcW w:w="3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Country of</w:t>
            </w:r>
          </w:p>
        </w:tc>
        <w:tc>
          <w:tcPr>
            <w:tcW w:w="300" w:type="dxa"/>
            <w:vAlign w:val="bottom"/>
          </w:tcPr>
          <w:p>
            <w:pPr>
              <w:spacing w:after="0"/>
              <w:rPr>
                <w:sz w:val="17"/>
                <w:szCs w:val="17"/>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6"/>
              </w:rPr>
              <w:t>interest</w:t>
            </w:r>
          </w:p>
        </w:tc>
        <w:tc>
          <w:tcPr>
            <w:tcW w:w="3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Nature of</w:t>
            </w:r>
          </w:p>
        </w:tc>
        <w:tc>
          <w:tcPr>
            <w:tcW w:w="3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Measurement</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9"/>
        </w:trPr>
        <w:tc>
          <w:tcPr>
            <w:tcW w:w="3120" w:type="dxa"/>
            <w:vAlign w:val="bottom"/>
          </w:tcPr>
          <w:p>
            <w:pPr>
              <w:jc w:val="right"/>
              <w:ind w:right="1281"/>
              <w:spacing w:after="0" w:line="169" w:lineRule="exact"/>
              <w:rPr>
                <w:sz w:val="20"/>
                <w:szCs w:val="20"/>
                <w:color w:val="auto"/>
              </w:rPr>
            </w:pPr>
            <w:r>
              <w:rPr>
                <w:rFonts w:ascii="Arial" w:cs="Arial" w:eastAsia="Arial" w:hAnsi="Arial"/>
                <w:sz w:val="16"/>
                <w:szCs w:val="16"/>
                <w:b w:val="1"/>
                <w:bCs w:val="1"/>
                <w:color w:val="auto"/>
              </w:rPr>
              <w:t>Name</w:t>
            </w:r>
          </w:p>
        </w:tc>
        <w:tc>
          <w:tcPr>
            <w:tcW w:w="32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1"/>
              </w:rPr>
              <w:t>incorporation</w:t>
            </w:r>
          </w:p>
        </w:tc>
        <w:tc>
          <w:tcPr>
            <w:tcW w:w="300" w:type="dxa"/>
            <w:vAlign w:val="bottom"/>
          </w:tcPr>
          <w:p>
            <w:pPr>
              <w:spacing w:after="0"/>
              <w:rPr>
                <w:sz w:val="14"/>
                <w:szCs w:val="14"/>
                <w:color w:val="auto"/>
              </w:rPr>
            </w:pPr>
          </w:p>
        </w:tc>
        <w:tc>
          <w:tcPr>
            <w:tcW w:w="6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84"/>
              </w:rPr>
              <w:t>2015</w:t>
            </w:r>
          </w:p>
        </w:tc>
        <w:tc>
          <w:tcPr>
            <w:tcW w:w="1000" w:type="dxa"/>
            <w:vAlign w:val="bottom"/>
            <w:gridSpan w:val="3"/>
          </w:tcPr>
          <w:p>
            <w:pPr>
              <w:jc w:val="center"/>
              <w:ind w:left="281"/>
              <w:spacing w:after="0" w:line="169" w:lineRule="exact"/>
              <w:rPr>
                <w:sz w:val="20"/>
                <w:szCs w:val="20"/>
                <w:color w:val="auto"/>
              </w:rPr>
            </w:pPr>
            <w:r>
              <w:rPr>
                <w:rFonts w:ascii="Arial" w:cs="Arial" w:eastAsia="Arial" w:hAnsi="Arial"/>
                <w:sz w:val="16"/>
                <w:szCs w:val="16"/>
                <w:b w:val="1"/>
                <w:bCs w:val="1"/>
                <w:color w:val="auto"/>
                <w:w w:val="89"/>
              </w:rPr>
              <w:t>2016</w:t>
            </w:r>
          </w:p>
        </w:tc>
        <w:tc>
          <w:tcPr>
            <w:tcW w:w="30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88"/>
              </w:rPr>
              <w:t>relationship</w:t>
            </w:r>
          </w:p>
        </w:tc>
        <w:tc>
          <w:tcPr>
            <w:tcW w:w="30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86"/>
              </w:rPr>
              <w:t>method</w:t>
            </w:r>
          </w:p>
        </w:tc>
        <w:tc>
          <w:tcPr>
            <w:tcW w:w="300" w:type="dxa"/>
            <w:vAlign w:val="bottom"/>
          </w:tcPr>
          <w:p>
            <w:pPr>
              <w:spacing w:after="0"/>
              <w:rPr>
                <w:sz w:val="14"/>
                <w:szCs w:val="14"/>
                <w:color w:val="auto"/>
              </w:rPr>
            </w:pPr>
          </w:p>
        </w:tc>
        <w:tc>
          <w:tcPr>
            <w:tcW w:w="1220" w:type="dxa"/>
            <w:vAlign w:val="bottom"/>
          </w:tcPr>
          <w:p>
            <w:pPr>
              <w:ind w:left="20"/>
              <w:spacing w:after="0" w:line="169" w:lineRule="exact"/>
              <w:rPr>
                <w:sz w:val="20"/>
                <w:szCs w:val="20"/>
                <w:color w:val="auto"/>
              </w:rPr>
            </w:pPr>
            <w:r>
              <w:rPr>
                <w:rFonts w:ascii="Arial" w:cs="Arial" w:eastAsia="Arial" w:hAnsi="Arial"/>
                <w:sz w:val="16"/>
                <w:szCs w:val="16"/>
                <w:b w:val="1"/>
                <w:bCs w:val="1"/>
                <w:color w:val="auto"/>
                <w:w w:val="92"/>
              </w:rPr>
              <w:t>Principal activity</w:t>
            </w:r>
          </w:p>
        </w:tc>
      </w:tr>
      <w:tr>
        <w:trPr>
          <w:trHeight w:val="149"/>
        </w:trPr>
        <w:tc>
          <w:tcPr>
            <w:tcW w:w="3120" w:type="dxa"/>
            <w:vAlign w:val="bottom"/>
            <w:tcBorders>
              <w:top w:val="single" w:sz="8" w:color="auto"/>
            </w:tcBorders>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60" w:type="dxa"/>
            <w:vAlign w:val="bottom"/>
            <w:tcBorders>
              <w:top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00" w:type="dxa"/>
            <w:vAlign w:val="bottom"/>
            <w:tcBorders>
              <w:top w:val="single" w:sz="8" w:color="auto"/>
            </w:tcBorders>
            <w:shd w:val="clear" w:color="auto" w:fill="E5FFFF"/>
          </w:tcPr>
          <w:p>
            <w:pPr>
              <w:spacing w:after="0"/>
              <w:rPr>
                <w:sz w:val="12"/>
                <w:szCs w:val="12"/>
                <w:color w:val="auto"/>
              </w:rPr>
            </w:pPr>
          </w:p>
        </w:tc>
        <w:tc>
          <w:tcPr>
            <w:tcW w:w="60" w:type="dxa"/>
            <w:vAlign w:val="bottom"/>
            <w:tcBorders>
              <w:top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640" w:type="dxa"/>
            <w:vAlign w:val="bottom"/>
            <w:tcBorders>
              <w:top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180" w:type="dxa"/>
            <w:vAlign w:val="bottom"/>
            <w:tcBorders>
              <w:top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320" w:type="dxa"/>
            <w:vAlign w:val="bottom"/>
            <w:tcBorders>
              <w:top w:val="single" w:sz="8" w:color="auto"/>
            </w:tcBorders>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220" w:type="dxa"/>
            <w:vAlign w:val="bottom"/>
            <w:tcBorders>
              <w:top w:val="single" w:sz="8" w:color="auto"/>
            </w:tcBorders>
            <w:shd w:val="clear" w:color="auto" w:fill="E5FFFF"/>
          </w:tcPr>
          <w:p>
            <w:pPr>
              <w:spacing w:after="0" w:line="149" w:lineRule="exact"/>
              <w:rPr>
                <w:sz w:val="20"/>
                <w:szCs w:val="20"/>
                <w:color w:val="auto"/>
              </w:rPr>
            </w:pPr>
            <w:r>
              <w:rPr>
                <w:rFonts w:ascii="Arial" w:cs="Arial" w:eastAsia="Arial" w:hAnsi="Arial"/>
                <w:sz w:val="16"/>
                <w:szCs w:val="16"/>
                <w:color w:val="auto"/>
              </w:rPr>
              <w:t>Vessel-owning</w:t>
            </w:r>
          </w:p>
        </w:tc>
      </w:tr>
      <w:tr>
        <w:trPr>
          <w:trHeight w:val="195"/>
        </w:trPr>
        <w:tc>
          <w:tcPr>
            <w:tcW w:w="3120" w:type="dxa"/>
            <w:vAlign w:val="bottom"/>
            <w:shd w:val="clear" w:color="auto" w:fill="E5FFFF"/>
          </w:tcPr>
          <w:p>
            <w:pPr>
              <w:jc w:val="right"/>
              <w:ind w:right="1281"/>
              <w:spacing w:after="0"/>
              <w:rPr>
                <w:sz w:val="20"/>
                <w:szCs w:val="20"/>
                <w:color w:val="auto"/>
              </w:rPr>
            </w:pPr>
            <w:r>
              <w:rPr>
                <w:rFonts w:ascii="Arial" w:cs="Arial" w:eastAsia="Arial" w:hAnsi="Arial"/>
                <w:sz w:val="16"/>
                <w:szCs w:val="16"/>
                <w:color w:val="auto"/>
                <w:w w:val="93"/>
              </w:rPr>
              <w:t>Egypt LNG Shipping Ltd.</w:t>
            </w:r>
            <w:r>
              <w:rPr>
                <w:rFonts w:ascii="Arial" w:cs="Arial" w:eastAsia="Arial" w:hAnsi="Arial"/>
                <w:sz w:val="8"/>
                <w:szCs w:val="8"/>
                <w:color w:val="auto"/>
                <w:w w:val="93"/>
              </w:rPr>
              <w:t>(1)</w:t>
            </w:r>
          </w:p>
        </w:tc>
        <w:tc>
          <w:tcPr>
            <w:tcW w:w="320" w:type="dxa"/>
            <w:vAlign w:val="bottom"/>
            <w:shd w:val="clear" w:color="auto" w:fill="E5FFFF"/>
          </w:tcPr>
          <w:p>
            <w:pPr>
              <w:spacing w:after="0"/>
              <w:rPr>
                <w:sz w:val="16"/>
                <w:szCs w:val="16"/>
                <w:color w:val="auto"/>
              </w:rPr>
            </w:pPr>
          </w:p>
        </w:tc>
        <w:tc>
          <w:tcPr>
            <w:tcW w:w="1460" w:type="dxa"/>
            <w:vAlign w:val="bottom"/>
            <w:shd w:val="clear" w:color="auto" w:fill="E5FFFF"/>
          </w:tcPr>
          <w:p>
            <w:pPr>
              <w:spacing w:after="0"/>
              <w:rPr>
                <w:sz w:val="20"/>
                <w:szCs w:val="20"/>
                <w:color w:val="auto"/>
              </w:rPr>
            </w:pPr>
            <w:r>
              <w:rPr>
                <w:rFonts w:ascii="Arial" w:cs="Arial" w:eastAsia="Arial" w:hAnsi="Arial"/>
                <w:sz w:val="16"/>
                <w:szCs w:val="16"/>
                <w:color w:val="auto"/>
              </w:rPr>
              <w:t>Bermuda</w:t>
            </w:r>
          </w:p>
        </w:tc>
        <w:tc>
          <w:tcPr>
            <w:tcW w:w="900" w:type="dxa"/>
            <w:vAlign w:val="bottom"/>
            <w:gridSpan w:val="2"/>
            <w:shd w:val="clear" w:color="auto" w:fill="E5FFFF"/>
          </w:tcPr>
          <w:p>
            <w:pPr>
              <w:jc w:val="center"/>
              <w:ind w:left="281"/>
              <w:spacing w:after="0"/>
              <w:rPr>
                <w:sz w:val="20"/>
                <w:szCs w:val="20"/>
                <w:color w:val="auto"/>
              </w:rPr>
            </w:pPr>
            <w:r>
              <w:rPr>
                <w:rFonts w:ascii="Arial" w:cs="Arial" w:eastAsia="Arial" w:hAnsi="Arial"/>
                <w:sz w:val="16"/>
                <w:szCs w:val="16"/>
                <w:color w:val="auto"/>
                <w:w w:val="93"/>
              </w:rPr>
              <w:t>25%</w:t>
            </w:r>
          </w:p>
        </w:tc>
        <w:tc>
          <w:tcPr>
            <w:tcW w:w="1000" w:type="dxa"/>
            <w:vAlign w:val="bottom"/>
            <w:gridSpan w:val="3"/>
            <w:shd w:val="clear" w:color="auto" w:fill="E5FFFF"/>
          </w:tcPr>
          <w:p>
            <w:pPr>
              <w:jc w:val="center"/>
              <w:ind w:left="281"/>
              <w:spacing w:after="0"/>
              <w:rPr>
                <w:sz w:val="20"/>
                <w:szCs w:val="20"/>
                <w:color w:val="auto"/>
              </w:rPr>
            </w:pPr>
            <w:r>
              <w:rPr>
                <w:rFonts w:ascii="Arial" w:cs="Arial" w:eastAsia="Arial" w:hAnsi="Arial"/>
                <w:sz w:val="16"/>
                <w:szCs w:val="16"/>
                <w:color w:val="auto"/>
                <w:w w:val="87"/>
              </w:rPr>
              <w:t>25%</w:t>
            </w:r>
          </w:p>
        </w:tc>
        <w:tc>
          <w:tcPr>
            <w:tcW w:w="148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Associate</w:t>
            </w:r>
          </w:p>
        </w:tc>
        <w:tc>
          <w:tcPr>
            <w:tcW w:w="30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20"/>
                <w:szCs w:val="20"/>
                <w:color w:val="auto"/>
              </w:rPr>
            </w:pPr>
            <w:r>
              <w:rPr>
                <w:rFonts w:ascii="Arial" w:cs="Arial" w:eastAsia="Arial" w:hAnsi="Arial"/>
                <w:sz w:val="16"/>
                <w:szCs w:val="16"/>
                <w:color w:val="auto"/>
              </w:rPr>
              <w:t>Equity method</w:t>
            </w:r>
          </w:p>
        </w:tc>
        <w:tc>
          <w:tcPr>
            <w:tcW w:w="30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company</w:t>
            </w:r>
          </w:p>
        </w:tc>
      </w:tr>
      <w:tr>
        <w:trPr>
          <w:trHeight w:val="249"/>
        </w:trPr>
        <w:tc>
          <w:tcPr>
            <w:tcW w:w="3120" w:type="dxa"/>
            <w:vAlign w:val="bottom"/>
          </w:tcPr>
          <w:p>
            <w:pPr>
              <w:jc w:val="right"/>
              <w:ind w:right="1461"/>
              <w:spacing w:after="0"/>
              <w:rPr>
                <w:sz w:val="20"/>
                <w:szCs w:val="20"/>
                <w:color w:val="auto"/>
              </w:rPr>
            </w:pPr>
            <w:r>
              <w:rPr>
                <w:rFonts w:ascii="Arial" w:cs="Arial" w:eastAsia="Arial" w:hAnsi="Arial"/>
                <w:sz w:val="16"/>
                <w:szCs w:val="16"/>
                <w:color w:val="auto"/>
                <w:w w:val="93"/>
              </w:rPr>
              <w:t>The Cool Pool Limited</w:t>
            </w:r>
            <w:r>
              <w:rPr>
                <w:rFonts w:ascii="Arial" w:cs="Arial" w:eastAsia="Arial" w:hAnsi="Arial"/>
                <w:sz w:val="8"/>
                <w:szCs w:val="8"/>
                <w:color w:val="auto"/>
                <w:w w:val="93"/>
              </w:rPr>
              <w:t>(2)</w:t>
            </w:r>
          </w:p>
        </w:tc>
        <w:tc>
          <w:tcPr>
            <w:tcW w:w="3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Marshall Islands</w:t>
            </w:r>
          </w:p>
        </w:tc>
        <w:tc>
          <w:tcPr>
            <w:tcW w:w="900" w:type="dxa"/>
            <w:vAlign w:val="bottom"/>
            <w:gridSpan w:val="2"/>
          </w:tcPr>
          <w:p>
            <w:pPr>
              <w:jc w:val="center"/>
              <w:ind w:left="281"/>
              <w:spacing w:after="0"/>
              <w:rPr>
                <w:sz w:val="20"/>
                <w:szCs w:val="20"/>
                <w:color w:val="auto"/>
              </w:rPr>
            </w:pPr>
            <w:r>
              <w:rPr>
                <w:rFonts w:ascii="Arial" w:cs="Arial" w:eastAsia="Arial" w:hAnsi="Arial"/>
                <w:sz w:val="16"/>
                <w:szCs w:val="16"/>
                <w:color w:val="auto"/>
                <w:w w:val="92"/>
              </w:rPr>
              <w:t>33.33%</w:t>
            </w:r>
          </w:p>
        </w:tc>
        <w:tc>
          <w:tcPr>
            <w:tcW w:w="1000" w:type="dxa"/>
            <w:vAlign w:val="bottom"/>
            <w:gridSpan w:val="3"/>
          </w:tcPr>
          <w:p>
            <w:pPr>
              <w:jc w:val="center"/>
              <w:ind w:left="281"/>
              <w:spacing w:after="0"/>
              <w:rPr>
                <w:sz w:val="20"/>
                <w:szCs w:val="20"/>
                <w:color w:val="auto"/>
              </w:rPr>
            </w:pPr>
            <w:r>
              <w:rPr>
                <w:rFonts w:ascii="Arial" w:cs="Arial" w:eastAsia="Arial" w:hAnsi="Arial"/>
                <w:sz w:val="16"/>
                <w:szCs w:val="16"/>
                <w:color w:val="auto"/>
                <w:w w:val="88"/>
              </w:rPr>
              <w:t>33.33%</w:t>
            </w:r>
          </w:p>
        </w:tc>
        <w:tc>
          <w:tcPr>
            <w:tcW w:w="1480" w:type="dxa"/>
            <w:vAlign w:val="bottom"/>
            <w:gridSpan w:val="2"/>
          </w:tcPr>
          <w:p>
            <w:pPr>
              <w:ind w:left="300"/>
              <w:spacing w:after="0"/>
              <w:rPr>
                <w:sz w:val="20"/>
                <w:szCs w:val="20"/>
                <w:color w:val="auto"/>
              </w:rPr>
            </w:pPr>
            <w:r>
              <w:rPr>
                <w:rFonts w:ascii="Arial" w:cs="Arial" w:eastAsia="Arial" w:hAnsi="Arial"/>
                <w:sz w:val="16"/>
                <w:szCs w:val="16"/>
                <w:color w:val="auto"/>
              </w:rPr>
              <w:t>Joint venture</w:t>
            </w:r>
          </w:p>
        </w:tc>
        <w:tc>
          <w:tcPr>
            <w:tcW w:w="3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Equity method</w:t>
            </w:r>
          </w:p>
        </w:tc>
        <w:tc>
          <w:tcPr>
            <w:tcW w:w="3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6"/>
                <w:szCs w:val="16"/>
                <w:color w:val="auto"/>
                <w:w w:val="97"/>
              </w:rPr>
              <w:t>Service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975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79" w:lineRule="exact"/>
        <w:rPr>
          <w:sz w:val="20"/>
          <w:szCs w:val="20"/>
          <w:color w:val="auto"/>
        </w:rPr>
      </w:pPr>
    </w:p>
    <w:p>
      <w:pPr>
        <w:ind w:left="280" w:hanging="200"/>
        <w:spacing w:after="0"/>
        <w:tabs>
          <w:tab w:leader="none" w:pos="280" w:val="left"/>
        </w:tabs>
        <w:numPr>
          <w:ilvl w:val="0"/>
          <w:numId w:val="101"/>
        </w:numPr>
        <w:rPr>
          <w:rFonts w:ascii="Arial" w:cs="Arial" w:eastAsia="Arial" w:hAnsi="Arial"/>
          <w:sz w:val="9"/>
          <w:szCs w:val="9"/>
          <w:color w:val="auto"/>
        </w:rPr>
      </w:pPr>
      <w:r>
        <w:rPr>
          <w:rFonts w:ascii="Arial" w:cs="Arial" w:eastAsia="Arial" w:hAnsi="Arial"/>
          <w:sz w:val="16"/>
          <w:szCs w:val="16"/>
          <w:color w:val="auto"/>
        </w:rPr>
        <w:t>Egypt LNG Shipping Ltd. owns and operates a 145,000 cubic meter LNG vessel built in 2007.</w:t>
      </w:r>
    </w:p>
    <w:p>
      <w:pPr>
        <w:spacing w:after="0" w:line="86" w:lineRule="exact"/>
        <w:rPr>
          <w:rFonts w:ascii="Arial" w:cs="Arial" w:eastAsia="Arial" w:hAnsi="Arial"/>
          <w:sz w:val="9"/>
          <w:szCs w:val="9"/>
          <w:color w:val="auto"/>
        </w:rPr>
      </w:pPr>
    </w:p>
    <w:p>
      <w:pPr>
        <w:ind w:left="280" w:hanging="200"/>
        <w:spacing w:after="0"/>
        <w:tabs>
          <w:tab w:leader="none" w:pos="280" w:val="left"/>
        </w:tabs>
        <w:numPr>
          <w:ilvl w:val="0"/>
          <w:numId w:val="101"/>
        </w:numPr>
        <w:rPr>
          <w:rFonts w:ascii="Arial" w:cs="Arial" w:eastAsia="Arial" w:hAnsi="Arial"/>
          <w:sz w:val="9"/>
          <w:szCs w:val="9"/>
          <w:color w:val="auto"/>
        </w:rPr>
      </w:pPr>
      <w:r>
        <w:rPr>
          <w:rFonts w:ascii="Arial" w:cs="Arial" w:eastAsia="Arial" w:hAnsi="Arial"/>
          <w:sz w:val="16"/>
          <w:szCs w:val="16"/>
          <w:color w:val="auto"/>
        </w:rPr>
        <w:t>The Cool Pool Limited is the commercial manager of the Cool Pool acting as an agent (Note 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159" w:name="page160"/>
    <w:bookmarkEnd w:id="159"/>
    <w:p>
      <w:pPr>
        <w:ind w:left="360"/>
        <w:spacing w:after="0"/>
        <w:rPr>
          <w:sz w:val="20"/>
          <w:szCs w:val="20"/>
          <w:color w:val="auto"/>
        </w:rPr>
      </w:pPr>
      <w:r>
        <w:rPr>
          <w:rFonts w:ascii="Arial" w:cs="Arial" w:eastAsia="Arial" w:hAnsi="Arial"/>
          <w:sz w:val="19"/>
          <w:szCs w:val="19"/>
          <w:color w:val="auto"/>
        </w:rPr>
        <w:t>Investment in associate and joint venture consist of the following:</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71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6"/>
                <w:szCs w:val="16"/>
                <w:b w:val="1"/>
                <w:bCs w:val="1"/>
                <w:color w:val="auto"/>
              </w:rPr>
              <w:t>Associate</w:t>
            </w:r>
          </w:p>
        </w:tc>
        <w:tc>
          <w:tcPr>
            <w:tcW w:w="320" w:type="dxa"/>
            <w:vAlign w:val="bottom"/>
          </w:tcPr>
          <w:p>
            <w:pPr>
              <w:spacing w:after="0"/>
              <w:rPr>
                <w:sz w:val="17"/>
                <w:szCs w:val="17"/>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Joint Venture</w:t>
            </w:r>
          </w:p>
        </w:tc>
      </w:tr>
      <w:tr>
        <w:trPr>
          <w:trHeight w:val="169"/>
        </w:trPr>
        <w:tc>
          <w:tcPr>
            <w:tcW w:w="712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09"/>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38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w w:val="89"/>
              </w:rPr>
              <w:t>2015</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7120" w:type="dxa"/>
            <w:vAlign w:val="bottom"/>
            <w:shd w:val="clear" w:color="auto" w:fill="E5FFFF"/>
          </w:tcPr>
          <w:p>
            <w:pPr>
              <w:spacing w:after="0"/>
              <w:rPr>
                <w:sz w:val="20"/>
                <w:szCs w:val="20"/>
                <w:color w:val="auto"/>
              </w:rPr>
            </w:pPr>
            <w:r>
              <w:rPr>
                <w:rFonts w:ascii="Arial" w:cs="Arial" w:eastAsia="Arial" w:hAnsi="Arial"/>
                <w:sz w:val="19"/>
                <w:szCs w:val="19"/>
                <w:color w:val="auto"/>
              </w:rPr>
              <w:t>As of January 1,</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6,603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6,219</w:t>
            </w:r>
          </w:p>
        </w:tc>
        <w:tc>
          <w:tcPr>
            <w:tcW w:w="320" w:type="dxa"/>
            <w:vAlign w:val="bottom"/>
            <w:shd w:val="clear" w:color="auto" w:fill="E5FFFF"/>
          </w:tcPr>
          <w:p>
            <w:pPr>
              <w:spacing w:after="0"/>
              <w:rPr>
                <w:sz w:val="20"/>
                <w:szCs w:val="20"/>
                <w:color w:val="auto"/>
              </w:rPr>
            </w:pPr>
          </w:p>
        </w:tc>
        <w:tc>
          <w:tcPr>
            <w:tcW w:w="380" w:type="dxa"/>
            <w:vAlign w:val="bottom"/>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w:t>
            </w:r>
          </w:p>
        </w:tc>
      </w:tr>
      <w:tr>
        <w:trPr>
          <w:trHeight w:val="243"/>
        </w:trPr>
        <w:tc>
          <w:tcPr>
            <w:tcW w:w="7120" w:type="dxa"/>
            <w:vAlign w:val="bottom"/>
          </w:tcPr>
          <w:p>
            <w:pPr>
              <w:spacing w:after="0"/>
              <w:rPr>
                <w:sz w:val="20"/>
                <w:szCs w:val="20"/>
                <w:color w:val="auto"/>
              </w:rPr>
            </w:pPr>
            <w:r>
              <w:rPr>
                <w:rFonts w:ascii="Arial" w:cs="Arial" w:eastAsia="Arial" w:hAnsi="Arial"/>
                <w:sz w:val="19"/>
                <w:szCs w:val="19"/>
                <w:color w:val="auto"/>
              </w:rPr>
              <w:t>Additions/(write-offs)</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tcPr>
          <w:p>
            <w:pPr>
              <w:ind w:left="440"/>
              <w:spacing w:after="0"/>
              <w:rPr>
                <w:sz w:val="20"/>
                <w:szCs w:val="20"/>
                <w:color w:val="auto"/>
              </w:rPr>
            </w:pPr>
            <w:r>
              <w:rPr>
                <w:rFonts w:ascii="Arial" w:cs="Arial" w:eastAsia="Arial" w:hAnsi="Arial"/>
                <w:sz w:val="19"/>
                <w:szCs w:val="19"/>
                <w:color w:val="auto"/>
              </w:rPr>
              <w:t>55</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(55)</w:t>
            </w:r>
          </w:p>
        </w:tc>
      </w:tr>
      <w:tr>
        <w:trPr>
          <w:trHeight w:val="243"/>
        </w:trPr>
        <w:tc>
          <w:tcPr>
            <w:tcW w:w="7120" w:type="dxa"/>
            <w:vAlign w:val="bottom"/>
            <w:shd w:val="clear" w:color="auto" w:fill="E5FFFF"/>
          </w:tcPr>
          <w:p>
            <w:pPr>
              <w:spacing w:after="0"/>
              <w:rPr>
                <w:sz w:val="20"/>
                <w:szCs w:val="20"/>
                <w:color w:val="auto"/>
              </w:rPr>
            </w:pPr>
            <w:r>
              <w:rPr>
                <w:rFonts w:ascii="Arial" w:cs="Arial" w:eastAsia="Arial" w:hAnsi="Arial"/>
                <w:sz w:val="19"/>
                <w:szCs w:val="19"/>
                <w:color w:val="auto"/>
              </w:rPr>
              <w:t>Share of profit of associate</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1,216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1,422</w:t>
            </w:r>
          </w:p>
        </w:tc>
        <w:tc>
          <w:tcPr>
            <w:tcW w:w="320" w:type="dxa"/>
            <w:vAlign w:val="bottom"/>
            <w:shd w:val="clear" w:color="auto" w:fill="E5FFFF"/>
          </w:tcPr>
          <w:p>
            <w:pPr>
              <w:spacing w:after="0"/>
              <w:rPr>
                <w:sz w:val="21"/>
                <w:szCs w:val="21"/>
                <w:color w:val="auto"/>
              </w:rPr>
            </w:pPr>
          </w:p>
        </w:tc>
        <w:tc>
          <w:tcPr>
            <w:tcW w:w="380" w:type="dxa"/>
            <w:vAlign w:val="bottom"/>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7120" w:type="dxa"/>
            <w:vAlign w:val="bottom"/>
          </w:tcPr>
          <w:p>
            <w:pPr>
              <w:spacing w:after="0"/>
              <w:rPr>
                <w:sz w:val="20"/>
                <w:szCs w:val="20"/>
                <w:color w:val="auto"/>
              </w:rPr>
            </w:pPr>
            <w:r>
              <w:rPr>
                <w:rFonts w:ascii="Arial" w:cs="Arial" w:eastAsia="Arial" w:hAnsi="Arial"/>
                <w:sz w:val="19"/>
                <w:szCs w:val="19"/>
                <w:color w:val="auto"/>
              </w:rPr>
              <w:t>Return of investment from associate</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(137)</w:t>
            </w:r>
          </w:p>
        </w:tc>
        <w:tc>
          <w:tcPr>
            <w:tcW w:w="32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7120" w:type="dxa"/>
            <w:vAlign w:val="bottom"/>
            <w:shd w:val="clear" w:color="auto" w:fill="E5FFFF"/>
          </w:tcPr>
          <w:p>
            <w:pPr>
              <w:spacing w:after="0"/>
              <w:rPr>
                <w:sz w:val="20"/>
                <w:szCs w:val="20"/>
                <w:color w:val="auto"/>
              </w:rPr>
            </w:pPr>
            <w:r>
              <w:rPr>
                <w:rFonts w:ascii="Arial" w:cs="Arial" w:eastAsia="Arial" w:hAnsi="Arial"/>
                <w:sz w:val="19"/>
                <w:szCs w:val="19"/>
                <w:color w:val="auto"/>
              </w:rPr>
              <w:t>Dividend declared</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(1,600)</w:t>
            </w:r>
          </w:p>
        </w:tc>
        <w:tc>
          <w:tcPr>
            <w:tcW w:w="32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(1,239)</w:t>
            </w:r>
          </w:p>
        </w:tc>
        <w:tc>
          <w:tcPr>
            <w:tcW w:w="320" w:type="dxa"/>
            <w:vAlign w:val="bottom"/>
            <w:shd w:val="clear" w:color="auto" w:fill="E5FFFF"/>
          </w:tcPr>
          <w:p>
            <w:pPr>
              <w:spacing w:after="0"/>
              <w:rPr>
                <w:sz w:val="21"/>
                <w:szCs w:val="21"/>
                <w:color w:val="auto"/>
              </w:rPr>
            </w:pPr>
          </w:p>
        </w:tc>
        <w:tc>
          <w:tcPr>
            <w:tcW w:w="380" w:type="dxa"/>
            <w:vAlign w:val="bottom"/>
            <w:tcBorders>
              <w:bottom w:val="single" w:sz="8" w:color="auto"/>
            </w:tcBorders>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7120" w:type="dxa"/>
            <w:vAlign w:val="bottom"/>
          </w:tcPr>
          <w:p>
            <w:pPr>
              <w:spacing w:after="0"/>
              <w:rPr>
                <w:sz w:val="20"/>
                <w:szCs w:val="20"/>
                <w:color w:val="auto"/>
              </w:rPr>
            </w:pPr>
            <w:r>
              <w:rPr>
                <w:rFonts w:ascii="Arial" w:cs="Arial" w:eastAsia="Arial" w:hAnsi="Arial"/>
                <w:sz w:val="19"/>
                <w:szCs w:val="19"/>
                <w:b w:val="1"/>
                <w:bCs w:val="1"/>
                <w:color w:val="auto"/>
              </w:rPr>
              <w:t>As of December 31,</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6,219</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6,265</w:t>
            </w:r>
          </w:p>
        </w:tc>
        <w:tc>
          <w:tcPr>
            <w:tcW w:w="700" w:type="dxa"/>
            <w:vAlign w:val="bottom"/>
            <w:gridSpan w:val="2"/>
          </w:tcPr>
          <w:p>
            <w:pPr>
              <w:ind w:left="440"/>
              <w:spacing w:after="0"/>
              <w:rPr>
                <w:sz w:val="20"/>
                <w:szCs w:val="20"/>
                <w:color w:val="auto"/>
              </w:rPr>
            </w:pPr>
            <w:r>
              <w:rPr>
                <w:rFonts w:ascii="Arial" w:cs="Arial" w:eastAsia="Arial" w:hAnsi="Arial"/>
                <w:sz w:val="19"/>
                <w:szCs w:val="19"/>
                <w:b w:val="1"/>
                <w:bCs w:val="1"/>
                <w:color w:val="auto"/>
              </w:rPr>
              <w:t>55</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0"/>
        </w:trPr>
        <w:tc>
          <w:tcPr>
            <w:tcW w:w="7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Summarized financial information in respect of the associate and the joint venture is set out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6"/>
                <w:szCs w:val="16"/>
                <w:b w:val="1"/>
                <w:bCs w:val="1"/>
                <w:color w:val="auto"/>
              </w:rPr>
              <w:t>Associate</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306"/>
              <w:spacing w:after="0"/>
              <w:rPr>
                <w:sz w:val="20"/>
                <w:szCs w:val="20"/>
                <w:color w:val="auto"/>
              </w:rPr>
            </w:pPr>
            <w:r>
              <w:rPr>
                <w:rFonts w:ascii="Arial" w:cs="Arial" w:eastAsia="Arial" w:hAnsi="Arial"/>
                <w:sz w:val="16"/>
                <w:szCs w:val="16"/>
                <w:b w:val="1"/>
                <w:bCs w:val="1"/>
                <w:color w:val="auto"/>
              </w:rPr>
              <w:t>Joint Venture</w:t>
            </w:r>
          </w:p>
        </w:tc>
        <w:tc>
          <w:tcPr>
            <w:tcW w:w="520" w:type="dxa"/>
            <w:vAlign w:val="bottom"/>
          </w:tcPr>
          <w:p>
            <w:pPr>
              <w:spacing w:after="0"/>
              <w:rPr>
                <w:sz w:val="17"/>
                <w:szCs w:val="17"/>
                <w:color w:val="auto"/>
              </w:rPr>
            </w:pPr>
          </w:p>
        </w:tc>
      </w:tr>
      <w:tr>
        <w:trPr>
          <w:trHeight w:val="169"/>
        </w:trPr>
        <w:tc>
          <w:tcPr>
            <w:tcW w:w="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4"/>
                <w:szCs w:val="14"/>
                <w:color w:val="auto"/>
              </w:rPr>
            </w:pPr>
          </w:p>
        </w:tc>
        <w:tc>
          <w:tcPr>
            <w:tcW w:w="9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8"/>
              <w:spacing w:after="0" w:line="169" w:lineRule="exact"/>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r>
      <w:tr>
        <w:trPr>
          <w:trHeight w:val="223"/>
        </w:trPr>
        <w:tc>
          <w:tcPr>
            <w:tcW w:w="500" w:type="dxa"/>
            <w:vAlign w:val="bottom"/>
          </w:tcPr>
          <w:p>
            <w:pPr>
              <w:spacing w:after="0"/>
              <w:rPr>
                <w:sz w:val="19"/>
                <w:szCs w:val="19"/>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Current</w:t>
            </w:r>
          </w:p>
        </w:tc>
        <w:tc>
          <w:tcPr>
            <w:tcW w:w="96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500" w:type="dxa"/>
            <w:vAlign w:val="bottom"/>
            <w:tcBorders>
              <w:top w:val="single" w:sz="8" w:color="auto"/>
            </w:tcBorders>
            <w:shd w:val="clear" w:color="auto" w:fill="E5FFFF"/>
          </w:tcPr>
          <w:p>
            <w:pPr>
              <w:spacing w:after="0"/>
              <w:rPr>
                <w:sz w:val="19"/>
                <w:szCs w:val="19"/>
                <w:color w:val="auto"/>
              </w:rPr>
            </w:pPr>
          </w:p>
        </w:tc>
        <w:tc>
          <w:tcPr>
            <w:tcW w:w="300" w:type="dxa"/>
            <w:vAlign w:val="bottom"/>
            <w:tcBorders>
              <w:top w:val="single" w:sz="8" w:color="auto"/>
            </w:tcBorders>
            <w:shd w:val="clear" w:color="auto" w:fill="E5FFFF"/>
          </w:tcPr>
          <w:p>
            <w:pPr>
              <w:spacing w:after="0"/>
              <w:rPr>
                <w:sz w:val="19"/>
                <w:szCs w:val="19"/>
                <w:color w:val="auto"/>
              </w:rPr>
            </w:pPr>
          </w:p>
        </w:tc>
        <w:tc>
          <w:tcPr>
            <w:tcW w:w="8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360" w:type="dxa"/>
            <w:vAlign w:val="bottom"/>
            <w:tcBorders>
              <w:top w:val="single" w:sz="8" w:color="auto"/>
            </w:tcBorders>
            <w:shd w:val="clear" w:color="auto" w:fill="E5FFFF"/>
          </w:tcPr>
          <w:p>
            <w:pPr>
              <w:spacing w:after="0"/>
              <w:rPr>
                <w:sz w:val="19"/>
                <w:szCs w:val="19"/>
                <w:color w:val="auto"/>
              </w:rPr>
            </w:pPr>
          </w:p>
        </w:tc>
        <w:tc>
          <w:tcPr>
            <w:tcW w:w="280" w:type="dxa"/>
            <w:vAlign w:val="bottom"/>
            <w:tcBorders>
              <w:top w:val="single" w:sz="8" w:color="auto"/>
            </w:tcBorders>
            <w:shd w:val="clear" w:color="auto" w:fill="E5FFFF"/>
          </w:tcPr>
          <w:p>
            <w:pPr>
              <w:spacing w:after="0"/>
              <w:rPr>
                <w:sz w:val="19"/>
                <w:szCs w:val="19"/>
                <w:color w:val="auto"/>
              </w:rPr>
            </w:pPr>
          </w:p>
        </w:tc>
        <w:tc>
          <w:tcPr>
            <w:tcW w:w="280" w:type="dxa"/>
            <w:vAlign w:val="bottom"/>
            <w:tcBorders>
              <w:top w:val="single" w:sz="8" w:color="auto"/>
            </w:tcBorders>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 w:type="dxa"/>
            <w:vAlign w:val="bottom"/>
            <w:tcBorders>
              <w:top w:val="single" w:sz="8" w:color="auto"/>
            </w:tcBorders>
            <w:shd w:val="clear" w:color="auto" w:fill="E5FFFF"/>
          </w:tcPr>
          <w:p>
            <w:pPr>
              <w:spacing w:after="0"/>
              <w:rPr>
                <w:sz w:val="19"/>
                <w:szCs w:val="19"/>
                <w:color w:val="auto"/>
              </w:rPr>
            </w:pPr>
          </w:p>
        </w:tc>
        <w:tc>
          <w:tcPr>
            <w:tcW w:w="60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0" w:type="dxa"/>
            <w:vAlign w:val="bottom"/>
            <w:tcBorders>
              <w:top w:val="single" w:sz="8" w:color="auto"/>
            </w:tcBorders>
            <w:shd w:val="clear" w:color="auto" w:fill="E5FFFF"/>
          </w:tcPr>
          <w:p>
            <w:pPr>
              <w:spacing w:after="0"/>
              <w:rPr>
                <w:sz w:val="19"/>
                <w:szCs w:val="19"/>
                <w:color w:val="auto"/>
              </w:rPr>
            </w:pPr>
          </w:p>
        </w:tc>
        <w:tc>
          <w:tcPr>
            <w:tcW w:w="640" w:type="dxa"/>
            <w:vAlign w:val="bottom"/>
            <w:tcBorders>
              <w:top w:val="single" w:sz="8" w:color="auto"/>
            </w:tcBorders>
            <w:shd w:val="clear" w:color="auto" w:fill="E5FFFF"/>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color w:val="auto"/>
              </w:rPr>
              <w:t>Total current assets</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gridSpan w:val="5"/>
          </w:tcPr>
          <w:p>
            <w:pPr>
              <w:jc w:val="right"/>
              <w:ind w:right="80"/>
              <w:spacing w:after="0"/>
              <w:rPr>
                <w:sz w:val="20"/>
                <w:szCs w:val="20"/>
                <w:color w:val="auto"/>
              </w:rPr>
            </w:pPr>
            <w:r>
              <w:rPr>
                <w:rFonts w:ascii="Arial" w:cs="Arial" w:eastAsia="Arial" w:hAnsi="Arial"/>
                <w:sz w:val="19"/>
                <w:szCs w:val="19"/>
                <w:color w:val="auto"/>
              </w:rPr>
              <w:t>22,047</w:t>
            </w:r>
          </w:p>
        </w:tc>
        <w:tc>
          <w:tcPr>
            <w:tcW w:w="1200" w:type="dxa"/>
            <w:vAlign w:val="bottom"/>
            <w:gridSpan w:val="4"/>
          </w:tcPr>
          <w:p>
            <w:pPr>
              <w:jc w:val="right"/>
              <w:spacing w:after="0"/>
              <w:rPr>
                <w:sz w:val="20"/>
                <w:szCs w:val="20"/>
                <w:color w:val="auto"/>
              </w:rPr>
            </w:pPr>
            <w:r>
              <w:rPr>
                <w:rFonts w:ascii="Arial" w:cs="Arial" w:eastAsia="Arial" w:hAnsi="Arial"/>
                <w:sz w:val="19"/>
                <w:szCs w:val="19"/>
                <w:color w:val="auto"/>
              </w:rPr>
              <w:t>20,813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5,489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9,695</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color w:val="auto"/>
              </w:rPr>
              <w:t>Total current liabilities</w:t>
            </w:r>
          </w:p>
        </w:tc>
        <w:tc>
          <w:tcPr>
            <w:tcW w:w="9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3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(14,589)</w:t>
            </w:r>
          </w:p>
        </w:tc>
        <w:tc>
          <w:tcPr>
            <w:tcW w:w="12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(12,590)</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(5,324)</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(9,695)</w:t>
            </w:r>
          </w:p>
        </w:tc>
        <w:tc>
          <w:tcPr>
            <w:tcW w:w="520" w:type="dxa"/>
            <w:vAlign w:val="bottom"/>
          </w:tcPr>
          <w:p>
            <w:pPr>
              <w:spacing w:after="0"/>
              <w:rPr>
                <w:sz w:val="21"/>
                <w:szCs w:val="21"/>
                <w:color w:val="auto"/>
              </w:rPr>
            </w:pPr>
          </w:p>
        </w:tc>
      </w:tr>
      <w:tr>
        <w:trPr>
          <w:trHeight w:val="230"/>
        </w:trPr>
        <w:tc>
          <w:tcPr>
            <w:tcW w:w="5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9"/>
                <w:szCs w:val="19"/>
                <w:b w:val="1"/>
                <w:bCs w:val="1"/>
                <w:color w:val="auto"/>
              </w:rPr>
              <w:t>Non-current</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color w:val="auto"/>
              </w:rPr>
              <w:t>Total non-current assets</w:t>
            </w:r>
          </w:p>
        </w:tc>
        <w:tc>
          <w:tcPr>
            <w:tcW w:w="9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380" w:type="dxa"/>
            <w:vAlign w:val="bottom"/>
            <w:gridSpan w:val="5"/>
            <w:shd w:val="clear" w:color="auto" w:fill="E5FFFF"/>
          </w:tcPr>
          <w:p>
            <w:pPr>
              <w:jc w:val="right"/>
              <w:ind w:right="80"/>
              <w:spacing w:after="0"/>
              <w:rPr>
                <w:sz w:val="20"/>
                <w:szCs w:val="20"/>
                <w:color w:val="auto"/>
              </w:rPr>
            </w:pPr>
            <w:r>
              <w:rPr>
                <w:rFonts w:ascii="Arial" w:cs="Arial" w:eastAsia="Arial" w:hAnsi="Arial"/>
                <w:sz w:val="19"/>
                <w:szCs w:val="19"/>
                <w:color w:val="auto"/>
              </w:rPr>
              <w:t>131,440</w:t>
            </w:r>
          </w:p>
        </w:tc>
        <w:tc>
          <w:tcPr>
            <w:tcW w:w="12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123,628</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20" w:type="dxa"/>
            <w:vAlign w:val="bottom"/>
            <w:gridSpan w:val="4"/>
            <w:shd w:val="clear" w:color="auto" w:fill="E5FFFF"/>
          </w:tcPr>
          <w:p>
            <w:pPr>
              <w:jc w:val="right"/>
              <w:ind w:right="48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color w:val="auto"/>
              </w:rPr>
              <w:t>Total non-current liabilities</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(114,023)</w:t>
            </w:r>
          </w:p>
        </w:tc>
        <w:tc>
          <w:tcPr>
            <w:tcW w:w="280" w:type="dxa"/>
            <w:vAlign w:val="bottom"/>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(106,790)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Net assets</w:t>
            </w:r>
          </w:p>
        </w:tc>
        <w:tc>
          <w:tcPr>
            <w:tcW w:w="9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500" w:type="dxa"/>
            <w:vAlign w:val="bottom"/>
            <w:gridSpan w:val="2"/>
            <w:shd w:val="clear" w:color="auto" w:fill="E5FFFF"/>
          </w:tcPr>
          <w:p>
            <w:pPr>
              <w:spacing w:after="0"/>
              <w:rPr>
                <w:sz w:val="21"/>
                <w:szCs w:val="21"/>
                <w:color w:val="auto"/>
              </w:rPr>
            </w:pPr>
          </w:p>
        </w:tc>
        <w:tc>
          <w:tcPr>
            <w:tcW w:w="880" w:type="dxa"/>
            <w:vAlign w:val="bottom"/>
            <w:tcBorders>
              <w:bottom w:val="single" w:sz="8" w:color="auto"/>
            </w:tcBorders>
            <w:gridSpan w:val="3"/>
            <w:shd w:val="clear" w:color="auto" w:fill="E5FFFF"/>
          </w:tcPr>
          <w:p>
            <w:pPr>
              <w:jc w:val="right"/>
              <w:ind w:right="80"/>
              <w:spacing w:after="0"/>
              <w:rPr>
                <w:sz w:val="20"/>
                <w:szCs w:val="20"/>
                <w:color w:val="auto"/>
              </w:rPr>
            </w:pPr>
            <w:r>
              <w:rPr>
                <w:rFonts w:ascii="Arial" w:cs="Arial" w:eastAsia="Arial" w:hAnsi="Arial"/>
                <w:sz w:val="19"/>
                <w:szCs w:val="19"/>
                <w:b w:val="1"/>
                <w:bCs w:val="1"/>
                <w:color w:val="auto"/>
              </w:rPr>
              <w:t>24,875</w:t>
            </w:r>
          </w:p>
        </w:tc>
        <w:tc>
          <w:tcPr>
            <w:tcW w:w="280" w:type="dxa"/>
            <w:vAlign w:val="bottom"/>
            <w:shd w:val="clear" w:color="auto" w:fill="E5FFFF"/>
          </w:tcPr>
          <w:p>
            <w:pPr>
              <w:spacing w:after="0"/>
              <w:rPr>
                <w:sz w:val="21"/>
                <w:szCs w:val="21"/>
                <w:color w:val="auto"/>
              </w:rPr>
            </w:pPr>
          </w:p>
        </w:tc>
        <w:tc>
          <w:tcPr>
            <w:tcW w:w="9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b w:val="1"/>
                <w:bCs w:val="1"/>
                <w:color w:val="auto"/>
              </w:rPr>
              <w:t>25,061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165</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b w:val="1"/>
                <w:bCs w:val="1"/>
                <w:color w:val="auto"/>
              </w:rPr>
              <w:t>Group’s share</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9"/>
                <w:szCs w:val="19"/>
                <w:b w:val="1"/>
                <w:bCs w:val="1"/>
                <w:color w:val="auto"/>
              </w:rPr>
              <w:t>6,219</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w w:val="96"/>
              </w:rPr>
              <w:t>6,265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55</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87"/>
              </w:rPr>
              <w:t>Associate</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3"/>
              </w:rPr>
              <w:t>Joint Venture</w:t>
            </w:r>
          </w:p>
        </w:tc>
        <w:tc>
          <w:tcPr>
            <w:tcW w:w="64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169"/>
        </w:trPr>
        <w:tc>
          <w:tcPr>
            <w:tcW w:w="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08"/>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0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360" w:type="dxa"/>
            <w:vAlign w:val="bottom"/>
            <w:tcBorders>
              <w:bottom w:val="single" w:sz="8" w:color="auto"/>
            </w:tcBorders>
            <w:gridSpan w:val="2"/>
          </w:tcPr>
          <w:p>
            <w:pPr>
              <w:ind w:left="20"/>
              <w:spacing w:after="0" w:line="169" w:lineRule="exact"/>
              <w:rPr>
                <w:sz w:val="20"/>
                <w:szCs w:val="20"/>
                <w:color w:val="auto"/>
              </w:rPr>
            </w:pPr>
            <w:r>
              <w:rPr>
                <w:rFonts w:ascii="Arial" w:cs="Arial" w:eastAsia="Arial" w:hAnsi="Arial"/>
                <w:sz w:val="16"/>
                <w:szCs w:val="16"/>
                <w:b w:val="1"/>
                <w:bCs w:val="1"/>
                <w:color w:val="auto"/>
                <w:w w:val="89"/>
              </w:rPr>
              <w:t>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8"/>
              <w:spacing w:after="0" w:line="169" w:lineRule="exact"/>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r>
      <w:tr>
        <w:trPr>
          <w:trHeight w:val="237"/>
        </w:trPr>
        <w:tc>
          <w:tcPr>
            <w:tcW w:w="500" w:type="dxa"/>
            <w:vAlign w:val="bottom"/>
          </w:tcPr>
          <w:p>
            <w:pPr>
              <w:spacing w:after="0"/>
              <w:rPr>
                <w:sz w:val="20"/>
                <w:szCs w:val="20"/>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color w:val="auto"/>
              </w:rPr>
              <w:t>Revenues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18,554</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18,694</w:t>
            </w:r>
          </w:p>
        </w:tc>
        <w:tc>
          <w:tcPr>
            <w:tcW w:w="30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2"/>
              </w:rPr>
              <w:t>16,636</w:t>
            </w:r>
          </w:p>
        </w:tc>
        <w:tc>
          <w:tcPr>
            <w:tcW w:w="280" w:type="dxa"/>
            <w:vAlign w:val="bottom"/>
            <w:shd w:val="clear" w:color="auto" w:fill="E5FFFF"/>
          </w:tcPr>
          <w:p>
            <w:pPr>
              <w:spacing w:after="0"/>
              <w:rPr>
                <w:sz w:val="20"/>
                <w:szCs w:val="20"/>
                <w:color w:val="auto"/>
              </w:rPr>
            </w:pPr>
          </w:p>
        </w:tc>
        <w:tc>
          <w:tcPr>
            <w:tcW w:w="580" w:type="dxa"/>
            <w:vAlign w:val="bottom"/>
            <w:gridSpan w:val="3"/>
            <w:shd w:val="clear" w:color="auto" w:fill="E5FFFF"/>
          </w:tcPr>
          <w:p>
            <w:pPr>
              <w:ind w:left="100"/>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8,336</w:t>
            </w: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73,348</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color w:val="auto"/>
              </w:rPr>
              <w:t>Profit for the year</w:t>
            </w:r>
          </w:p>
        </w:tc>
        <w:tc>
          <w:tcPr>
            <w:tcW w:w="1680" w:type="dxa"/>
            <w:vAlign w:val="bottom"/>
            <w:gridSpan w:val="2"/>
          </w:tcPr>
          <w:p>
            <w:pPr>
              <w:jc w:val="right"/>
              <w:spacing w:after="0"/>
              <w:rPr>
                <w:sz w:val="20"/>
                <w:szCs w:val="20"/>
                <w:color w:val="auto"/>
              </w:rPr>
            </w:pPr>
            <w:r>
              <w:rPr>
                <w:rFonts w:ascii="Arial" w:cs="Arial" w:eastAsia="Arial" w:hAnsi="Arial"/>
                <w:sz w:val="19"/>
                <w:szCs w:val="19"/>
                <w:color w:val="auto"/>
              </w:rPr>
              <w:t>5,986</w:t>
            </w:r>
          </w:p>
        </w:tc>
        <w:tc>
          <w:tcPr>
            <w:tcW w:w="1000" w:type="dxa"/>
            <w:vAlign w:val="bottom"/>
            <w:gridSpan w:val="3"/>
          </w:tcPr>
          <w:p>
            <w:pPr>
              <w:jc w:val="right"/>
              <w:spacing w:after="0"/>
              <w:rPr>
                <w:sz w:val="20"/>
                <w:szCs w:val="20"/>
                <w:color w:val="auto"/>
              </w:rPr>
            </w:pPr>
            <w:r>
              <w:rPr>
                <w:rFonts w:ascii="Arial" w:cs="Arial" w:eastAsia="Arial" w:hAnsi="Arial"/>
                <w:sz w:val="19"/>
                <w:szCs w:val="19"/>
                <w:color w:val="auto"/>
              </w:rPr>
              <w:t>4,863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5,686</w:t>
            </w:r>
          </w:p>
        </w:tc>
        <w:tc>
          <w:tcPr>
            <w:tcW w:w="280" w:type="dxa"/>
            <w:vAlign w:val="bottom"/>
          </w:tcPr>
          <w:p>
            <w:pPr>
              <w:spacing w:after="0"/>
              <w:rPr>
                <w:sz w:val="21"/>
                <w:szCs w:val="21"/>
                <w:color w:val="auto"/>
              </w:rPr>
            </w:pPr>
          </w:p>
        </w:tc>
        <w:tc>
          <w:tcPr>
            <w:tcW w:w="580" w:type="dxa"/>
            <w:vAlign w:val="bottom"/>
            <w:gridSpan w:val="3"/>
          </w:tcPr>
          <w:p>
            <w:pPr>
              <w:ind w:left="10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color w:val="auto"/>
              </w:rPr>
              <w:t>Total comprehensive income for the year</w:t>
            </w:r>
          </w:p>
        </w:tc>
        <w:tc>
          <w:tcPr>
            <w:tcW w:w="96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5,986</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4,863</w:t>
            </w:r>
          </w:p>
        </w:tc>
        <w:tc>
          <w:tcPr>
            <w:tcW w:w="3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5,686</w:t>
            </w:r>
          </w:p>
        </w:tc>
        <w:tc>
          <w:tcPr>
            <w:tcW w:w="280" w:type="dxa"/>
            <w:vAlign w:val="bottom"/>
            <w:shd w:val="clear" w:color="auto" w:fill="E5FFFF"/>
          </w:tcPr>
          <w:p>
            <w:pPr>
              <w:spacing w:after="0"/>
              <w:rPr>
                <w:sz w:val="21"/>
                <w:szCs w:val="21"/>
                <w:color w:val="auto"/>
              </w:rPr>
            </w:pPr>
          </w:p>
        </w:tc>
        <w:tc>
          <w:tcPr>
            <w:tcW w:w="360" w:type="dxa"/>
            <w:vAlign w:val="bottom"/>
            <w:tcBorders>
              <w:bottom w:val="single" w:sz="8" w:color="auto"/>
            </w:tcBorders>
            <w:gridSpan w:val="2"/>
            <w:shd w:val="clear" w:color="auto" w:fill="E5FFFF"/>
          </w:tcPr>
          <w:p>
            <w:pPr>
              <w:ind w:left="100"/>
              <w:spacing w:after="0"/>
              <w:rPr>
                <w:sz w:val="20"/>
                <w:szCs w:val="20"/>
                <w:color w:val="auto"/>
              </w:rPr>
            </w:pPr>
            <w:r>
              <w:rPr>
                <w:rFonts w:ascii="Arial" w:cs="Arial" w:eastAsia="Arial" w:hAnsi="Arial"/>
                <w:sz w:val="19"/>
                <w:szCs w:val="19"/>
                <w:color w:val="auto"/>
              </w:rPr>
              <w:t>—</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b w:val="1"/>
                <w:bCs w:val="1"/>
                <w:color w:val="auto"/>
              </w:rPr>
              <w:t>Group’s share in profit</w:t>
            </w:r>
          </w:p>
        </w:tc>
        <w:tc>
          <w:tcPr>
            <w:tcW w:w="1680" w:type="dxa"/>
            <w:vAlign w:val="bottom"/>
            <w:gridSpan w:val="2"/>
          </w:tcPr>
          <w:p>
            <w:pPr>
              <w:jc w:val="right"/>
              <w:spacing w:after="0"/>
              <w:rPr>
                <w:sz w:val="20"/>
                <w:szCs w:val="20"/>
                <w:color w:val="auto"/>
              </w:rPr>
            </w:pPr>
            <w:r>
              <w:rPr>
                <w:rFonts w:ascii="Arial" w:cs="Arial" w:eastAsia="Arial" w:hAnsi="Arial"/>
                <w:sz w:val="19"/>
                <w:szCs w:val="19"/>
                <w:b w:val="1"/>
                <w:bCs w:val="1"/>
                <w:color w:val="auto"/>
              </w:rPr>
              <w:t>1,497</w:t>
            </w:r>
          </w:p>
        </w:tc>
        <w:tc>
          <w:tcPr>
            <w:tcW w:w="1000" w:type="dxa"/>
            <w:vAlign w:val="bottom"/>
            <w:gridSpan w:val="3"/>
          </w:tcPr>
          <w:p>
            <w:pPr>
              <w:jc w:val="right"/>
              <w:spacing w:after="0"/>
              <w:rPr>
                <w:sz w:val="20"/>
                <w:szCs w:val="20"/>
                <w:color w:val="auto"/>
              </w:rPr>
            </w:pPr>
            <w:r>
              <w:rPr>
                <w:rFonts w:ascii="Arial" w:cs="Arial" w:eastAsia="Arial" w:hAnsi="Arial"/>
                <w:sz w:val="19"/>
                <w:szCs w:val="19"/>
                <w:b w:val="1"/>
                <w:bCs w:val="1"/>
                <w:color w:val="auto"/>
              </w:rPr>
              <w:t>1,216</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b w:val="1"/>
                <w:bCs w:val="1"/>
                <w:color w:val="auto"/>
              </w:rPr>
              <w:t>1,422</w:t>
            </w:r>
          </w:p>
        </w:tc>
        <w:tc>
          <w:tcPr>
            <w:tcW w:w="280" w:type="dxa"/>
            <w:vAlign w:val="bottom"/>
          </w:tcPr>
          <w:p>
            <w:pPr>
              <w:spacing w:after="0"/>
              <w:rPr>
                <w:sz w:val="21"/>
                <w:szCs w:val="21"/>
                <w:color w:val="auto"/>
              </w:rPr>
            </w:pPr>
          </w:p>
        </w:tc>
        <w:tc>
          <w:tcPr>
            <w:tcW w:w="580" w:type="dxa"/>
            <w:vAlign w:val="bottom"/>
            <w:gridSpan w:val="3"/>
          </w:tcPr>
          <w:p>
            <w:pPr>
              <w:ind w:left="100"/>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21"/>
                <w:szCs w:val="21"/>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9"/>
                <w:szCs w:val="19"/>
                <w:b w:val="1"/>
                <w:bCs w:val="1"/>
                <w:color w:val="auto"/>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9"/>
                <w:szCs w:val="19"/>
                <w:color w:val="auto"/>
              </w:rPr>
              <w:t>Dividend declared</w:t>
            </w:r>
          </w:p>
        </w:tc>
        <w:tc>
          <w:tcPr>
            <w:tcW w:w="960" w:type="dxa"/>
            <w:vAlign w:val="bottom"/>
            <w:shd w:val="clear" w:color="auto" w:fill="E5FFFF"/>
          </w:tcPr>
          <w:p>
            <w:pPr>
              <w:spacing w:after="0"/>
              <w:rPr>
                <w:sz w:val="20"/>
                <w:szCs w:val="20"/>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(4,880)</w:t>
            </w:r>
          </w:p>
        </w:tc>
        <w:tc>
          <w:tcPr>
            <w:tcW w:w="280" w:type="dxa"/>
            <w:vAlign w:val="bottom"/>
            <w:shd w:val="clear" w:color="auto" w:fill="E5FFFF"/>
          </w:tcPr>
          <w:p>
            <w:pPr>
              <w:spacing w:after="0"/>
              <w:rPr>
                <w:sz w:val="20"/>
                <w:szCs w:val="20"/>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(6,400)</w:t>
            </w:r>
          </w:p>
        </w:tc>
        <w:tc>
          <w:tcPr>
            <w:tcW w:w="300" w:type="dxa"/>
            <w:vAlign w:val="bottom"/>
            <w:shd w:val="clear" w:color="auto" w:fill="E5FFFF"/>
          </w:tcPr>
          <w:p>
            <w:pPr>
              <w:spacing w:after="0"/>
              <w:rPr>
                <w:sz w:val="20"/>
                <w:szCs w:val="20"/>
                <w:color w:val="auto"/>
              </w:rPr>
            </w:pPr>
          </w:p>
        </w:tc>
        <w:tc>
          <w:tcPr>
            <w:tcW w:w="80" w:type="dxa"/>
            <w:vAlign w:val="bottom"/>
            <w:tcBorders>
              <w:bottom w:val="single" w:sz="8" w:color="auto"/>
            </w:tcBorders>
            <w:shd w:val="clear" w:color="auto" w:fill="E5FFFF"/>
          </w:tcPr>
          <w:p>
            <w:pPr>
              <w:spacing w:after="0"/>
              <w:rPr>
                <w:sz w:val="20"/>
                <w:szCs w:val="20"/>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99"/>
              </w:rPr>
              <w:t>(4,950)</w:t>
            </w:r>
          </w:p>
        </w:tc>
        <w:tc>
          <w:tcPr>
            <w:tcW w:w="280" w:type="dxa"/>
            <w:vAlign w:val="bottom"/>
            <w:shd w:val="clear" w:color="auto" w:fill="E5FFFF"/>
          </w:tcPr>
          <w:p>
            <w:pPr>
              <w:spacing w:after="0"/>
              <w:rPr>
                <w:sz w:val="20"/>
                <w:szCs w:val="20"/>
                <w:color w:val="auto"/>
              </w:rPr>
            </w:pPr>
          </w:p>
        </w:tc>
        <w:tc>
          <w:tcPr>
            <w:tcW w:w="360" w:type="dxa"/>
            <w:vAlign w:val="bottom"/>
            <w:tcBorders>
              <w:bottom w:val="single" w:sz="8" w:color="auto"/>
            </w:tcBorders>
            <w:gridSpan w:val="2"/>
            <w:shd w:val="clear" w:color="auto" w:fill="E5FFFF"/>
          </w:tcPr>
          <w:p>
            <w:pPr>
              <w:ind w:left="100"/>
              <w:spacing w:after="0"/>
              <w:rPr>
                <w:sz w:val="20"/>
                <w:szCs w:val="20"/>
                <w:color w:val="auto"/>
              </w:rPr>
            </w:pPr>
            <w:r>
              <w:rPr>
                <w:rFonts w:ascii="Arial" w:cs="Arial" w:eastAsia="Arial" w:hAnsi="Arial"/>
                <w:sz w:val="19"/>
                <w:szCs w:val="19"/>
                <w:color w:val="auto"/>
              </w:rPr>
              <w:t>—</w:t>
            </w:r>
          </w:p>
        </w:tc>
        <w:tc>
          <w:tcPr>
            <w:tcW w:w="2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shd w:val="clear" w:color="auto" w:fill="E5FFFF"/>
          </w:tcPr>
          <w:p>
            <w:pPr>
              <w:spacing w:after="0"/>
              <w:rPr>
                <w:sz w:val="20"/>
                <w:szCs w:val="20"/>
                <w:color w:val="auto"/>
              </w:rPr>
            </w:pPr>
          </w:p>
        </w:tc>
        <w:tc>
          <w:tcPr>
            <w:tcW w:w="100" w:type="dxa"/>
            <w:vAlign w:val="bottom"/>
            <w:tcBorders>
              <w:bottom w:val="single" w:sz="8" w:color="auto"/>
            </w:tcBorders>
            <w:shd w:val="clear" w:color="auto" w:fill="E5FFFF"/>
          </w:tcPr>
          <w:p>
            <w:pPr>
              <w:spacing w:after="0"/>
              <w:rPr>
                <w:sz w:val="20"/>
                <w:szCs w:val="20"/>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0"/>
                <w:szCs w:val="20"/>
                <w:color w:val="auto"/>
              </w:rPr>
            </w:pPr>
          </w:p>
        </w:tc>
      </w:tr>
      <w:tr>
        <w:trPr>
          <w:trHeight w:val="250"/>
        </w:trPr>
        <w:tc>
          <w:tcPr>
            <w:tcW w:w="50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9"/>
                <w:szCs w:val="19"/>
                <w:b w:val="1"/>
                <w:bCs w:val="1"/>
                <w:color w:val="auto"/>
              </w:rPr>
              <w:t>Group’s share in dividend</w:t>
            </w:r>
          </w:p>
        </w:tc>
        <w:tc>
          <w:tcPr>
            <w:tcW w:w="96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1,220</w:t>
            </w:r>
          </w:p>
        </w:tc>
        <w:tc>
          <w:tcPr>
            <w:tcW w:w="280" w:type="dxa"/>
            <w:vAlign w:val="bottom"/>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1,600</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1,238</w:t>
            </w:r>
          </w:p>
        </w:tc>
        <w:tc>
          <w:tcPr>
            <w:tcW w:w="280" w:type="dxa"/>
            <w:vAlign w:val="bottom"/>
          </w:tcPr>
          <w:p>
            <w:pPr>
              <w:spacing w:after="0"/>
              <w:rPr>
                <w:sz w:val="21"/>
                <w:szCs w:val="21"/>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b w:val="1"/>
                <w:bCs w:val="1"/>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80" w:type="dxa"/>
            <w:vAlign w:val="bottom"/>
            <w:gridSpan w:val="2"/>
          </w:tcPr>
          <w:p>
            <w:pPr>
              <w:jc w:val="right"/>
              <w:ind w:right="288"/>
              <w:spacing w:after="0"/>
              <w:rPr>
                <w:sz w:val="20"/>
                <w:szCs w:val="20"/>
                <w:color w:val="auto"/>
              </w:rPr>
            </w:pPr>
            <w:r>
              <w:rPr>
                <w:rFonts w:ascii="Arial" w:cs="Arial" w:eastAsia="Arial" w:hAnsi="Arial"/>
                <w:sz w:val="19"/>
                <w:szCs w:val="19"/>
                <w:color w:val="auto"/>
              </w:rPr>
              <w:t>F-26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b w:val="1"/>
          <w:bCs w:val="1"/>
          <w:color w:val="auto"/>
        </w:rPr>
        <w:t>6. Tangible Fixed Assets, Vessels Under Construction and Vessel Held Under Finance Lease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movements in tangible fixed assets and vessels under construction are reported in the following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Office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property</w:t>
            </w: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Total</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and other</w:t>
            </w: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tangible</w:t>
            </w:r>
          </w:p>
        </w:tc>
        <w:tc>
          <w:tcPr>
            <w:tcW w:w="30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77"/>
              </w:rPr>
              <w:t>Vessels</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78"/>
              </w:rPr>
              <w:t>Vessel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tangible</w:t>
            </w: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fixed</w:t>
            </w:r>
          </w:p>
        </w:tc>
        <w:tc>
          <w:tcPr>
            <w:tcW w:w="30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under</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held under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Vessels</w:t>
            </w:r>
          </w:p>
        </w:tc>
        <w:tc>
          <w:tcPr>
            <w:tcW w:w="3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6"/>
              </w:rPr>
              <w:t>assets</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construction</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finance lease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gridSpan w:val="4"/>
            <w:shd w:val="clear" w:color="auto" w:fill="E5FFFF"/>
          </w:tcPr>
          <w:p>
            <w:pPr>
              <w:spacing w:after="0" w:line="183" w:lineRule="exact"/>
              <w:rPr>
                <w:sz w:val="20"/>
                <w:szCs w:val="20"/>
                <w:color w:val="auto"/>
              </w:rPr>
            </w:pPr>
            <w:r>
              <w:rPr>
                <w:rFonts w:ascii="Arial" w:cs="Arial" w:eastAsia="Arial" w:hAnsi="Arial"/>
                <w:sz w:val="19"/>
                <w:szCs w:val="19"/>
                <w:b w:val="1"/>
                <w:bCs w:val="1"/>
                <w:color w:val="auto"/>
              </w:rPr>
              <w:t>Cost</w:t>
            </w:r>
          </w:p>
        </w:tc>
        <w:tc>
          <w:tcPr>
            <w:tcW w:w="100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0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16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shd w:val="clear" w:color="auto" w:fill="E5FFFF"/>
          </w:tcPr>
          <w:p>
            <w:pPr>
              <w:spacing w:after="0" w:line="20" w:lineRule="exact"/>
              <w:rPr>
                <w:sz w:val="1"/>
                <w:szCs w:val="1"/>
                <w:color w:val="auto"/>
              </w:rPr>
            </w:pPr>
          </w:p>
        </w:tc>
        <w:tc>
          <w:tcPr>
            <w:tcW w:w="860" w:type="dxa"/>
            <w:vAlign w:val="bottom"/>
            <w:tcBorders>
              <w:top w:val="single" w:sz="8" w:color="E5FFFF"/>
            </w:tcBorders>
            <w:shd w:val="clear" w:color="auto" w:fill="E5FFFF"/>
          </w:tcPr>
          <w:p>
            <w:pPr>
              <w:spacing w:after="0" w:line="20" w:lineRule="exact"/>
              <w:rPr>
                <w:sz w:val="1"/>
                <w:szCs w:val="1"/>
                <w:color w:val="auto"/>
              </w:rPr>
            </w:pPr>
          </w:p>
        </w:tc>
        <w:tc>
          <w:tcPr>
            <w:tcW w:w="940" w:type="dxa"/>
            <w:vAlign w:val="bottom"/>
            <w:tcBorders>
              <w:top w:val="single" w:sz="8" w:color="E5FFFF"/>
            </w:tcBorders>
            <w:shd w:val="clear" w:color="auto" w:fill="E5FFFF"/>
          </w:tcPr>
          <w:p>
            <w:pPr>
              <w:spacing w:after="0" w:line="20" w:lineRule="exact"/>
              <w:rPr>
                <w:sz w:val="1"/>
                <w:szCs w:val="1"/>
                <w:color w:val="auto"/>
              </w:rPr>
            </w:pPr>
          </w:p>
        </w:tc>
        <w:tc>
          <w:tcPr>
            <w:tcW w:w="2980" w:type="dxa"/>
            <w:vAlign w:val="bottom"/>
            <w:tcBorders>
              <w:top w:val="single" w:sz="8" w:color="E5FFFF"/>
            </w:tcBorders>
            <w:shd w:val="clear" w:color="auto" w:fill="E5FFFF"/>
          </w:tcPr>
          <w:p>
            <w:pPr>
              <w:spacing w:after="0" w:line="20" w:lineRule="exact"/>
              <w:rPr>
                <w:sz w:val="1"/>
                <w:szCs w:val="1"/>
                <w:color w:val="auto"/>
              </w:rPr>
            </w:pPr>
          </w:p>
        </w:tc>
        <w:tc>
          <w:tcPr>
            <w:tcW w:w="10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4"/>
          </w:tcPr>
          <w:p>
            <w:pPr>
              <w:spacing w:after="0"/>
              <w:rPr>
                <w:sz w:val="20"/>
                <w:szCs w:val="20"/>
                <w:color w:val="auto"/>
              </w:rPr>
            </w:pPr>
            <w:r>
              <w:rPr>
                <w:rFonts w:ascii="Arial" w:cs="Arial" w:eastAsia="Arial" w:hAnsi="Arial"/>
                <w:sz w:val="19"/>
                <w:szCs w:val="19"/>
                <w:b w:val="1"/>
                <w:bCs w:val="1"/>
                <w:color w:val="auto"/>
              </w:rPr>
              <w:t>As of January 1, 2015</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2,937,114</w:t>
            </w:r>
          </w:p>
        </w:tc>
        <w:tc>
          <w:tcPr>
            <w:tcW w:w="1140" w:type="dxa"/>
            <w:vAlign w:val="bottom"/>
            <w:gridSpan w:val="2"/>
          </w:tcPr>
          <w:p>
            <w:pPr>
              <w:jc w:val="right"/>
              <w:ind w:right="9"/>
              <w:spacing w:after="0"/>
              <w:rPr>
                <w:sz w:val="20"/>
                <w:szCs w:val="20"/>
                <w:color w:val="auto"/>
              </w:rPr>
            </w:pPr>
            <w:r>
              <w:rPr>
                <w:rFonts w:ascii="Arial" w:cs="Arial" w:eastAsia="Arial" w:hAnsi="Arial"/>
                <w:sz w:val="19"/>
                <w:szCs w:val="19"/>
                <w:b w:val="1"/>
                <w:bCs w:val="1"/>
                <w:color w:val="auto"/>
              </w:rPr>
              <w:t>5,199</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2,942,313</w:t>
            </w:r>
          </w:p>
        </w:tc>
        <w:tc>
          <w:tcPr>
            <w:tcW w:w="1360" w:type="dxa"/>
            <w:vAlign w:val="bottom"/>
            <w:gridSpan w:val="2"/>
          </w:tcPr>
          <w:p>
            <w:pPr>
              <w:jc w:val="right"/>
              <w:ind w:right="6"/>
              <w:spacing w:after="0"/>
              <w:rPr>
                <w:sz w:val="20"/>
                <w:szCs w:val="20"/>
                <w:color w:val="auto"/>
              </w:rPr>
            </w:pPr>
            <w:r>
              <w:rPr>
                <w:rFonts w:ascii="Arial" w:cs="Arial" w:eastAsia="Arial" w:hAnsi="Arial"/>
                <w:sz w:val="19"/>
                <w:szCs w:val="19"/>
                <w:b w:val="1"/>
                <w:bCs w:val="1"/>
                <w:color w:val="auto"/>
              </w:rPr>
              <w:t>142,776</w:t>
            </w:r>
          </w:p>
        </w:tc>
        <w:tc>
          <w:tcPr>
            <w:tcW w:w="300" w:type="dxa"/>
            <w:vAlign w:val="bottom"/>
          </w:tcPr>
          <w:p>
            <w:pPr>
              <w:spacing w:after="0"/>
              <w:rPr>
                <w:sz w:val="21"/>
                <w:szCs w:val="21"/>
                <w:color w:val="auto"/>
              </w:rPr>
            </w:pPr>
          </w:p>
        </w:tc>
        <w:tc>
          <w:tcPr>
            <w:tcW w:w="1160" w:type="dxa"/>
            <w:vAlign w:val="bottom"/>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Additions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485,933</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7,116</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493,049</w:t>
            </w:r>
          </w:p>
        </w:tc>
        <w:tc>
          <w:tcPr>
            <w:tcW w:w="13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239,974</w:t>
            </w:r>
          </w:p>
        </w:tc>
        <w:tc>
          <w:tcPr>
            <w:tcW w:w="30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160" w:type="dxa"/>
            <w:vAlign w:val="bottom"/>
            <w:gridSpan w:val="5"/>
          </w:tcPr>
          <w:p>
            <w:pPr>
              <w:spacing w:after="0"/>
              <w:rPr>
                <w:sz w:val="20"/>
                <w:szCs w:val="20"/>
                <w:color w:val="auto"/>
              </w:rPr>
            </w:pPr>
            <w:r>
              <w:rPr>
                <w:rFonts w:ascii="Arial" w:cs="Arial" w:eastAsia="Arial" w:hAnsi="Arial"/>
                <w:sz w:val="19"/>
                <w:szCs w:val="19"/>
                <w:color w:val="auto"/>
              </w:rPr>
              <w:t>Transfer from vessels under construction</w:t>
            </w:r>
          </w:p>
        </w:tc>
        <w:tc>
          <w:tcPr>
            <w:tcW w:w="1000" w:type="dxa"/>
            <w:vAlign w:val="bottom"/>
          </w:tcPr>
          <w:p>
            <w:pPr>
              <w:jc w:val="right"/>
              <w:spacing w:after="0"/>
              <w:rPr>
                <w:sz w:val="20"/>
                <w:szCs w:val="20"/>
                <w:color w:val="auto"/>
              </w:rPr>
            </w:pPr>
            <w:r>
              <w:rPr>
                <w:rFonts w:ascii="Arial" w:cs="Arial" w:eastAsia="Arial" w:hAnsi="Arial"/>
                <w:sz w:val="19"/>
                <w:szCs w:val="19"/>
                <w:color w:val="auto"/>
              </w:rPr>
              <w:t>204,345</w:t>
            </w:r>
          </w:p>
        </w:tc>
        <w:tc>
          <w:tcPr>
            <w:tcW w:w="300" w:type="dxa"/>
            <w:vAlign w:val="bottom"/>
          </w:tcPr>
          <w:p>
            <w:pPr>
              <w:spacing w:after="0"/>
              <w:rPr>
                <w:sz w:val="21"/>
                <w:szCs w:val="21"/>
                <w:color w:val="auto"/>
              </w:rPr>
            </w:pPr>
          </w:p>
        </w:tc>
        <w:tc>
          <w:tcPr>
            <w:tcW w:w="8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204,345</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(204,345)</w:t>
            </w:r>
          </w:p>
        </w:tc>
        <w:tc>
          <w:tcPr>
            <w:tcW w:w="300" w:type="dxa"/>
            <w:vAlign w:val="bottom"/>
          </w:tcPr>
          <w:p>
            <w:pPr>
              <w:spacing w:after="0"/>
              <w:rPr>
                <w:sz w:val="21"/>
                <w:szCs w:val="21"/>
                <w:color w:val="auto"/>
              </w:rPr>
            </w:pPr>
          </w:p>
        </w:tc>
        <w:tc>
          <w:tcPr>
            <w:tcW w:w="11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Fully amortized fixed assets</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(8,137)</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(8,137)</w:t>
            </w:r>
          </w:p>
        </w:tc>
        <w:tc>
          <w:tcPr>
            <w:tcW w:w="300" w:type="dxa"/>
            <w:vAlign w:val="bottom"/>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5160" w:type="dxa"/>
            <w:vAlign w:val="bottom"/>
            <w:gridSpan w:val="5"/>
          </w:tcPr>
          <w:p>
            <w:pPr>
              <w:spacing w:after="0"/>
              <w:rPr>
                <w:sz w:val="20"/>
                <w:szCs w:val="20"/>
                <w:color w:val="auto"/>
              </w:rPr>
            </w:pPr>
            <w:r>
              <w:rPr>
                <w:rFonts w:ascii="Arial" w:cs="Arial" w:eastAsia="Arial" w:hAnsi="Arial"/>
                <w:sz w:val="19"/>
                <w:szCs w:val="19"/>
                <w:b w:val="1"/>
                <w:bCs w:val="1"/>
                <w:color w:val="auto"/>
              </w:rPr>
              <w:t>As of December 31,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3,619,255</w:t>
            </w:r>
          </w:p>
        </w:tc>
        <w:tc>
          <w:tcPr>
            <w:tcW w:w="300" w:type="dxa"/>
            <w:vAlign w:val="bottom"/>
          </w:tcPr>
          <w:p>
            <w:pPr>
              <w:spacing w:after="0"/>
              <w:rPr>
                <w:sz w:val="22"/>
                <w:szCs w:val="22"/>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12,315</w:t>
            </w:r>
          </w:p>
        </w:tc>
        <w:tc>
          <w:tcPr>
            <w:tcW w:w="3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3,631,570</w:t>
            </w:r>
          </w:p>
        </w:tc>
        <w:tc>
          <w:tcPr>
            <w:tcW w:w="300" w:type="dxa"/>
            <w:vAlign w:val="bottom"/>
          </w:tcPr>
          <w:p>
            <w:pPr>
              <w:spacing w:after="0"/>
              <w:rPr>
                <w:sz w:val="22"/>
                <w:szCs w:val="2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178,405</w:t>
            </w:r>
          </w:p>
        </w:tc>
        <w:tc>
          <w:tcPr>
            <w:tcW w:w="300" w:type="dxa"/>
            <w:vAlign w:val="bottom"/>
          </w:tcPr>
          <w:p>
            <w:pPr>
              <w:spacing w:after="0"/>
              <w:rPr>
                <w:sz w:val="22"/>
                <w:szCs w:val="2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Additions</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5,717</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2,260</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7,977</w:t>
            </w:r>
          </w:p>
        </w:tc>
        <w:tc>
          <w:tcPr>
            <w:tcW w:w="13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742,998</w:t>
            </w:r>
          </w:p>
        </w:tc>
        <w:tc>
          <w:tcPr>
            <w:tcW w:w="14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714</w:t>
            </w:r>
          </w:p>
        </w:tc>
        <w:tc>
          <w:tcPr>
            <w:tcW w:w="0" w:type="dxa"/>
            <w:vAlign w:val="bottom"/>
          </w:tcPr>
          <w:p>
            <w:pPr>
              <w:spacing w:after="0"/>
              <w:rPr>
                <w:sz w:val="1"/>
                <w:szCs w:val="1"/>
                <w:color w:val="auto"/>
              </w:rPr>
            </w:pPr>
          </w:p>
        </w:tc>
      </w:tr>
      <w:tr>
        <w:trPr>
          <w:trHeight w:val="243"/>
        </w:trPr>
        <w:tc>
          <w:tcPr>
            <w:tcW w:w="5160" w:type="dxa"/>
            <w:vAlign w:val="bottom"/>
            <w:gridSpan w:val="5"/>
          </w:tcPr>
          <w:p>
            <w:pPr>
              <w:spacing w:after="0"/>
              <w:rPr>
                <w:sz w:val="20"/>
                <w:szCs w:val="20"/>
                <w:color w:val="auto"/>
              </w:rPr>
            </w:pPr>
            <w:r>
              <w:rPr>
                <w:rFonts w:ascii="Arial" w:cs="Arial" w:eastAsia="Arial" w:hAnsi="Arial"/>
                <w:sz w:val="19"/>
                <w:szCs w:val="19"/>
                <w:color w:val="auto"/>
              </w:rPr>
              <w:t>Sale and leaseback (Note 7)</w:t>
            </w:r>
          </w:p>
        </w:tc>
        <w:tc>
          <w:tcPr>
            <w:tcW w:w="1000" w:type="dxa"/>
            <w:vAlign w:val="bottom"/>
          </w:tcPr>
          <w:p>
            <w:pPr>
              <w:jc w:val="right"/>
              <w:spacing w:after="0"/>
              <w:rPr>
                <w:sz w:val="20"/>
                <w:szCs w:val="20"/>
                <w:color w:val="auto"/>
              </w:rPr>
            </w:pPr>
            <w:r>
              <w:rPr>
                <w:rFonts w:ascii="Arial" w:cs="Arial" w:eastAsia="Arial" w:hAnsi="Arial"/>
                <w:sz w:val="19"/>
                <w:szCs w:val="19"/>
                <w:color w:val="auto"/>
              </w:rPr>
              <w:t>(234,650)</w:t>
            </w:r>
          </w:p>
        </w:tc>
        <w:tc>
          <w:tcPr>
            <w:tcW w:w="300" w:type="dxa"/>
            <w:vAlign w:val="bottom"/>
          </w:tcPr>
          <w:p>
            <w:pPr>
              <w:spacing w:after="0"/>
              <w:rPr>
                <w:sz w:val="21"/>
                <w:szCs w:val="21"/>
                <w:color w:val="auto"/>
              </w:rPr>
            </w:pPr>
          </w:p>
        </w:tc>
        <w:tc>
          <w:tcPr>
            <w:tcW w:w="8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(234,650)</w:t>
            </w:r>
          </w:p>
        </w:tc>
        <w:tc>
          <w:tcPr>
            <w:tcW w:w="300" w:type="dxa"/>
            <w:vAlign w:val="bottom"/>
          </w:tcPr>
          <w:p>
            <w:pPr>
              <w:spacing w:after="0"/>
              <w:rPr>
                <w:sz w:val="21"/>
                <w:szCs w:val="21"/>
                <w:color w:val="auto"/>
              </w:rPr>
            </w:pPr>
          </w:p>
        </w:tc>
        <w:tc>
          <w:tcPr>
            <w:tcW w:w="10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1460" w:type="dxa"/>
            <w:vAlign w:val="bottom"/>
            <w:gridSpan w:val="2"/>
          </w:tcPr>
          <w:p>
            <w:pPr>
              <w:jc w:val="right"/>
              <w:ind w:right="6"/>
              <w:spacing w:after="0"/>
              <w:rPr>
                <w:sz w:val="20"/>
                <w:szCs w:val="20"/>
                <w:color w:val="auto"/>
              </w:rPr>
            </w:pPr>
            <w:r>
              <w:rPr>
                <w:rFonts w:ascii="Arial" w:cs="Arial" w:eastAsia="Arial" w:hAnsi="Arial"/>
                <w:sz w:val="19"/>
                <w:szCs w:val="19"/>
                <w:color w:val="auto"/>
              </w:rPr>
              <w:t>227,809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Transfer from vessels under construction</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825,047</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9"/>
              <w:spacing w:after="0"/>
              <w:rPr>
                <w:sz w:val="20"/>
                <w:szCs w:val="20"/>
                <w:color w:val="auto"/>
              </w:rPr>
            </w:pPr>
            <w:r>
              <w:rPr>
                <w:rFonts w:ascii="Arial" w:cs="Arial" w:eastAsia="Arial" w:hAnsi="Arial"/>
                <w:sz w:val="19"/>
                <w:szCs w:val="19"/>
                <w:b w:val="1"/>
                <w:bCs w:val="1"/>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825,047</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(825,047)</w:t>
            </w:r>
          </w:p>
        </w:tc>
        <w:tc>
          <w:tcPr>
            <w:tcW w:w="30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0"/>
        </w:trPr>
        <w:tc>
          <w:tcPr>
            <w:tcW w:w="5160" w:type="dxa"/>
            <w:vAlign w:val="bottom"/>
            <w:gridSpan w:val="5"/>
          </w:tcPr>
          <w:p>
            <w:pPr>
              <w:spacing w:after="0"/>
              <w:rPr>
                <w:sz w:val="20"/>
                <w:szCs w:val="20"/>
                <w:color w:val="auto"/>
              </w:rPr>
            </w:pPr>
            <w:r>
              <w:rPr>
                <w:rFonts w:ascii="Arial" w:cs="Arial" w:eastAsia="Arial" w:hAnsi="Arial"/>
                <w:sz w:val="19"/>
                <w:szCs w:val="19"/>
                <w:color w:val="auto"/>
              </w:rPr>
              <w:t>Fully amortized fixed assets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(2,520)</w:t>
            </w:r>
          </w:p>
        </w:tc>
        <w:tc>
          <w:tcPr>
            <w:tcW w:w="3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3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(2,594)</w:t>
            </w:r>
          </w:p>
        </w:tc>
        <w:tc>
          <w:tcPr>
            <w:tcW w:w="300" w:type="dxa"/>
            <w:vAlign w:val="bottom"/>
          </w:tcPr>
          <w:p>
            <w:pPr>
              <w:spacing w:after="0"/>
              <w:rPr>
                <w:sz w:val="21"/>
                <w:szCs w:val="21"/>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b w:val="1"/>
                <w:bCs w:val="1"/>
                <w:color w:val="auto"/>
              </w:rPr>
              <w:t>As of December 31, 2016</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4,212,849</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b w:val="1"/>
                <w:bCs w:val="1"/>
                <w:color w:val="auto"/>
              </w:rPr>
              <w:t>14,501</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4,227,350</w:t>
            </w:r>
          </w:p>
        </w:tc>
        <w:tc>
          <w:tcPr>
            <w:tcW w:w="13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96,356</w:t>
            </w:r>
          </w:p>
        </w:tc>
        <w:tc>
          <w:tcPr>
            <w:tcW w:w="14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228,523</w:t>
            </w:r>
          </w:p>
        </w:tc>
        <w:tc>
          <w:tcPr>
            <w:tcW w:w="0" w:type="dxa"/>
            <w:vAlign w:val="bottom"/>
          </w:tcPr>
          <w:p>
            <w:pPr>
              <w:spacing w:after="0"/>
              <w:rPr>
                <w:sz w:val="1"/>
                <w:szCs w:val="1"/>
                <w:color w:val="auto"/>
              </w:rPr>
            </w:pPr>
          </w:p>
        </w:tc>
      </w:tr>
      <w:tr>
        <w:trPr>
          <w:trHeight w:val="196"/>
        </w:trPr>
        <w:tc>
          <w:tcPr>
            <w:tcW w:w="5160" w:type="dxa"/>
            <w:vAlign w:val="bottom"/>
            <w:gridSpan w:val="5"/>
          </w:tcPr>
          <w:p>
            <w:pPr>
              <w:spacing w:after="0" w:line="196" w:lineRule="exact"/>
              <w:rPr>
                <w:sz w:val="20"/>
                <w:szCs w:val="20"/>
                <w:color w:val="auto"/>
              </w:rPr>
            </w:pPr>
            <w:r>
              <w:rPr>
                <w:rFonts w:ascii="Arial" w:cs="Arial" w:eastAsia="Arial" w:hAnsi="Arial"/>
                <w:sz w:val="19"/>
                <w:szCs w:val="19"/>
                <w:b w:val="1"/>
                <w:bCs w:val="1"/>
                <w:color w:val="auto"/>
              </w:rPr>
              <w:t>Accumulated depreciation</w:t>
            </w: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b w:val="1"/>
                <w:bCs w:val="1"/>
                <w:color w:val="auto"/>
              </w:rPr>
              <w:t>As of January 1, 2015</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130,597</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b w:val="1"/>
                <w:bCs w:val="1"/>
                <w:color w:val="auto"/>
              </w:rPr>
              <w:t>2,199</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132,796</w:t>
            </w: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5160" w:type="dxa"/>
            <w:vAlign w:val="bottom"/>
            <w:gridSpan w:val="5"/>
          </w:tcPr>
          <w:p>
            <w:pPr>
              <w:spacing w:after="0"/>
              <w:rPr>
                <w:sz w:val="20"/>
                <w:szCs w:val="20"/>
                <w:color w:val="auto"/>
              </w:rPr>
            </w:pPr>
            <w:r>
              <w:rPr>
                <w:rFonts w:ascii="Arial" w:cs="Arial" w:eastAsia="Arial" w:hAnsi="Arial"/>
                <w:sz w:val="19"/>
                <w:szCs w:val="19"/>
                <w:color w:val="auto"/>
              </w:rPr>
              <w:t>Depreciation</w:t>
            </w:r>
          </w:p>
        </w:tc>
        <w:tc>
          <w:tcPr>
            <w:tcW w:w="1000" w:type="dxa"/>
            <w:vAlign w:val="bottom"/>
          </w:tcPr>
          <w:p>
            <w:pPr>
              <w:jc w:val="right"/>
              <w:spacing w:after="0"/>
              <w:rPr>
                <w:sz w:val="20"/>
                <w:szCs w:val="20"/>
                <w:color w:val="auto"/>
              </w:rPr>
            </w:pPr>
            <w:r>
              <w:rPr>
                <w:rFonts w:ascii="Arial" w:cs="Arial" w:eastAsia="Arial" w:hAnsi="Arial"/>
                <w:sz w:val="19"/>
                <w:szCs w:val="19"/>
                <w:color w:val="auto"/>
              </w:rPr>
              <w:t>106,071</w:t>
            </w:r>
          </w:p>
        </w:tc>
        <w:tc>
          <w:tcPr>
            <w:tcW w:w="1140" w:type="dxa"/>
            <w:vAlign w:val="bottom"/>
            <w:gridSpan w:val="2"/>
          </w:tcPr>
          <w:p>
            <w:pPr>
              <w:jc w:val="right"/>
              <w:ind w:right="9"/>
              <w:spacing w:after="0"/>
              <w:rPr>
                <w:sz w:val="20"/>
                <w:szCs w:val="20"/>
                <w:color w:val="auto"/>
              </w:rPr>
            </w:pPr>
            <w:r>
              <w:rPr>
                <w:rFonts w:ascii="Arial" w:cs="Arial" w:eastAsia="Arial" w:hAnsi="Arial"/>
                <w:sz w:val="19"/>
                <w:szCs w:val="19"/>
                <w:color w:val="auto"/>
              </w:rPr>
              <w:t>570</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106,641</w:t>
            </w:r>
          </w:p>
        </w:tc>
        <w:tc>
          <w:tcPr>
            <w:tcW w:w="300" w:type="dxa"/>
            <w:vAlign w:val="bottom"/>
          </w:tcPr>
          <w:p>
            <w:pPr>
              <w:spacing w:after="0"/>
              <w:rPr>
                <w:sz w:val="21"/>
                <w:szCs w:val="21"/>
                <w:color w:val="auto"/>
              </w:rPr>
            </w:pPr>
          </w:p>
        </w:tc>
        <w:tc>
          <w:tcPr>
            <w:tcW w:w="10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Fully amortized fixed assets</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(8,137)</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(8,137)</w:t>
            </w:r>
          </w:p>
        </w:tc>
        <w:tc>
          <w:tcPr>
            <w:tcW w:w="300" w:type="dxa"/>
            <w:vAlign w:val="bottom"/>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5160" w:type="dxa"/>
            <w:vAlign w:val="bottom"/>
            <w:gridSpan w:val="5"/>
          </w:tcPr>
          <w:p>
            <w:pPr>
              <w:spacing w:after="0"/>
              <w:rPr>
                <w:sz w:val="20"/>
                <w:szCs w:val="20"/>
                <w:color w:val="auto"/>
              </w:rPr>
            </w:pPr>
            <w:r>
              <w:rPr>
                <w:rFonts w:ascii="Arial" w:cs="Arial" w:eastAsia="Arial" w:hAnsi="Arial"/>
                <w:sz w:val="19"/>
                <w:szCs w:val="19"/>
                <w:b w:val="1"/>
                <w:bCs w:val="1"/>
                <w:color w:val="auto"/>
              </w:rPr>
              <w:t>As of December 31,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228,531</w:t>
            </w:r>
          </w:p>
        </w:tc>
        <w:tc>
          <w:tcPr>
            <w:tcW w:w="300" w:type="dxa"/>
            <w:vAlign w:val="bottom"/>
          </w:tcPr>
          <w:p>
            <w:pPr>
              <w:spacing w:after="0"/>
              <w:rPr>
                <w:sz w:val="22"/>
                <w:szCs w:val="22"/>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2,769</w:t>
            </w:r>
          </w:p>
        </w:tc>
        <w:tc>
          <w:tcPr>
            <w:tcW w:w="3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231,300</w:t>
            </w:r>
          </w:p>
        </w:tc>
        <w:tc>
          <w:tcPr>
            <w:tcW w:w="300" w:type="dxa"/>
            <w:vAlign w:val="bottom"/>
          </w:tcPr>
          <w:p>
            <w:pPr>
              <w:spacing w:after="0"/>
              <w:rPr>
                <w:sz w:val="22"/>
                <w:szCs w:val="2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w:t>
            </w:r>
          </w:p>
        </w:tc>
        <w:tc>
          <w:tcPr>
            <w:tcW w:w="300" w:type="dxa"/>
            <w:vAlign w:val="bottom"/>
          </w:tcPr>
          <w:p>
            <w:pPr>
              <w:spacing w:after="0"/>
              <w:rPr>
                <w:sz w:val="22"/>
                <w:szCs w:val="2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Depreciation</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115,790</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648</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116,438</w:t>
            </w: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14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6,519</w:t>
            </w:r>
          </w:p>
        </w:tc>
        <w:tc>
          <w:tcPr>
            <w:tcW w:w="0" w:type="dxa"/>
            <w:vAlign w:val="bottom"/>
          </w:tcPr>
          <w:p>
            <w:pPr>
              <w:spacing w:after="0"/>
              <w:rPr>
                <w:sz w:val="1"/>
                <w:szCs w:val="1"/>
                <w:color w:val="auto"/>
              </w:rPr>
            </w:pPr>
          </w:p>
        </w:tc>
      </w:tr>
      <w:tr>
        <w:trPr>
          <w:trHeight w:val="243"/>
        </w:trPr>
        <w:tc>
          <w:tcPr>
            <w:tcW w:w="5160" w:type="dxa"/>
            <w:vAlign w:val="bottom"/>
            <w:gridSpan w:val="5"/>
          </w:tcPr>
          <w:p>
            <w:pPr>
              <w:spacing w:after="0"/>
              <w:rPr>
                <w:sz w:val="20"/>
                <w:szCs w:val="20"/>
                <w:color w:val="auto"/>
              </w:rPr>
            </w:pPr>
            <w:r>
              <w:rPr>
                <w:rFonts w:ascii="Arial" w:cs="Arial" w:eastAsia="Arial" w:hAnsi="Arial"/>
                <w:sz w:val="19"/>
                <w:szCs w:val="19"/>
                <w:color w:val="auto"/>
              </w:rPr>
              <w:t>Sale and leaseback (Note 7)</w:t>
            </w:r>
          </w:p>
        </w:tc>
        <w:tc>
          <w:tcPr>
            <w:tcW w:w="1000" w:type="dxa"/>
            <w:vAlign w:val="bottom"/>
          </w:tcPr>
          <w:p>
            <w:pPr>
              <w:jc w:val="right"/>
              <w:spacing w:after="0"/>
              <w:rPr>
                <w:sz w:val="20"/>
                <w:szCs w:val="20"/>
                <w:color w:val="auto"/>
              </w:rPr>
            </w:pPr>
            <w:r>
              <w:rPr>
                <w:rFonts w:ascii="Arial" w:cs="Arial" w:eastAsia="Arial" w:hAnsi="Arial"/>
                <w:sz w:val="19"/>
                <w:szCs w:val="19"/>
                <w:color w:val="auto"/>
              </w:rPr>
              <w:t>(6,841)</w:t>
            </w:r>
          </w:p>
        </w:tc>
        <w:tc>
          <w:tcPr>
            <w:tcW w:w="300" w:type="dxa"/>
            <w:vAlign w:val="bottom"/>
          </w:tcPr>
          <w:p>
            <w:pPr>
              <w:spacing w:after="0"/>
              <w:rPr>
                <w:sz w:val="21"/>
                <w:szCs w:val="21"/>
                <w:color w:val="auto"/>
              </w:rPr>
            </w:pPr>
          </w:p>
        </w:tc>
        <w:tc>
          <w:tcPr>
            <w:tcW w:w="8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(6,841)</w:t>
            </w:r>
          </w:p>
        </w:tc>
        <w:tc>
          <w:tcPr>
            <w:tcW w:w="300" w:type="dxa"/>
            <w:vAlign w:val="bottom"/>
          </w:tcPr>
          <w:p>
            <w:pPr>
              <w:spacing w:after="0"/>
              <w:rPr>
                <w:sz w:val="21"/>
                <w:szCs w:val="21"/>
                <w:color w:val="auto"/>
              </w:rPr>
            </w:pPr>
          </w:p>
        </w:tc>
        <w:tc>
          <w:tcPr>
            <w:tcW w:w="10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color w:val="auto"/>
              </w:rPr>
              <w:t>Fully amortized fixed assets</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(2,520)</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w:t>
            </w:r>
          </w:p>
        </w:tc>
        <w:tc>
          <w:tcPr>
            <w:tcW w:w="300" w:type="dxa"/>
            <w:vAlign w:val="bottom"/>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(2,594)</w:t>
            </w:r>
          </w:p>
        </w:tc>
        <w:tc>
          <w:tcPr>
            <w:tcW w:w="300" w:type="dxa"/>
            <w:vAlign w:val="bottom"/>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5160" w:type="dxa"/>
            <w:vAlign w:val="bottom"/>
            <w:gridSpan w:val="5"/>
          </w:tcPr>
          <w:p>
            <w:pPr>
              <w:spacing w:after="0"/>
              <w:rPr>
                <w:sz w:val="20"/>
                <w:szCs w:val="20"/>
                <w:color w:val="auto"/>
              </w:rPr>
            </w:pPr>
            <w:r>
              <w:rPr>
                <w:rFonts w:ascii="Arial" w:cs="Arial" w:eastAsia="Arial" w:hAnsi="Arial"/>
                <w:sz w:val="19"/>
                <w:szCs w:val="19"/>
                <w:b w:val="1"/>
                <w:bCs w:val="1"/>
                <w:color w:val="auto"/>
              </w:rPr>
              <w:t>As of December 31, 2016</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334,960</w:t>
            </w:r>
          </w:p>
        </w:tc>
        <w:tc>
          <w:tcPr>
            <w:tcW w:w="1140" w:type="dxa"/>
            <w:vAlign w:val="bottom"/>
            <w:gridSpan w:val="2"/>
          </w:tcPr>
          <w:p>
            <w:pPr>
              <w:jc w:val="right"/>
              <w:ind w:right="9"/>
              <w:spacing w:after="0"/>
              <w:rPr>
                <w:sz w:val="20"/>
                <w:szCs w:val="20"/>
                <w:color w:val="auto"/>
              </w:rPr>
            </w:pPr>
            <w:r>
              <w:rPr>
                <w:rFonts w:ascii="Arial" w:cs="Arial" w:eastAsia="Arial" w:hAnsi="Arial"/>
                <w:sz w:val="19"/>
                <w:szCs w:val="19"/>
                <w:b w:val="1"/>
                <w:bCs w:val="1"/>
                <w:color w:val="auto"/>
              </w:rPr>
              <w:t>3,343</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338,303</w:t>
            </w:r>
          </w:p>
        </w:tc>
        <w:tc>
          <w:tcPr>
            <w:tcW w:w="300" w:type="dxa"/>
            <w:vAlign w:val="bottom"/>
          </w:tcPr>
          <w:p>
            <w:pPr>
              <w:spacing w:after="0"/>
              <w:rPr>
                <w:sz w:val="22"/>
                <w:szCs w:val="22"/>
                <w:color w:val="auto"/>
              </w:rPr>
            </w:pPr>
          </w:p>
        </w:tc>
        <w:tc>
          <w:tcPr>
            <w:tcW w:w="1060" w:type="dxa"/>
            <w:vAlign w:val="bottom"/>
          </w:tcPr>
          <w:p>
            <w:pPr>
              <w:jc w:val="right"/>
              <w:ind w:right="6"/>
              <w:spacing w:after="0"/>
              <w:rPr>
                <w:sz w:val="20"/>
                <w:szCs w:val="20"/>
                <w:color w:val="auto"/>
              </w:rPr>
            </w:pPr>
            <w:r>
              <w:rPr>
                <w:rFonts w:ascii="Arial" w:cs="Arial" w:eastAsia="Arial" w:hAnsi="Arial"/>
                <w:sz w:val="19"/>
                <w:szCs w:val="19"/>
                <w:b w:val="1"/>
                <w:bCs w:val="1"/>
                <w:color w:val="auto"/>
              </w:rPr>
              <w:t>—</w:t>
            </w:r>
          </w:p>
        </w:tc>
        <w:tc>
          <w:tcPr>
            <w:tcW w:w="1460" w:type="dxa"/>
            <w:vAlign w:val="bottom"/>
            <w:gridSpan w:val="2"/>
          </w:tcPr>
          <w:p>
            <w:pPr>
              <w:jc w:val="right"/>
              <w:ind w:right="6"/>
              <w:spacing w:after="0"/>
              <w:rPr>
                <w:sz w:val="20"/>
                <w:szCs w:val="20"/>
                <w:color w:val="auto"/>
              </w:rPr>
            </w:pPr>
            <w:r>
              <w:rPr>
                <w:rFonts w:ascii="Arial" w:cs="Arial" w:eastAsia="Arial" w:hAnsi="Arial"/>
                <w:sz w:val="19"/>
                <w:szCs w:val="19"/>
                <w:b w:val="1"/>
                <w:bCs w:val="1"/>
                <w:color w:val="auto"/>
              </w:rPr>
              <w:t>6,519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4"/>
            <w:shd w:val="clear" w:color="auto" w:fill="E5FFFF"/>
          </w:tcPr>
          <w:p>
            <w:pPr>
              <w:spacing w:after="0" w:line="189" w:lineRule="exact"/>
              <w:rPr>
                <w:sz w:val="20"/>
                <w:szCs w:val="20"/>
                <w:color w:val="auto"/>
              </w:rPr>
            </w:pPr>
            <w:r>
              <w:rPr>
                <w:rFonts w:ascii="Arial" w:cs="Arial" w:eastAsia="Arial" w:hAnsi="Arial"/>
                <w:sz w:val="19"/>
                <w:szCs w:val="19"/>
                <w:b w:val="1"/>
                <w:bCs w:val="1"/>
                <w:color w:val="auto"/>
              </w:rPr>
              <w:t>Net book value</w:t>
            </w:r>
          </w:p>
        </w:tc>
        <w:tc>
          <w:tcPr>
            <w:tcW w:w="100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84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00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06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16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shd w:val="clear" w:color="auto" w:fill="E5FFFF"/>
          </w:tcPr>
          <w:p>
            <w:pPr>
              <w:spacing w:after="0" w:line="20" w:lineRule="exact"/>
              <w:rPr>
                <w:sz w:val="1"/>
                <w:szCs w:val="1"/>
                <w:color w:val="auto"/>
              </w:rPr>
            </w:pPr>
          </w:p>
        </w:tc>
        <w:tc>
          <w:tcPr>
            <w:tcW w:w="860" w:type="dxa"/>
            <w:vAlign w:val="bottom"/>
            <w:tcBorders>
              <w:top w:val="single" w:sz="8" w:color="auto"/>
            </w:tcBorders>
            <w:shd w:val="clear" w:color="auto" w:fill="E5FFFF"/>
          </w:tcPr>
          <w:p>
            <w:pPr>
              <w:spacing w:after="0" w:line="20" w:lineRule="exact"/>
              <w:rPr>
                <w:sz w:val="1"/>
                <w:szCs w:val="1"/>
                <w:color w:val="auto"/>
              </w:rPr>
            </w:pPr>
          </w:p>
        </w:tc>
        <w:tc>
          <w:tcPr>
            <w:tcW w:w="940" w:type="dxa"/>
            <w:vAlign w:val="bottom"/>
            <w:tcBorders>
              <w:top w:val="single" w:sz="8" w:color="E5FFFF"/>
            </w:tcBorders>
            <w:shd w:val="clear" w:color="auto" w:fill="E5FFFF"/>
          </w:tcPr>
          <w:p>
            <w:pPr>
              <w:spacing w:after="0" w:line="20" w:lineRule="exact"/>
              <w:rPr>
                <w:sz w:val="1"/>
                <w:szCs w:val="1"/>
                <w:color w:val="auto"/>
              </w:rPr>
            </w:pPr>
          </w:p>
        </w:tc>
        <w:tc>
          <w:tcPr>
            <w:tcW w:w="2980" w:type="dxa"/>
            <w:vAlign w:val="bottom"/>
            <w:tcBorders>
              <w:top w:val="single" w:sz="8" w:color="E5FFFF"/>
            </w:tcBorders>
            <w:shd w:val="clear" w:color="auto" w:fill="E5FFFF"/>
          </w:tcPr>
          <w:p>
            <w:pPr>
              <w:spacing w:after="0" w:line="20" w:lineRule="exact"/>
              <w:rPr>
                <w:sz w:val="1"/>
                <w:szCs w:val="1"/>
                <w:color w:val="auto"/>
              </w:rPr>
            </w:pPr>
          </w:p>
        </w:tc>
        <w:tc>
          <w:tcPr>
            <w:tcW w:w="10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40" w:type="dxa"/>
            <w:vAlign w:val="bottom"/>
            <w:gridSpan w:val="4"/>
          </w:tcPr>
          <w:p>
            <w:pPr>
              <w:spacing w:after="0"/>
              <w:rPr>
                <w:sz w:val="20"/>
                <w:szCs w:val="20"/>
                <w:color w:val="auto"/>
              </w:rPr>
            </w:pPr>
            <w:r>
              <w:rPr>
                <w:rFonts w:ascii="Arial" w:cs="Arial" w:eastAsia="Arial" w:hAnsi="Arial"/>
                <w:sz w:val="19"/>
                <w:szCs w:val="19"/>
                <w:b w:val="1"/>
                <w:bCs w:val="1"/>
                <w:color w:val="auto"/>
              </w:rPr>
              <w:t>As of December 31,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3,390,724</w:t>
            </w:r>
          </w:p>
        </w:tc>
        <w:tc>
          <w:tcPr>
            <w:tcW w:w="300" w:type="dxa"/>
            <w:vAlign w:val="bottom"/>
          </w:tcPr>
          <w:p>
            <w:pPr>
              <w:spacing w:after="0"/>
              <w:rPr>
                <w:sz w:val="21"/>
                <w:szCs w:val="21"/>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9,546</w:t>
            </w:r>
          </w:p>
        </w:tc>
        <w:tc>
          <w:tcPr>
            <w:tcW w:w="3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3,400,270</w:t>
            </w:r>
          </w:p>
        </w:tc>
        <w:tc>
          <w:tcPr>
            <w:tcW w:w="300" w:type="dxa"/>
            <w:vAlign w:val="bottom"/>
          </w:tcPr>
          <w:p>
            <w:pPr>
              <w:spacing w:after="0"/>
              <w:rPr>
                <w:sz w:val="21"/>
                <w:szCs w:val="21"/>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178,405</w:t>
            </w:r>
          </w:p>
        </w:tc>
        <w:tc>
          <w:tcPr>
            <w:tcW w:w="300" w:type="dxa"/>
            <w:vAlign w:val="bottom"/>
          </w:tcPr>
          <w:p>
            <w:pPr>
              <w:spacing w:after="0"/>
              <w:rPr>
                <w:sz w:val="21"/>
                <w:szCs w:val="2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shd w:val="clear" w:color="auto" w:fill="E5FFFF"/>
          </w:tcPr>
          <w:p>
            <w:pPr>
              <w:spacing w:after="0"/>
              <w:rPr>
                <w:sz w:val="20"/>
                <w:szCs w:val="20"/>
                <w:color w:val="auto"/>
              </w:rPr>
            </w:pPr>
            <w:r>
              <w:rPr>
                <w:rFonts w:ascii="Arial" w:cs="Arial" w:eastAsia="Arial" w:hAnsi="Arial"/>
                <w:sz w:val="19"/>
                <w:szCs w:val="19"/>
                <w:b w:val="1"/>
                <w:bCs w:val="1"/>
                <w:color w:val="auto"/>
              </w:rPr>
              <w:t>As of December 31, 2016</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3,877,889</w:t>
            </w:r>
          </w:p>
        </w:tc>
        <w:tc>
          <w:tcPr>
            <w:tcW w:w="11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b w:val="1"/>
                <w:bCs w:val="1"/>
                <w:color w:val="auto"/>
              </w:rPr>
              <w:t>11,158</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3,889,047</w:t>
            </w:r>
          </w:p>
        </w:tc>
        <w:tc>
          <w:tcPr>
            <w:tcW w:w="13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96,356</w:t>
            </w:r>
          </w:p>
        </w:tc>
        <w:tc>
          <w:tcPr>
            <w:tcW w:w="146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b w:val="1"/>
                <w:bCs w:val="1"/>
                <w:color w:val="auto"/>
              </w:rPr>
              <w:t>222,004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Vessels with an aggregate carrying amount of $3,877,889 as of December 31, 2016 (December 31, 2015: $3,390,724) have been pledged as collateral under the terms of the Group’s loan agreements (Note 13).</w:t>
      </w:r>
    </w:p>
    <w:p>
      <w:pPr>
        <w:spacing w:after="0" w:line="52"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 xml:space="preserve">On March 31, 2015, GasLog acquired two 170,000 cbm tri-fuel diesel electric LNG carriers from a subsidiary of BG Group plc (“BG Group”) for an aggregate cost of $460,000 and chartered those vessels back to Methane Services Limited (“MSL”) for periods of 9 and 11 years respectively, with further options by the charterer to extend the term of the time charter for each vessel by either three or five years. The vessels acquired are the 2010-built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and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GasLog supervised their construction and has technically managed both ships since their delivery to BG Group in 2010. They have tri-fuel diesel electric propulsion and on-board reliquefaction plants, which enable the vessels to operate on gas at a wider range of speed more efficiently.</w:t>
      </w:r>
    </w:p>
    <w:p>
      <w:pPr>
        <w:spacing w:after="0" w:line="76"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 xml:space="preserve">On February 24, 2016, GAS-twenty six Ltd. completed the sale and leaseback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with a subsidiary of Mitsui. Refer to Note 7.</w:t>
      </w:r>
    </w:p>
    <w:p>
      <w:pPr>
        <w:spacing w:after="0" w:line="38"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The acquisition of the aforementioned vessels was treated as an asset acquisition based on the absence of processes attached to the inputs. In addition, management considered that the charter party agreements entered into approximate market rates and has concluded that the contracted daily charter rate approximates the fair value on the transaction completion dates, taking into account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1" w:name="page162"/>
    <w:bookmarkEnd w:id="161"/>
    <w:p>
      <w:pPr>
        <w:ind w:right="20"/>
        <w:spacing w:after="0" w:line="283" w:lineRule="auto"/>
        <w:rPr>
          <w:sz w:val="20"/>
          <w:szCs w:val="20"/>
          <w:color w:val="auto"/>
        </w:rPr>
      </w:pPr>
      <w:r>
        <w:rPr>
          <w:rFonts w:ascii="Arial" w:cs="Arial" w:eastAsia="Arial" w:hAnsi="Arial"/>
          <w:sz w:val="19"/>
          <w:szCs w:val="19"/>
          <w:color w:val="auto"/>
        </w:rPr>
        <w:t>that the rates agreed with BG Group were in arms’ length negotiations and management’s understanding of the market. Considering the above, the purchase price was allocated in total to vessel cost.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Vessels under construction</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 xml:space="preserve">In 2011, GAS-ten Ltd. entered into a shipbuilding contract with Samsung Heavy Industries Co. Ltd. (“Samsung”) for the construction of a LNG Carrier (155,000 cubic meters). The </w:t>
      </w:r>
      <w:r>
        <w:rPr>
          <w:rFonts w:ascii="Arial" w:cs="Arial" w:eastAsia="Arial" w:hAnsi="Arial"/>
          <w:sz w:val="19"/>
          <w:szCs w:val="19"/>
          <w:i w:val="1"/>
          <w:iCs w:val="1"/>
          <w:color w:val="auto"/>
        </w:rPr>
        <w:t>GasLog Salem</w:t>
      </w:r>
      <w:r>
        <w:rPr>
          <w:rFonts w:ascii="Arial" w:cs="Arial" w:eastAsia="Arial" w:hAnsi="Arial"/>
          <w:sz w:val="19"/>
          <w:szCs w:val="19"/>
          <w:color w:val="auto"/>
        </w:rPr>
        <w:t xml:space="preserve"> was delivered on April 30, 2015.</w:t>
      </w:r>
    </w:p>
    <w:p>
      <w:pPr>
        <w:spacing w:after="0" w:line="5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In January 2013, GAS-eleven Ltd. and GAS-twelve Ltd. entered into shipbuilding contracts with Samsung for the construction of two LNG carriers (174,000 cubic meters each). The first vessel,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was delivered on March 29, 2016, while the second vessel, the </w:t>
      </w:r>
      <w:r>
        <w:rPr>
          <w:rFonts w:ascii="Arial" w:cs="Arial" w:eastAsia="Arial" w:hAnsi="Arial"/>
          <w:sz w:val="19"/>
          <w:szCs w:val="19"/>
          <w:i w:val="1"/>
          <w:iCs w:val="1"/>
          <w:color w:val="auto"/>
        </w:rPr>
        <w:t>GasLog</w:t>
      </w:r>
      <w:r>
        <w:rPr>
          <w:rFonts w:ascii="Arial" w:cs="Arial" w:eastAsia="Arial" w:hAnsi="Arial"/>
          <w:sz w:val="19"/>
          <w:szCs w:val="19"/>
          <w:color w:val="auto"/>
        </w:rPr>
        <w:t xml:space="preserve"> </w:t>
      </w:r>
      <w:r>
        <w:rPr>
          <w:rFonts w:ascii="Arial" w:cs="Arial" w:eastAsia="Arial" w:hAnsi="Arial"/>
          <w:sz w:val="19"/>
          <w:szCs w:val="19"/>
          <w:i w:val="1"/>
          <w:iCs w:val="1"/>
          <w:color w:val="auto"/>
        </w:rPr>
        <w:t>Glasgow</w:t>
      </w:r>
      <w:r>
        <w:rPr>
          <w:rFonts w:ascii="Arial" w:cs="Arial" w:eastAsia="Arial" w:hAnsi="Arial"/>
          <w:sz w:val="19"/>
          <w:szCs w:val="19"/>
          <w:color w:val="auto"/>
        </w:rPr>
        <w:t>, was delivered on June 30, 2016.</w:t>
      </w:r>
    </w:p>
    <w:p>
      <w:pPr>
        <w:spacing w:after="0" w:line="68"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In August 2013, GAS-thirteen Ltd. and GAS-fourteen Ltd. entered into shipbuilding contracts with Samsung for the construction of two LNG carriers (174,000 cubic meters each). The first vessel,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was delivered on September 30, 2016, while the second vessel, the </w:t>
      </w:r>
      <w:r>
        <w:rPr>
          <w:rFonts w:ascii="Arial" w:cs="Arial" w:eastAsia="Arial" w:hAnsi="Arial"/>
          <w:sz w:val="19"/>
          <w:szCs w:val="19"/>
          <w:i w:val="1"/>
          <w:iCs w:val="1"/>
          <w:color w:val="auto"/>
        </w:rPr>
        <w:t>GasLog Gibraltar</w:t>
      </w:r>
      <w:r>
        <w:rPr>
          <w:rFonts w:ascii="Arial" w:cs="Arial" w:eastAsia="Arial" w:hAnsi="Arial"/>
          <w:sz w:val="19"/>
          <w:szCs w:val="19"/>
          <w:color w:val="auto"/>
        </w:rPr>
        <w:t>, was delivered on October 31, 2016.</w:t>
      </w:r>
    </w:p>
    <w:p>
      <w:pPr>
        <w:spacing w:after="0" w:line="54" w:lineRule="exact"/>
        <w:rPr>
          <w:sz w:val="20"/>
          <w:szCs w:val="20"/>
          <w:color w:val="auto"/>
        </w:rPr>
      </w:pPr>
    </w:p>
    <w:p>
      <w:pPr>
        <w:ind w:right="60" w:firstLine="357"/>
        <w:spacing w:after="0" w:line="312"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for the construction of two LNG carriers (174,000 cubic meters each). The vessels are expected to be delivered in the first quarter of 2018 and 2019, respectively.</w:t>
      </w:r>
    </w:p>
    <w:p>
      <w:pPr>
        <w:spacing w:after="0" w:line="29"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In June 2014, GAS-twenty four Ltd. and GAS-twenty five Ltd. entered into shipbuilding contracts with Hyundai Heavy Industries Co., Ltd. (“Hyundai”) for the construction of two LNG carriers (174,000 cubic meters each). The vessels are expected to be delivered in the first quarter of 2018.</w:t>
      </w:r>
    </w:p>
    <w:p>
      <w:pPr>
        <w:spacing w:after="0" w:line="68"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In September 2016, GAS-twenty eight Ltd. entered into a shipbuilding contract with Samsung for the construction of one LNG carrier (180,000 cubic meters). The vessel is expected to be delivered in the second quarter of 2019.</w:t>
      </w:r>
    </w:p>
    <w:p>
      <w:pPr>
        <w:spacing w:after="0" w:line="52" w:lineRule="exact"/>
        <w:rPr>
          <w:sz w:val="20"/>
          <w:szCs w:val="20"/>
          <w:color w:val="auto"/>
        </w:rPr>
      </w:pPr>
    </w:p>
    <w:p>
      <w:pPr>
        <w:ind w:right="520" w:firstLine="357"/>
        <w:spacing w:after="0" w:line="289"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December 31, 2016, the Group has paid to the shipyard $91,375 for the vessels that are under construction and expects to pay the remaining installments as they come due upon each vessel’s keel laying, launching and delivery (Note 22(b)).</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vessels under construction costs as of December 31, 2015 and 2016 are comprised of:</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54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6"/>
                <w:szCs w:val="16"/>
                <w:b w:val="1"/>
                <w:bCs w:val="1"/>
                <w:color w:val="auto"/>
              </w:rPr>
              <w:t>As of December 31,</w:t>
            </w:r>
          </w:p>
        </w:tc>
      </w:tr>
      <w:tr>
        <w:trPr>
          <w:trHeight w:val="169"/>
        </w:trPr>
        <w:tc>
          <w:tcPr>
            <w:tcW w:w="8540" w:type="dxa"/>
            <w:vAlign w:val="bottom"/>
          </w:tcPr>
          <w:p>
            <w:pPr>
              <w:spacing w:after="0"/>
              <w:rPr>
                <w:sz w:val="14"/>
                <w:szCs w:val="14"/>
                <w:color w:val="auto"/>
              </w:rPr>
            </w:pPr>
          </w:p>
        </w:tc>
        <w:tc>
          <w:tcPr>
            <w:tcW w:w="820" w:type="dxa"/>
            <w:vAlign w:val="bottom"/>
            <w:tcBorders>
              <w:bottom w:val="single" w:sz="8" w:color="auto"/>
            </w:tcBorders>
          </w:tcPr>
          <w:p>
            <w:pPr>
              <w:jc w:val="right"/>
              <w:ind w:right="149"/>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Progress shipyard installments</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170,634</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91,375</w:t>
            </w:r>
          </w:p>
        </w:tc>
      </w:tr>
      <w:tr>
        <w:trPr>
          <w:trHeight w:val="243"/>
        </w:trPr>
        <w:tc>
          <w:tcPr>
            <w:tcW w:w="8540" w:type="dxa"/>
            <w:vAlign w:val="bottom"/>
          </w:tcPr>
          <w:p>
            <w:pPr>
              <w:spacing w:after="0"/>
              <w:rPr>
                <w:sz w:val="20"/>
                <w:szCs w:val="20"/>
                <w:color w:val="auto"/>
              </w:rPr>
            </w:pPr>
            <w:r>
              <w:rPr>
                <w:rFonts w:ascii="Arial" w:cs="Arial" w:eastAsia="Arial" w:hAnsi="Arial"/>
                <w:sz w:val="19"/>
                <w:szCs w:val="19"/>
                <w:color w:val="auto"/>
              </w:rPr>
              <w:t>Onsite supervision costs</w:t>
            </w:r>
          </w:p>
        </w:tc>
        <w:tc>
          <w:tcPr>
            <w:tcW w:w="820" w:type="dxa"/>
            <w:vAlign w:val="bottom"/>
          </w:tcPr>
          <w:p>
            <w:pPr>
              <w:jc w:val="right"/>
              <w:spacing w:after="0"/>
              <w:rPr>
                <w:sz w:val="20"/>
                <w:szCs w:val="20"/>
                <w:color w:val="auto"/>
              </w:rPr>
            </w:pPr>
            <w:r>
              <w:rPr>
                <w:rFonts w:ascii="Arial" w:cs="Arial" w:eastAsia="Arial" w:hAnsi="Arial"/>
                <w:sz w:val="19"/>
                <w:szCs w:val="19"/>
                <w:color w:val="auto"/>
              </w:rPr>
              <w:t>4,289</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4,915</w:t>
            </w:r>
          </w:p>
        </w:tc>
      </w:tr>
      <w:tr>
        <w:trPr>
          <w:trHeight w:val="243"/>
        </w:trPr>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Critical spare parts, equipment and other vessel delivery expenses</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3,482</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66</w:t>
            </w:r>
          </w:p>
        </w:tc>
      </w:tr>
      <w:tr>
        <w:trPr>
          <w:trHeight w:val="250"/>
        </w:trPr>
        <w:tc>
          <w:tcPr>
            <w:tcW w:w="854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178,405</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96,356</w:t>
            </w:r>
          </w:p>
        </w:tc>
      </w:tr>
      <w:tr>
        <w:trPr>
          <w:trHeight w:val="20"/>
        </w:trPr>
        <w:tc>
          <w:tcPr>
            <w:tcW w:w="8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Sale and Leaseback</w:t>
      </w:r>
    </w:p>
    <w:p>
      <w:pPr>
        <w:spacing w:after="0" w:line="125"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 xml:space="preserve">On February 24, 2016, GasLog’s subsidiary, GAS-twenty six Ltd., completed the sale and leaseback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with a subsidiary of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IFRS.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47"/>
        </w:trPr>
        <w:tc>
          <w:tcPr>
            <w:tcW w:w="8940" w:type="dxa"/>
            <w:vAlign w:val="bottom"/>
            <w:gridSpan w:val="2"/>
          </w:tcPr>
          <w:p>
            <w:pPr>
              <w:ind w:left="360"/>
              <w:spacing w:after="0"/>
              <w:rPr>
                <w:sz w:val="20"/>
                <w:szCs w:val="20"/>
                <w:color w:val="auto"/>
              </w:rPr>
            </w:pPr>
            <w:r>
              <w:rPr>
                <w:rFonts w:ascii="Arial" w:cs="Arial" w:eastAsia="Arial" w:hAnsi="Arial"/>
                <w:sz w:val="19"/>
                <w:szCs w:val="19"/>
                <w:color w:val="auto"/>
              </w:rPr>
              <w:t>The movements in finance lease liabilities are reported in the following table: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As of January 1, 2016</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Addition</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217,000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Finance lease charge (Note 18)</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9,367</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Payments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(5,966)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As of December 31, 2016</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220,401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Finance lease liability, current portion</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5,946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non-current portion</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214,455</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220,401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360"/>
              <w:spacing w:after="0"/>
              <w:rPr>
                <w:sz w:val="20"/>
                <w:szCs w:val="20"/>
                <w:color w:val="auto"/>
              </w:rPr>
            </w:pPr>
            <w:r>
              <w:rPr>
                <w:rFonts w:ascii="Arial" w:cs="Arial" w:eastAsia="Arial" w:hAnsi="Arial"/>
                <w:sz w:val="19"/>
                <w:szCs w:val="19"/>
                <w:color w:val="auto"/>
              </w:rPr>
              <w:t>Commitments in relation to finance leases are payable as follows: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56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1140" w:type="dxa"/>
            <w:vAlign w:val="bottom"/>
            <w:gridSpan w:val="3"/>
            <w:shd w:val="clear" w:color="auto" w:fill="E5FFFF"/>
          </w:tcPr>
          <w:p>
            <w:pPr>
              <w:jc w:val="right"/>
              <w:ind w:right="89"/>
              <w:spacing w:after="0"/>
              <w:rPr>
                <w:sz w:val="20"/>
                <w:szCs w:val="20"/>
                <w:color w:val="auto"/>
              </w:rPr>
            </w:pPr>
            <w:r>
              <w:rPr>
                <w:rFonts w:ascii="Arial" w:cs="Arial" w:eastAsia="Arial" w:hAnsi="Arial"/>
                <w:sz w:val="19"/>
                <w:szCs w:val="19"/>
                <w:color w:val="auto"/>
              </w:rPr>
              <w:t>17,849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3"/>
          </w:tcPr>
          <w:p>
            <w:pPr>
              <w:jc w:val="right"/>
              <w:ind w:right="89"/>
              <w:spacing w:after="0"/>
              <w:rPr>
                <w:sz w:val="20"/>
                <w:szCs w:val="20"/>
                <w:color w:val="auto"/>
              </w:rPr>
            </w:pPr>
            <w:r>
              <w:rPr>
                <w:rFonts w:ascii="Arial" w:cs="Arial" w:eastAsia="Arial" w:hAnsi="Arial"/>
                <w:sz w:val="19"/>
                <w:szCs w:val="19"/>
                <w:color w:val="auto"/>
              </w:rPr>
              <w:t>35,697</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Later than three years and not later than five years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40" w:type="dxa"/>
            <w:vAlign w:val="bottom"/>
            <w:gridSpan w:val="3"/>
            <w:shd w:val="clear" w:color="auto" w:fill="E5FFFF"/>
          </w:tcPr>
          <w:p>
            <w:pPr>
              <w:jc w:val="right"/>
              <w:ind w:right="89"/>
              <w:spacing w:after="0"/>
              <w:rPr>
                <w:sz w:val="20"/>
                <w:szCs w:val="20"/>
                <w:color w:val="auto"/>
              </w:rPr>
            </w:pPr>
            <w:r>
              <w:rPr>
                <w:rFonts w:ascii="Arial" w:cs="Arial" w:eastAsia="Arial" w:hAnsi="Arial"/>
                <w:sz w:val="19"/>
                <w:szCs w:val="19"/>
                <w:color w:val="auto"/>
              </w:rPr>
              <w:t>35,746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More than five years</w:t>
            </w:r>
          </w:p>
        </w:tc>
        <w:tc>
          <w:tcPr>
            <w:tcW w:w="1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9"/>
                <w:szCs w:val="19"/>
                <w:color w:val="auto"/>
              </w:rPr>
              <w:t>253,240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Minimum lease payments</w:t>
            </w:r>
          </w:p>
        </w:tc>
        <w:tc>
          <w:tcPr>
            <w:tcW w:w="16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1140" w:type="dxa"/>
            <w:vAlign w:val="bottom"/>
            <w:tcBorders>
              <w:bottom w:val="single" w:sz="8" w:color="auto"/>
            </w:tcBorders>
            <w:gridSpan w:val="3"/>
            <w:shd w:val="clear" w:color="auto" w:fill="E5FFFF"/>
          </w:tcPr>
          <w:p>
            <w:pPr>
              <w:jc w:val="right"/>
              <w:ind w:right="89"/>
              <w:spacing w:after="0"/>
              <w:rPr>
                <w:sz w:val="20"/>
                <w:szCs w:val="20"/>
                <w:color w:val="auto"/>
              </w:rPr>
            </w:pPr>
            <w:r>
              <w:rPr>
                <w:rFonts w:ascii="Arial" w:cs="Arial" w:eastAsia="Arial" w:hAnsi="Arial"/>
                <w:sz w:val="19"/>
                <w:szCs w:val="19"/>
                <w:b w:val="1"/>
                <w:bCs w:val="1"/>
                <w:color w:val="auto"/>
              </w:rPr>
              <w:t>342,532</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Future finance charges</w:t>
            </w:r>
          </w:p>
        </w:tc>
        <w:tc>
          <w:tcPr>
            <w:tcW w:w="1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9"/>
                <w:szCs w:val="19"/>
                <w:color w:val="auto"/>
              </w:rPr>
              <w:t>(122,131)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lease liabilities</w:t>
            </w:r>
          </w:p>
        </w:tc>
        <w:tc>
          <w:tcPr>
            <w:tcW w:w="16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1140" w:type="dxa"/>
            <w:vAlign w:val="bottom"/>
            <w:tcBorders>
              <w:bottom w:val="single" w:sz="8" w:color="auto"/>
            </w:tcBorders>
            <w:gridSpan w:val="3"/>
            <w:shd w:val="clear" w:color="auto" w:fill="E5FFFF"/>
          </w:tcPr>
          <w:p>
            <w:pPr>
              <w:jc w:val="right"/>
              <w:ind w:right="89"/>
              <w:spacing w:after="0"/>
              <w:rPr>
                <w:sz w:val="20"/>
                <w:szCs w:val="20"/>
                <w:color w:val="auto"/>
              </w:rPr>
            </w:pPr>
            <w:r>
              <w:rPr>
                <w:rFonts w:ascii="Arial" w:cs="Arial" w:eastAsia="Arial" w:hAnsi="Arial"/>
                <w:sz w:val="19"/>
                <w:szCs w:val="19"/>
                <w:b w:val="1"/>
                <w:bCs w:val="1"/>
                <w:color w:val="auto"/>
              </w:rPr>
              <w:t>220,401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360"/>
              <w:spacing w:after="0"/>
              <w:rPr>
                <w:sz w:val="20"/>
                <w:szCs w:val="20"/>
                <w:color w:val="auto"/>
              </w:rPr>
            </w:pPr>
            <w:r>
              <w:rPr>
                <w:rFonts w:ascii="Arial" w:cs="Arial" w:eastAsia="Arial" w:hAnsi="Arial"/>
                <w:sz w:val="19"/>
                <w:szCs w:val="19"/>
                <w:color w:val="auto"/>
              </w:rPr>
              <w:t>The present value of finance lease liabilities is as follows:</w:t>
            </w: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56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1140" w:type="dxa"/>
            <w:vAlign w:val="bottom"/>
            <w:gridSpan w:val="3"/>
            <w:shd w:val="clear" w:color="auto" w:fill="E5FFFF"/>
          </w:tcPr>
          <w:p>
            <w:pPr>
              <w:jc w:val="right"/>
              <w:ind w:right="69"/>
              <w:spacing w:after="0"/>
              <w:rPr>
                <w:sz w:val="20"/>
                <w:szCs w:val="20"/>
                <w:color w:val="auto"/>
              </w:rPr>
            </w:pPr>
            <w:r>
              <w:rPr>
                <w:rFonts w:ascii="Arial" w:cs="Arial" w:eastAsia="Arial" w:hAnsi="Arial"/>
                <w:sz w:val="19"/>
                <w:szCs w:val="19"/>
                <w:color w:val="auto"/>
              </w:rPr>
              <w:t>5,946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3"/>
          </w:tcPr>
          <w:p>
            <w:pPr>
              <w:jc w:val="right"/>
              <w:ind w:right="69"/>
              <w:spacing w:after="0"/>
              <w:rPr>
                <w:sz w:val="20"/>
                <w:szCs w:val="20"/>
                <w:color w:val="auto"/>
              </w:rPr>
            </w:pPr>
            <w:r>
              <w:rPr>
                <w:rFonts w:ascii="Arial" w:cs="Arial" w:eastAsia="Arial" w:hAnsi="Arial"/>
                <w:sz w:val="19"/>
                <w:szCs w:val="19"/>
                <w:color w:val="auto"/>
              </w:rPr>
              <w:t>15,031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Later than three years and not later than five years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40" w:type="dxa"/>
            <w:vAlign w:val="bottom"/>
            <w:gridSpan w:val="3"/>
            <w:shd w:val="clear" w:color="auto" w:fill="E5FFFF"/>
          </w:tcPr>
          <w:p>
            <w:pPr>
              <w:jc w:val="right"/>
              <w:ind w:right="69"/>
              <w:spacing w:after="0"/>
              <w:rPr>
                <w:sz w:val="20"/>
                <w:szCs w:val="20"/>
                <w:color w:val="auto"/>
              </w:rPr>
            </w:pPr>
            <w:r>
              <w:rPr>
                <w:rFonts w:ascii="Arial" w:cs="Arial" w:eastAsia="Arial" w:hAnsi="Arial"/>
                <w:sz w:val="19"/>
                <w:szCs w:val="19"/>
                <w:color w:val="auto"/>
              </w:rPr>
              <w:t>16,626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More than five years</w:t>
            </w:r>
          </w:p>
        </w:tc>
        <w:tc>
          <w:tcPr>
            <w:tcW w:w="1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9"/>
                <w:szCs w:val="19"/>
                <w:color w:val="auto"/>
              </w:rPr>
              <w:t>182,798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lease liabilities</w:t>
            </w:r>
          </w:p>
        </w:tc>
        <w:tc>
          <w:tcPr>
            <w:tcW w:w="16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1140" w:type="dxa"/>
            <w:vAlign w:val="bottom"/>
            <w:tcBorders>
              <w:bottom w:val="single" w:sz="8" w:color="auto"/>
            </w:tcBorders>
            <w:gridSpan w:val="3"/>
            <w:shd w:val="clear" w:color="auto" w:fill="E5FFFF"/>
          </w:tcPr>
          <w:p>
            <w:pPr>
              <w:jc w:val="right"/>
              <w:ind w:right="69"/>
              <w:spacing w:after="0"/>
              <w:rPr>
                <w:sz w:val="20"/>
                <w:szCs w:val="20"/>
                <w:color w:val="auto"/>
              </w:rPr>
            </w:pPr>
            <w:r>
              <w:rPr>
                <w:rFonts w:ascii="Arial" w:cs="Arial" w:eastAsia="Arial" w:hAnsi="Arial"/>
                <w:sz w:val="19"/>
                <w:szCs w:val="19"/>
                <w:b w:val="1"/>
                <w:bCs w:val="1"/>
                <w:color w:val="auto"/>
              </w:rPr>
              <w:t>220,401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8. Cash and Cash Equivalents and Restricted Cash</w:t>
            </w: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8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9"/>
                <w:szCs w:val="19"/>
                <w:color w:val="auto"/>
              </w:rPr>
              <w:t>Cash and cash equivalents consist of the following:</w:t>
            </w:r>
          </w:p>
        </w:tc>
        <w:tc>
          <w:tcPr>
            <w:tcW w:w="160" w:type="dxa"/>
            <w:vAlign w:val="bottom"/>
          </w:tcPr>
          <w:p>
            <w:pPr>
              <w:spacing w:after="0"/>
              <w:rPr>
                <w:sz w:val="24"/>
                <w:szCs w:val="24"/>
                <w:color w:val="auto"/>
              </w:rPr>
            </w:pPr>
          </w:p>
        </w:tc>
        <w:tc>
          <w:tcPr>
            <w:tcW w:w="1800" w:type="dxa"/>
            <w:vAlign w:val="bottom"/>
            <w:gridSpan w:val="4"/>
            <w:vMerge w:val="restart"/>
          </w:tcPr>
          <w:p>
            <w:pPr>
              <w:jc w:val="right"/>
              <w:ind w:right="229"/>
              <w:spacing w:after="0"/>
              <w:rPr>
                <w:sz w:val="20"/>
                <w:szCs w:val="20"/>
                <w:color w:val="auto"/>
              </w:rPr>
            </w:pPr>
            <w:r>
              <w:rPr>
                <w:rFonts w:ascii="Arial" w:cs="Arial" w:eastAsia="Arial" w:hAnsi="Arial"/>
                <w:sz w:val="16"/>
                <w:szCs w:val="16"/>
                <w:b w:val="1"/>
                <w:bCs w:val="1"/>
                <w:color w:val="auto"/>
                <w:w w:val="98"/>
              </w:rPr>
              <w:t>As of December 31,</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61"/>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gridSpan w:val="2"/>
          </w:tcPr>
          <w:p>
            <w:pPr>
              <w:spacing w:after="0"/>
              <w:rPr>
                <w:sz w:val="14"/>
                <w:szCs w:val="14"/>
                <w:color w:val="auto"/>
              </w:rPr>
            </w:pPr>
          </w:p>
        </w:tc>
        <w:tc>
          <w:tcPr>
            <w:tcW w:w="84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Current accounts</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135,613</w:t>
            </w:r>
          </w:p>
        </w:tc>
        <w:tc>
          <w:tcPr>
            <w:tcW w:w="11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167,932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color w:val="auto"/>
              </w:rPr>
              <w:t>Time deposits (with original maturities of three months or less)</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163,851</w:t>
            </w:r>
          </w:p>
        </w:tc>
        <w:tc>
          <w:tcPr>
            <w:tcW w:w="1140" w:type="dxa"/>
            <w:vAlign w:val="bottom"/>
            <w:gridSpan w:val="3"/>
          </w:tcPr>
          <w:p>
            <w:pPr>
              <w:jc w:val="right"/>
              <w:spacing w:after="0"/>
              <w:rPr>
                <w:sz w:val="20"/>
                <w:szCs w:val="20"/>
                <w:color w:val="auto"/>
              </w:rPr>
            </w:pPr>
            <w:r>
              <w:rPr>
                <w:rFonts w:ascii="Arial" w:cs="Arial" w:eastAsia="Arial" w:hAnsi="Arial"/>
                <w:sz w:val="19"/>
                <w:szCs w:val="19"/>
                <w:color w:val="auto"/>
              </w:rPr>
              <w:t>58,251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440" w:type="dxa"/>
            <w:vAlign w:val="bottom"/>
            <w:shd w:val="clear" w:color="auto" w:fill="E5FFFF"/>
          </w:tcPr>
          <w:p>
            <w:pPr>
              <w:spacing w:after="0"/>
              <w:rPr>
                <w:sz w:val="20"/>
                <w:szCs w:val="20"/>
                <w:color w:val="auto"/>
              </w:rPr>
            </w:pPr>
            <w:r>
              <w:rPr>
                <w:rFonts w:ascii="Arial" w:cs="Arial" w:eastAsia="Arial" w:hAnsi="Arial"/>
                <w:sz w:val="19"/>
                <w:szCs w:val="19"/>
                <w:color w:val="auto"/>
              </w:rPr>
              <w:t>Ship management client accounts</w:t>
            </w:r>
          </w:p>
        </w:tc>
        <w:tc>
          <w:tcPr>
            <w:tcW w:w="8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3,524</w:t>
            </w:r>
          </w:p>
        </w:tc>
        <w:tc>
          <w:tcPr>
            <w:tcW w:w="300" w:type="dxa"/>
            <w:vAlign w:val="bottom"/>
            <w:gridSpan w:val="2"/>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841</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302,988</w:t>
            </w:r>
          </w:p>
        </w:tc>
        <w:tc>
          <w:tcPr>
            <w:tcW w:w="1140" w:type="dxa"/>
            <w:vAlign w:val="bottom"/>
            <w:gridSpan w:val="3"/>
          </w:tcPr>
          <w:p>
            <w:pPr>
              <w:jc w:val="right"/>
              <w:spacing w:after="0"/>
              <w:rPr>
                <w:sz w:val="20"/>
                <w:szCs w:val="20"/>
                <w:color w:val="auto"/>
              </w:rPr>
            </w:pPr>
            <w:r>
              <w:rPr>
                <w:rFonts w:ascii="Arial" w:cs="Arial" w:eastAsia="Arial" w:hAnsi="Arial"/>
                <w:sz w:val="19"/>
                <w:szCs w:val="19"/>
                <w:b w:val="1"/>
                <w:bCs w:val="1"/>
                <w:color w:val="auto"/>
              </w:rPr>
              <w:t>227,024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52"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Included in Current accounts there was an amount of $4,056 held in retention accounts as of December 31, 2015, with respect to the next installments and interest due for the loan facilities of GAS-two Ltd., GAS-nine Ltd and GAS-ten Ltd.</w:t>
      </w:r>
    </w:p>
    <w:p>
      <w:pPr>
        <w:spacing w:after="0" w:line="52"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78" w:right="579" w:bottom="1440" w:gutter="0" w:footer="0" w:header="0"/>
        </w:sectPr>
      </w:pPr>
    </w:p>
    <w:bookmarkStart w:id="163" w:name="page164"/>
    <w:bookmarkEnd w:id="163"/>
    <w:p>
      <w:pPr>
        <w:ind w:firstLine="357"/>
        <w:spacing w:after="0" w:line="267" w:lineRule="auto"/>
        <w:rPr>
          <w:sz w:val="20"/>
          <w:szCs w:val="20"/>
          <w:color w:val="auto"/>
        </w:rPr>
      </w:pPr>
      <w:r>
        <w:rPr>
          <w:rFonts w:ascii="Arial" w:cs="Arial" w:eastAsia="Arial" w:hAnsi="Arial"/>
          <w:sz w:val="19"/>
          <w:szCs w:val="19"/>
          <w:color w:val="auto"/>
        </w:rPr>
        <w:t>As of December 31, 2016, an amount of $42 was classified as restricted cash comprising cash held in a restricted account as guarantee. As of December 31, 2015, an amount of $62,718 was classified as restricted cash comprising of cash held in blocked accounts in order to comply with the covenants under three of the Group’s credit facilities (Note 13).</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Trade and Other Receivables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the trade and other receivables is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70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w w:val="99"/>
              </w:rPr>
              <w:t>As of December 31,</w:t>
            </w:r>
          </w:p>
        </w:tc>
      </w:tr>
      <w:tr>
        <w:trPr>
          <w:trHeight w:val="169"/>
        </w:trPr>
        <w:tc>
          <w:tcPr>
            <w:tcW w:w="870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700" w:type="dxa"/>
            <w:vAlign w:val="bottom"/>
            <w:shd w:val="clear" w:color="auto" w:fill="E5FFFF"/>
          </w:tcPr>
          <w:p>
            <w:pPr>
              <w:spacing w:after="0"/>
              <w:rPr>
                <w:sz w:val="20"/>
                <w:szCs w:val="20"/>
                <w:color w:val="auto"/>
              </w:rPr>
            </w:pPr>
            <w:r>
              <w:rPr>
                <w:rFonts w:ascii="Arial" w:cs="Arial" w:eastAsia="Arial" w:hAnsi="Arial"/>
                <w:sz w:val="19"/>
                <w:szCs w:val="19"/>
                <w:color w:val="auto"/>
              </w:rPr>
              <w:t>Trade receivables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4,246</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2,265</w:t>
            </w:r>
          </w:p>
        </w:tc>
      </w:tr>
      <w:tr>
        <w:trPr>
          <w:trHeight w:val="243"/>
        </w:trPr>
        <w:tc>
          <w:tcPr>
            <w:tcW w:w="8700" w:type="dxa"/>
            <w:vAlign w:val="bottom"/>
          </w:tcPr>
          <w:p>
            <w:pPr>
              <w:spacing w:after="0"/>
              <w:rPr>
                <w:sz w:val="20"/>
                <w:szCs w:val="20"/>
                <w:color w:val="auto"/>
              </w:rPr>
            </w:pPr>
            <w:r>
              <w:rPr>
                <w:rFonts w:ascii="Arial" w:cs="Arial" w:eastAsia="Arial" w:hAnsi="Arial"/>
                <w:sz w:val="19"/>
                <w:szCs w:val="19"/>
                <w:color w:val="auto"/>
              </w:rPr>
              <w:t>VAT receivable</w:t>
            </w:r>
          </w:p>
        </w:tc>
        <w:tc>
          <w:tcPr>
            <w:tcW w:w="740" w:type="dxa"/>
            <w:vAlign w:val="bottom"/>
          </w:tcPr>
          <w:p>
            <w:pPr>
              <w:jc w:val="right"/>
              <w:spacing w:after="0"/>
              <w:rPr>
                <w:sz w:val="20"/>
                <w:szCs w:val="20"/>
                <w:color w:val="auto"/>
              </w:rPr>
            </w:pPr>
            <w:r>
              <w:rPr>
                <w:rFonts w:ascii="Arial" w:cs="Arial" w:eastAsia="Arial" w:hAnsi="Arial"/>
                <w:sz w:val="19"/>
                <w:szCs w:val="19"/>
                <w:color w:val="auto"/>
              </w:rPr>
              <w:t>1,113</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1,305</w:t>
            </w:r>
          </w:p>
        </w:tc>
      </w:tr>
      <w:tr>
        <w:trPr>
          <w:trHeight w:val="243"/>
        </w:trPr>
        <w:tc>
          <w:tcPr>
            <w:tcW w:w="8700" w:type="dxa"/>
            <w:vAlign w:val="bottom"/>
            <w:shd w:val="clear" w:color="auto" w:fill="E5FFFF"/>
          </w:tcPr>
          <w:p>
            <w:pPr>
              <w:spacing w:after="0"/>
              <w:rPr>
                <w:sz w:val="20"/>
                <w:szCs w:val="20"/>
                <w:color w:val="auto"/>
              </w:rPr>
            </w:pPr>
            <w:r>
              <w:rPr>
                <w:rFonts w:ascii="Arial" w:cs="Arial" w:eastAsia="Arial" w:hAnsi="Arial"/>
                <w:sz w:val="19"/>
                <w:szCs w:val="19"/>
                <w:color w:val="auto"/>
              </w:rPr>
              <w:t>Accrued income</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4,405</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2,253</w:t>
            </w:r>
          </w:p>
        </w:tc>
      </w:tr>
      <w:tr>
        <w:trPr>
          <w:trHeight w:val="243"/>
        </w:trPr>
        <w:tc>
          <w:tcPr>
            <w:tcW w:w="8700" w:type="dxa"/>
            <w:vAlign w:val="bottom"/>
          </w:tcPr>
          <w:p>
            <w:pPr>
              <w:spacing w:after="0"/>
              <w:rPr>
                <w:sz w:val="20"/>
                <w:szCs w:val="20"/>
                <w:color w:val="auto"/>
              </w:rPr>
            </w:pPr>
            <w:r>
              <w:rPr>
                <w:rFonts w:ascii="Arial" w:cs="Arial" w:eastAsia="Arial" w:hAnsi="Arial"/>
                <w:sz w:val="19"/>
                <w:szCs w:val="19"/>
                <w:color w:val="auto"/>
              </w:rPr>
              <w:t>Insurance claims</w:t>
            </w:r>
          </w:p>
        </w:tc>
        <w:tc>
          <w:tcPr>
            <w:tcW w:w="740" w:type="dxa"/>
            <w:vAlign w:val="bottom"/>
          </w:tcPr>
          <w:p>
            <w:pPr>
              <w:jc w:val="right"/>
              <w:spacing w:after="0"/>
              <w:rPr>
                <w:sz w:val="20"/>
                <w:szCs w:val="20"/>
                <w:color w:val="auto"/>
              </w:rPr>
            </w:pPr>
            <w:r>
              <w:rPr>
                <w:rFonts w:ascii="Arial" w:cs="Arial" w:eastAsia="Arial" w:hAnsi="Arial"/>
                <w:sz w:val="19"/>
                <w:szCs w:val="19"/>
                <w:color w:val="auto"/>
              </w:rPr>
              <w:t>3,155</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550</w:t>
            </w:r>
          </w:p>
        </w:tc>
      </w:tr>
      <w:tr>
        <w:trPr>
          <w:trHeight w:val="243"/>
        </w:trPr>
        <w:tc>
          <w:tcPr>
            <w:tcW w:w="8700" w:type="dxa"/>
            <w:vAlign w:val="bottom"/>
            <w:shd w:val="clear" w:color="auto" w:fill="E5FFFF"/>
          </w:tcPr>
          <w:p>
            <w:pPr>
              <w:spacing w:after="0"/>
              <w:rPr>
                <w:sz w:val="20"/>
                <w:szCs w:val="20"/>
                <w:color w:val="auto"/>
              </w:rPr>
            </w:pPr>
            <w:r>
              <w:rPr>
                <w:rFonts w:ascii="Arial" w:cs="Arial" w:eastAsia="Arial" w:hAnsi="Arial"/>
                <w:sz w:val="19"/>
                <w:szCs w:val="19"/>
                <w:color w:val="auto"/>
              </w:rPr>
              <w:t>Other receivables</w:t>
            </w: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3,160</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2,883</w:t>
            </w:r>
          </w:p>
        </w:tc>
      </w:tr>
      <w:tr>
        <w:trPr>
          <w:trHeight w:val="250"/>
        </w:trPr>
        <w:tc>
          <w:tcPr>
            <w:tcW w:w="870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16,079</w:t>
            </w:r>
          </w:p>
        </w:tc>
        <w:tc>
          <w:tcPr>
            <w:tcW w:w="960" w:type="dxa"/>
            <w:vAlign w:val="bottom"/>
            <w:gridSpan w:val="2"/>
          </w:tcPr>
          <w:p>
            <w:pPr>
              <w:jc w:val="right"/>
              <w:spacing w:after="0"/>
              <w:rPr>
                <w:sz w:val="20"/>
                <w:szCs w:val="20"/>
                <w:color w:val="auto"/>
              </w:rPr>
            </w:pPr>
            <w:r>
              <w:rPr>
                <w:rFonts w:ascii="Arial" w:cs="Arial" w:eastAsia="Arial" w:hAnsi="Arial"/>
                <w:sz w:val="19"/>
                <w:szCs w:val="19"/>
                <w:b w:val="1"/>
                <w:bCs w:val="1"/>
                <w:color w:val="auto"/>
              </w:rPr>
              <w:t>9,256</w:t>
            </w:r>
          </w:p>
        </w:tc>
      </w:tr>
      <w:tr>
        <w:trPr>
          <w:trHeight w:val="20"/>
        </w:trPr>
        <w:tc>
          <w:tcPr>
            <w:tcW w:w="8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2015 and 2016, no material receivable balances were past due or impaired, and therefore no allowance was necessary.</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Other Non-Current Assets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other non-current assets is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70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6"/>
                <w:szCs w:val="16"/>
                <w:b w:val="1"/>
                <w:bCs w:val="1"/>
                <w:color w:val="auto"/>
                <w:w w:val="99"/>
              </w:rPr>
              <w:t>As of December 31,</w:t>
            </w:r>
          </w:p>
        </w:tc>
      </w:tr>
      <w:tr>
        <w:trPr>
          <w:trHeight w:val="169"/>
        </w:trPr>
        <w:tc>
          <w:tcPr>
            <w:tcW w:w="870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69"/>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700" w:type="dxa"/>
            <w:vAlign w:val="bottom"/>
            <w:shd w:val="clear" w:color="auto" w:fill="E5FFFF"/>
          </w:tcPr>
          <w:p>
            <w:pPr>
              <w:spacing w:after="0"/>
              <w:rPr>
                <w:sz w:val="20"/>
                <w:szCs w:val="20"/>
                <w:color w:val="auto"/>
              </w:rPr>
            </w:pPr>
            <w:r>
              <w:rPr>
                <w:rFonts w:ascii="Arial" w:cs="Arial" w:eastAsia="Arial" w:hAnsi="Arial"/>
                <w:sz w:val="19"/>
                <w:szCs w:val="19"/>
                <w:color w:val="auto"/>
              </w:rPr>
              <w:t>Accrued revenue from straight-line revenue</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1,886</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928</w:t>
            </w:r>
          </w:p>
        </w:tc>
      </w:tr>
      <w:tr>
        <w:trPr>
          <w:trHeight w:val="243"/>
        </w:trPr>
        <w:tc>
          <w:tcPr>
            <w:tcW w:w="8700" w:type="dxa"/>
            <w:vAlign w:val="bottom"/>
          </w:tcPr>
          <w:p>
            <w:pPr>
              <w:spacing w:after="0"/>
              <w:rPr>
                <w:sz w:val="20"/>
                <w:szCs w:val="20"/>
                <w:color w:val="auto"/>
              </w:rPr>
            </w:pPr>
            <w:r>
              <w:rPr>
                <w:rFonts w:ascii="Arial" w:cs="Arial" w:eastAsia="Arial" w:hAnsi="Arial"/>
                <w:sz w:val="19"/>
                <w:szCs w:val="19"/>
                <w:color w:val="auto"/>
              </w:rPr>
              <w:t>Cash collaterals on swaps</w:t>
            </w:r>
          </w:p>
        </w:tc>
        <w:tc>
          <w:tcPr>
            <w:tcW w:w="740" w:type="dxa"/>
            <w:vAlign w:val="bottom"/>
          </w:tcPr>
          <w:p>
            <w:pPr>
              <w:jc w:val="right"/>
              <w:spacing w:after="0"/>
              <w:rPr>
                <w:sz w:val="20"/>
                <w:szCs w:val="20"/>
                <w:color w:val="auto"/>
              </w:rPr>
            </w:pPr>
            <w:r>
              <w:rPr>
                <w:rFonts w:ascii="Arial" w:cs="Arial" w:eastAsia="Arial" w:hAnsi="Arial"/>
                <w:sz w:val="19"/>
                <w:szCs w:val="19"/>
                <w:color w:val="auto"/>
              </w:rPr>
              <w:t>26,343</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43"/>
        </w:trPr>
        <w:tc>
          <w:tcPr>
            <w:tcW w:w="8700" w:type="dxa"/>
            <w:vAlign w:val="bottom"/>
            <w:shd w:val="clear" w:color="auto" w:fill="E5FFFF"/>
          </w:tcPr>
          <w:p>
            <w:pPr>
              <w:spacing w:after="0"/>
              <w:rPr>
                <w:sz w:val="20"/>
                <w:szCs w:val="20"/>
                <w:color w:val="auto"/>
              </w:rPr>
            </w:pPr>
            <w:r>
              <w:rPr>
                <w:rFonts w:ascii="Arial" w:cs="Arial" w:eastAsia="Arial" w:hAnsi="Arial"/>
                <w:sz w:val="19"/>
                <w:szCs w:val="19"/>
                <w:color w:val="auto"/>
              </w:rPr>
              <w:t>Various guarantees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412</w:t>
            </w:r>
          </w:p>
        </w:tc>
      </w:tr>
      <w:tr>
        <w:trPr>
          <w:trHeight w:val="250"/>
        </w:trPr>
        <w:tc>
          <w:tcPr>
            <w:tcW w:w="8700" w:type="dxa"/>
            <w:vAlign w:val="bottom"/>
          </w:tcPr>
          <w:p>
            <w:pPr>
              <w:spacing w:after="0"/>
              <w:rPr>
                <w:sz w:val="20"/>
                <w:szCs w:val="20"/>
                <w:color w:val="auto"/>
              </w:rPr>
            </w:pPr>
            <w:r>
              <w:rPr>
                <w:rFonts w:ascii="Arial" w:cs="Arial" w:eastAsia="Arial" w:hAnsi="Arial"/>
                <w:sz w:val="19"/>
                <w:szCs w:val="19"/>
                <w:color w:val="auto"/>
              </w:rPr>
              <w:t>Other long-term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484</w:t>
            </w:r>
          </w:p>
        </w:tc>
      </w:tr>
      <w:tr>
        <w:trPr>
          <w:trHeight w:val="243"/>
        </w:trPr>
        <w:tc>
          <w:tcPr>
            <w:tcW w:w="87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28,957</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1,824</w:t>
            </w:r>
          </w:p>
        </w:tc>
      </w:tr>
      <w:tr>
        <w:trPr>
          <w:trHeight w:val="20"/>
        </w:trPr>
        <w:tc>
          <w:tcPr>
            <w:tcW w:w="8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Cash collaterals on swaps represent cash deposited for the Group’s interest rate swaps and cross currency swaps (“CCSs”) being the difference between their fair value and an agreed threshold.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Share Capital</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GasLog’s authorized share capital consists of 500,000,000 shares with a par value $0.01 per share.</w:t>
      </w:r>
    </w:p>
    <w:p>
      <w:pPr>
        <w:spacing w:after="0" w:line="119"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As of December 31, 2016, the share capital consisted of 80,561,353 issued and outstanding common shares, par value $0.01 per share, 431,773 treasury shares issued and held by GasLog and 4,600,000 Preference Shares issued and outstanding (December 31, 2015: 80,496,499 issued and outstanding common shares, par value $0.01 per share, 496,627 treasury shares issued and held by GasLog and 4,600,000 Preference Shares issued and outstanding). The movements in the number of</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78"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shares, the share capital, the Preference Shares, the contributed surplus and the treasury shares are reported in the following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Number of Shares</w:t>
            </w: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6"/>
                <w:szCs w:val="16"/>
                <w:b w:val="1"/>
                <w:bCs w:val="1"/>
                <w:color w:val="auto"/>
                <w:w w:val="89"/>
              </w:rPr>
              <w:t>Amounts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45"/>
        </w:trPr>
        <w:tc>
          <w:tcPr>
            <w:tcW w:w="35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2"/>
              </w:rPr>
              <w:t>Number of</w:t>
            </w:r>
          </w:p>
        </w:tc>
        <w:tc>
          <w:tcPr>
            <w:tcW w:w="280" w:type="dxa"/>
            <w:vAlign w:val="bottom"/>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6"/>
                <w:szCs w:val="16"/>
                <w:b w:val="1"/>
                <w:bCs w:val="1"/>
                <w:color w:val="auto"/>
                <w:w w:val="92"/>
              </w:rPr>
              <w:t>Number of</w:t>
            </w:r>
          </w:p>
        </w:tc>
        <w:tc>
          <w:tcPr>
            <w:tcW w:w="96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89"/>
              </w:rPr>
              <w:t>Number of</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6"/>
        </w:trPr>
        <w:tc>
          <w:tcPr>
            <w:tcW w:w="35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common</w:t>
            </w:r>
          </w:p>
        </w:tc>
        <w:tc>
          <w:tcPr>
            <w:tcW w:w="280" w:type="dxa"/>
            <w:vAlign w:val="bottom"/>
          </w:tcPr>
          <w:p>
            <w:pPr>
              <w:spacing w:after="0"/>
              <w:rPr>
                <w:sz w:val="15"/>
                <w:szCs w:val="15"/>
                <w:color w:val="auto"/>
              </w:rPr>
            </w:pPr>
          </w:p>
        </w:tc>
        <w:tc>
          <w:tcPr>
            <w:tcW w:w="122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treasury</w:t>
            </w: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Preference</w:t>
            </w:r>
          </w:p>
        </w:tc>
        <w:tc>
          <w:tcPr>
            <w:tcW w:w="280" w:type="dxa"/>
            <w:vAlign w:val="bottom"/>
          </w:tcPr>
          <w:p>
            <w:pPr>
              <w:spacing w:after="0"/>
              <w:rPr>
                <w:sz w:val="15"/>
                <w:szCs w:val="15"/>
                <w:color w:val="auto"/>
              </w:rPr>
            </w:pPr>
          </w:p>
        </w:tc>
        <w:tc>
          <w:tcPr>
            <w:tcW w:w="580" w:type="dxa"/>
            <w:vAlign w:val="bottom"/>
          </w:tcPr>
          <w:p>
            <w:pPr>
              <w:jc w:val="right"/>
              <w:ind w:right="13"/>
              <w:spacing w:after="0" w:line="176" w:lineRule="exact"/>
              <w:rPr>
                <w:sz w:val="20"/>
                <w:szCs w:val="20"/>
                <w:color w:val="auto"/>
              </w:rPr>
            </w:pPr>
            <w:r>
              <w:rPr>
                <w:rFonts w:ascii="Arial" w:cs="Arial" w:eastAsia="Arial" w:hAnsi="Arial"/>
                <w:sz w:val="16"/>
                <w:szCs w:val="16"/>
                <w:b w:val="1"/>
                <w:bCs w:val="1"/>
                <w:color w:val="auto"/>
              </w:rPr>
              <w:t>Share</w:t>
            </w:r>
          </w:p>
        </w:tc>
        <w:tc>
          <w:tcPr>
            <w:tcW w:w="3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6"/>
              </w:rPr>
              <w:t>Preference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4"/>
              <w:spacing w:after="0" w:line="176" w:lineRule="exact"/>
              <w:rPr>
                <w:sz w:val="20"/>
                <w:szCs w:val="20"/>
                <w:color w:val="auto"/>
              </w:rPr>
            </w:pPr>
            <w:r>
              <w:rPr>
                <w:rFonts w:ascii="Arial" w:cs="Arial" w:eastAsia="Arial" w:hAnsi="Arial"/>
                <w:sz w:val="16"/>
                <w:szCs w:val="16"/>
                <w:b w:val="1"/>
                <w:bCs w:val="1"/>
                <w:color w:val="auto"/>
              </w:rPr>
              <w:t>Contributed</w:t>
            </w:r>
          </w:p>
        </w:tc>
        <w:tc>
          <w:tcPr>
            <w:tcW w:w="3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4"/>
              </w:rPr>
              <w:t>Treasury</w:t>
            </w:r>
          </w:p>
        </w:tc>
      </w:tr>
      <w:tr>
        <w:trPr>
          <w:trHeight w:val="199"/>
        </w:trPr>
        <w:tc>
          <w:tcPr>
            <w:tcW w:w="354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shares</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shares</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Shares</w:t>
            </w:r>
          </w:p>
        </w:tc>
        <w:tc>
          <w:tcPr>
            <w:tcW w:w="28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capital</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surplus</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shares</w:t>
            </w:r>
          </w:p>
        </w:tc>
      </w:tr>
      <w:tr>
        <w:trPr>
          <w:trHeight w:val="237"/>
        </w:trPr>
        <w:tc>
          <w:tcPr>
            <w:tcW w:w="3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Outstanding as of January 1, 2014</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99"/>
              </w:rPr>
              <w:t>62,863,166</w:t>
            </w:r>
          </w:p>
        </w:tc>
        <w:tc>
          <w:tcPr>
            <w:tcW w:w="280" w:type="dxa"/>
            <w:vAlign w:val="bottom"/>
            <w:shd w:val="clear" w:color="auto" w:fill="E5FFFF"/>
          </w:tcPr>
          <w:p>
            <w:pPr>
              <w:spacing w:after="0"/>
              <w:rPr>
                <w:sz w:val="20"/>
                <w:szCs w:val="20"/>
                <w:color w:val="auto"/>
              </w:rPr>
            </w:pPr>
          </w:p>
        </w:tc>
        <w:tc>
          <w:tcPr>
            <w:tcW w:w="12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629</w:t>
            </w:r>
          </w:p>
        </w:tc>
        <w:tc>
          <w:tcPr>
            <w:tcW w:w="300" w:type="dxa"/>
            <w:vAlign w:val="bottom"/>
            <w:shd w:val="clear" w:color="auto" w:fill="E5FFFF"/>
          </w:tcPr>
          <w:p>
            <w:pPr>
              <w:spacing w:after="0"/>
              <w:rPr>
                <w:sz w:val="20"/>
                <w:szCs w:val="20"/>
                <w:color w:val="auto"/>
              </w:rPr>
            </w:pPr>
          </w:p>
        </w:tc>
        <w:tc>
          <w:tcPr>
            <w:tcW w:w="860" w:type="dxa"/>
            <w:vAlign w:val="bottom"/>
            <w:shd w:val="clear" w:color="auto" w:fill="E5FFFF"/>
          </w:tcPr>
          <w:p>
            <w:pPr>
              <w:jc w:val="right"/>
              <w:ind w:right="33"/>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shd w:val="clear" w:color="auto" w:fill="E5FFFF"/>
          </w:tcPr>
          <w:p>
            <w:pPr>
              <w:jc w:val="right"/>
              <w:ind w:right="14"/>
              <w:spacing w:after="0"/>
              <w:rPr>
                <w:sz w:val="20"/>
                <w:szCs w:val="20"/>
                <w:color w:val="auto"/>
              </w:rPr>
            </w:pPr>
            <w:r>
              <w:rPr>
                <w:rFonts w:ascii="Arial" w:cs="Arial" w:eastAsia="Arial" w:hAnsi="Arial"/>
                <w:sz w:val="18"/>
                <w:szCs w:val="18"/>
                <w:b w:val="1"/>
                <w:bCs w:val="1"/>
                <w:color w:val="auto"/>
              </w:rPr>
              <w:t>614,964</w:t>
            </w:r>
          </w:p>
        </w:tc>
        <w:tc>
          <w:tcPr>
            <w:tcW w:w="300" w:type="dxa"/>
            <w:vAlign w:val="bottom"/>
            <w:shd w:val="clear" w:color="auto" w:fill="E5FFFF"/>
          </w:tcPr>
          <w:p>
            <w:pPr>
              <w:spacing w:after="0"/>
              <w:rPr>
                <w:sz w:val="20"/>
                <w:szCs w:val="20"/>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Issuance of shares (Note 4)</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18,129,960</w:t>
            </w:r>
          </w:p>
        </w:tc>
        <w:tc>
          <w:tcPr>
            <w:tcW w:w="28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4"/>
              <w:spacing w:after="0"/>
              <w:rPr>
                <w:sz w:val="20"/>
                <w:szCs w:val="20"/>
                <w:color w:val="auto"/>
              </w:rPr>
            </w:pPr>
            <w:r>
              <w:rPr>
                <w:rFonts w:ascii="Arial" w:cs="Arial" w:eastAsia="Arial" w:hAnsi="Arial"/>
                <w:sz w:val="18"/>
                <w:szCs w:val="18"/>
                <w:color w:val="auto"/>
              </w:rPr>
              <w:t>308,506</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3540" w:type="dxa"/>
            <w:vAlign w:val="bottom"/>
            <w:shd w:val="clear" w:color="auto" w:fill="E5FFFF"/>
          </w:tcPr>
          <w:p>
            <w:pPr>
              <w:spacing w:after="0"/>
              <w:rPr>
                <w:sz w:val="20"/>
                <w:szCs w:val="20"/>
                <w:color w:val="auto"/>
              </w:rPr>
            </w:pPr>
            <w:r>
              <w:rPr>
                <w:rFonts w:ascii="Arial" w:cs="Arial" w:eastAsia="Arial" w:hAnsi="Arial"/>
                <w:sz w:val="18"/>
                <w:szCs w:val="18"/>
                <w:color w:val="auto"/>
              </w:rPr>
              <w:t>Purchase of treasury shares</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(520,614)</w:t>
            </w:r>
          </w:p>
        </w:tc>
        <w:tc>
          <w:tcPr>
            <w:tcW w:w="122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520,614</w:t>
            </w:r>
          </w:p>
        </w:tc>
        <w:tc>
          <w:tcPr>
            <w:tcW w:w="28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(13,221)</w:t>
            </w: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Treasury shares distributed for awards</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exercised in the year (Note 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20,614</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(20,614)</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42"/>
        </w:trPr>
        <w:tc>
          <w:tcPr>
            <w:tcW w:w="3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9"/>
              </w:rPr>
              <w:t>80,493,126</w:t>
            </w:r>
          </w:p>
        </w:tc>
        <w:tc>
          <w:tcPr>
            <w:tcW w:w="28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b w:val="1"/>
                <w:bCs w:val="1"/>
                <w:color w:val="auto"/>
              </w:rPr>
              <w:t>500,000</w:t>
            </w:r>
          </w:p>
        </w:tc>
        <w:tc>
          <w:tcPr>
            <w:tcW w:w="280" w:type="dxa"/>
            <w:vAlign w:val="bottom"/>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b w:val="1"/>
                <w:bCs w:val="1"/>
                <w:color w:val="auto"/>
              </w:rPr>
              <w:t>923,470</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8"/>
              </w:rPr>
              <w:t>(12,576)</w:t>
            </w:r>
          </w:p>
        </w:tc>
      </w:tr>
      <w:tr>
        <w:trPr>
          <w:trHeight w:val="249"/>
        </w:trPr>
        <w:tc>
          <w:tcPr>
            <w:tcW w:w="3540" w:type="dxa"/>
            <w:vAlign w:val="bottom"/>
          </w:tcPr>
          <w:p>
            <w:pPr>
              <w:spacing w:after="0"/>
              <w:rPr>
                <w:sz w:val="20"/>
                <w:szCs w:val="20"/>
                <w:color w:val="auto"/>
              </w:rPr>
            </w:pPr>
            <w:r>
              <w:rPr>
                <w:rFonts w:ascii="Arial" w:cs="Arial" w:eastAsia="Arial" w:hAnsi="Arial"/>
                <w:sz w:val="18"/>
                <w:szCs w:val="18"/>
                <w:color w:val="auto"/>
              </w:rPr>
              <w:t>Issuance of preference shares (Note 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4,600,000</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3"/>
              <w:spacing w:after="0"/>
              <w:rPr>
                <w:sz w:val="20"/>
                <w:szCs w:val="20"/>
                <w:color w:val="auto"/>
              </w:rPr>
            </w:pPr>
            <w:r>
              <w:rPr>
                <w:rFonts w:ascii="Arial" w:cs="Arial" w:eastAsia="Arial" w:hAnsi="Arial"/>
                <w:sz w:val="18"/>
                <w:szCs w:val="18"/>
                <w:color w:val="auto"/>
              </w:rPr>
              <w:t>46</w:t>
            </w:r>
          </w:p>
        </w:tc>
        <w:tc>
          <w:tcPr>
            <w:tcW w:w="1400" w:type="dxa"/>
            <w:vAlign w:val="bottom"/>
            <w:gridSpan w:val="3"/>
          </w:tcPr>
          <w:p>
            <w:pPr>
              <w:jc w:val="right"/>
              <w:ind w:right="14"/>
              <w:spacing w:after="0"/>
              <w:rPr>
                <w:sz w:val="20"/>
                <w:szCs w:val="20"/>
                <w:color w:val="auto"/>
              </w:rPr>
            </w:pPr>
            <w:r>
              <w:rPr>
                <w:rFonts w:ascii="Arial" w:cs="Arial" w:eastAsia="Arial" w:hAnsi="Arial"/>
                <w:sz w:val="18"/>
                <w:szCs w:val="18"/>
                <w:color w:val="auto"/>
              </w:rPr>
              <w:t>110,607</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3540" w:type="dxa"/>
            <w:vAlign w:val="bottom"/>
            <w:shd w:val="clear" w:color="auto" w:fill="E5FFFF"/>
          </w:tcPr>
          <w:p>
            <w:pPr>
              <w:spacing w:after="0" w:line="205" w:lineRule="exact"/>
              <w:rPr>
                <w:sz w:val="20"/>
                <w:szCs w:val="20"/>
                <w:color w:val="auto"/>
              </w:rPr>
            </w:pPr>
            <w:r>
              <w:rPr>
                <w:rFonts w:ascii="Arial" w:cs="Arial" w:eastAsia="Arial" w:hAnsi="Arial"/>
                <w:sz w:val="18"/>
                <w:szCs w:val="18"/>
                <w:color w:val="auto"/>
              </w:rPr>
              <w:t>Dividends declared deducted from</w:t>
            </w:r>
          </w:p>
        </w:tc>
        <w:tc>
          <w:tcPr>
            <w:tcW w:w="10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16"/>
        </w:trPr>
        <w:tc>
          <w:tcPr>
            <w:tcW w:w="3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Contributed surplus due to accumulated</w:t>
            </w:r>
          </w:p>
        </w:tc>
        <w:tc>
          <w:tcPr>
            <w:tcW w:w="10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29"/>
        </w:trPr>
        <w:tc>
          <w:tcPr>
            <w:tcW w:w="3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deficit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9"/>
                <w:szCs w:val="19"/>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9"/>
                <w:szCs w:val="19"/>
                <w:color w:val="auto"/>
              </w:rPr>
            </w:pPr>
          </w:p>
        </w:tc>
        <w:tc>
          <w:tcPr>
            <w:tcW w:w="86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(13,785)</w:t>
            </w:r>
          </w:p>
        </w:tc>
        <w:tc>
          <w:tcPr>
            <w:tcW w:w="300" w:type="dxa"/>
            <w:vAlign w:val="bottom"/>
            <w:shd w:val="clear" w:color="auto" w:fill="E5FFFF"/>
          </w:tcPr>
          <w:p>
            <w:pPr>
              <w:spacing w:after="0"/>
              <w:rPr>
                <w:sz w:val="19"/>
                <w:szCs w:val="19"/>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w w:val="96"/>
              </w:rPr>
              <w:t>Treasury shares distributed for awards vested</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in the year (Note 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99"/>
              </w:rPr>
              <w:t>80,496,499</w:t>
            </w:r>
          </w:p>
        </w:tc>
        <w:tc>
          <w:tcPr>
            <w:tcW w:w="122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b w:val="1"/>
                <w:bCs w:val="1"/>
                <w:color w:val="auto"/>
              </w:rPr>
              <w:t>496,627</w:t>
            </w:r>
          </w:p>
        </w:tc>
        <w:tc>
          <w:tcPr>
            <w:tcW w:w="28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4,600,000</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160" w:type="dxa"/>
            <w:vAlign w:val="bottom"/>
            <w:gridSpan w:val="2"/>
            <w:shd w:val="clear" w:color="auto" w:fill="E5FFFF"/>
          </w:tcPr>
          <w:p>
            <w:pPr>
              <w:jc w:val="right"/>
              <w:ind w:right="33"/>
              <w:spacing w:after="0"/>
              <w:rPr>
                <w:sz w:val="20"/>
                <w:szCs w:val="20"/>
                <w:color w:val="auto"/>
              </w:rPr>
            </w:pPr>
            <w:r>
              <w:rPr>
                <w:rFonts w:ascii="Arial" w:cs="Arial" w:eastAsia="Arial" w:hAnsi="Arial"/>
                <w:sz w:val="18"/>
                <w:szCs w:val="18"/>
                <w:b w:val="1"/>
                <w:bCs w:val="1"/>
                <w:color w:val="auto"/>
              </w:rPr>
              <w:t>46</w:t>
            </w:r>
          </w:p>
        </w:tc>
        <w:tc>
          <w:tcPr>
            <w:tcW w:w="1400" w:type="dxa"/>
            <w:vAlign w:val="bottom"/>
            <w:gridSpan w:val="3"/>
            <w:shd w:val="clear" w:color="auto" w:fill="E5FFFF"/>
          </w:tcPr>
          <w:p>
            <w:pPr>
              <w:jc w:val="right"/>
              <w:ind w:right="14"/>
              <w:spacing w:after="0"/>
              <w:rPr>
                <w:sz w:val="20"/>
                <w:szCs w:val="20"/>
                <w:color w:val="auto"/>
              </w:rPr>
            </w:pPr>
            <w:r>
              <w:rPr>
                <w:rFonts w:ascii="Arial" w:cs="Arial" w:eastAsia="Arial" w:hAnsi="Arial"/>
                <w:sz w:val="18"/>
                <w:szCs w:val="18"/>
                <w:b w:val="1"/>
                <w:bCs w:val="1"/>
                <w:color w:val="auto"/>
              </w:rPr>
              <w:t>1,020,292</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Dividends declared deducted from</w:t>
            </w: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Contributed surplus due to accumulated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7"/>
        </w:trPr>
        <w:tc>
          <w:tcPr>
            <w:tcW w:w="3540" w:type="dxa"/>
            <w:vAlign w:val="bottom"/>
          </w:tcPr>
          <w:p>
            <w:pPr>
              <w:ind w:left="180"/>
              <w:spacing w:after="0"/>
              <w:rPr>
                <w:sz w:val="20"/>
                <w:szCs w:val="20"/>
                <w:color w:val="auto"/>
              </w:rPr>
            </w:pPr>
            <w:r>
              <w:rPr>
                <w:rFonts w:ascii="Arial" w:cs="Arial" w:eastAsia="Arial" w:hAnsi="Arial"/>
                <w:sz w:val="18"/>
                <w:szCs w:val="18"/>
                <w:color w:val="auto"/>
              </w:rPr>
              <w:t>deficit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(53,318)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3540" w:type="dxa"/>
            <w:vAlign w:val="bottom"/>
            <w:shd w:val="clear" w:color="auto" w:fill="E5FFFF"/>
          </w:tcPr>
          <w:p>
            <w:pPr>
              <w:spacing w:after="0" w:line="205" w:lineRule="exact"/>
              <w:rPr>
                <w:sz w:val="20"/>
                <w:szCs w:val="20"/>
                <w:color w:val="auto"/>
              </w:rPr>
            </w:pPr>
            <w:r>
              <w:rPr>
                <w:rFonts w:ascii="Arial" w:cs="Arial" w:eastAsia="Arial" w:hAnsi="Arial"/>
                <w:sz w:val="18"/>
                <w:szCs w:val="18"/>
                <w:color w:val="auto"/>
                <w:w w:val="96"/>
              </w:rPr>
              <w:t>Treasury shares distributed for awards vested</w:t>
            </w:r>
          </w:p>
        </w:tc>
        <w:tc>
          <w:tcPr>
            <w:tcW w:w="10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28"/>
        </w:trPr>
        <w:tc>
          <w:tcPr>
            <w:tcW w:w="3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or exercised in the year (Note 21)</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64,854</w:t>
            </w:r>
          </w:p>
        </w:tc>
        <w:tc>
          <w:tcPr>
            <w:tcW w:w="280" w:type="dxa"/>
            <w:vAlign w:val="bottom"/>
            <w:shd w:val="clear" w:color="auto" w:fill="E5FFFF"/>
          </w:tcPr>
          <w:p>
            <w:pPr>
              <w:spacing w:after="0"/>
              <w:rPr>
                <w:sz w:val="19"/>
                <w:szCs w:val="19"/>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(64,854)</w:t>
            </w:r>
          </w:p>
        </w:tc>
        <w:tc>
          <w:tcPr>
            <w:tcW w:w="280" w:type="dxa"/>
            <w:vAlign w:val="bottom"/>
            <w:shd w:val="clear" w:color="auto" w:fill="E5FFFF"/>
          </w:tcPr>
          <w:p>
            <w:pPr>
              <w:spacing w:after="0"/>
              <w:rPr>
                <w:sz w:val="19"/>
                <w:szCs w:val="19"/>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9"/>
                <w:szCs w:val="19"/>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9"/>
                <w:szCs w:val="19"/>
                <w:color w:val="auto"/>
              </w:rPr>
            </w:pPr>
          </w:p>
        </w:tc>
        <w:tc>
          <w:tcPr>
            <w:tcW w:w="8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9"/>
                <w:szCs w:val="19"/>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1,630</w:t>
            </w:r>
          </w:p>
        </w:tc>
      </w:tr>
      <w:tr>
        <w:trPr>
          <w:trHeight w:val="250"/>
        </w:trPr>
        <w:tc>
          <w:tcPr>
            <w:tcW w:w="354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80,561,353</w:t>
            </w:r>
          </w:p>
        </w:tc>
        <w:tc>
          <w:tcPr>
            <w:tcW w:w="122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431,773</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4,600,000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810</w:t>
            </w:r>
          </w:p>
        </w:tc>
        <w:tc>
          <w:tcPr>
            <w:tcW w:w="116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rPr>
              <w:t>46</w:t>
            </w:r>
          </w:p>
        </w:tc>
        <w:tc>
          <w:tcPr>
            <w:tcW w:w="1400" w:type="dxa"/>
            <w:vAlign w:val="bottom"/>
            <w:gridSpan w:val="3"/>
          </w:tcPr>
          <w:p>
            <w:pPr>
              <w:jc w:val="right"/>
              <w:ind w:right="14"/>
              <w:spacing w:after="0"/>
              <w:rPr>
                <w:sz w:val="20"/>
                <w:szCs w:val="20"/>
                <w:color w:val="auto"/>
              </w:rPr>
            </w:pPr>
            <w:r>
              <w:rPr>
                <w:rFonts w:ascii="Arial" w:cs="Arial" w:eastAsia="Arial" w:hAnsi="Arial"/>
                <w:sz w:val="18"/>
                <w:szCs w:val="18"/>
                <w:b w:val="1"/>
                <w:bCs w:val="1"/>
                <w:color w:val="auto"/>
              </w:rPr>
              <w:t>966,974</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(10,861)</w:t>
            </w:r>
          </w:p>
        </w:tc>
      </w:tr>
      <w:tr>
        <w:trPr>
          <w:trHeight w:val="20"/>
        </w:trPr>
        <w:tc>
          <w:tcPr>
            <w:tcW w:w="3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treasury shares were acquired by GasLog in 2014 from the open market, in relation to the share-based compensation (Note 21).</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Equity attributable to owners of the Group</w:t>
      </w:r>
    </w:p>
    <w:p>
      <w:pPr>
        <w:spacing w:after="0" w:line="125" w:lineRule="exact"/>
        <w:rPr>
          <w:sz w:val="20"/>
          <w:szCs w:val="20"/>
          <w:color w:val="auto"/>
        </w:rPr>
      </w:pPr>
    </w:p>
    <w:p>
      <w:pPr>
        <w:ind w:right="340" w:firstLine="357"/>
        <w:spacing w:after="0" w:line="339" w:lineRule="auto"/>
        <w:rPr>
          <w:sz w:val="20"/>
          <w:szCs w:val="20"/>
          <w:color w:val="auto"/>
        </w:rPr>
      </w:pPr>
      <w:r>
        <w:rPr>
          <w:rFonts w:ascii="Arial" w:cs="Arial" w:eastAsia="Arial" w:hAnsi="Arial"/>
          <w:sz w:val="17"/>
          <w:szCs w:val="17"/>
          <w:color w:val="auto"/>
        </w:rPr>
        <w:t>The Group’s net capital comprises of share capital, preference shares, contributed surplus, treasury shares, retained earnings/(accumulated deficit) and reserves. At December 31, 2015 and 2016, the Group had equity of $1,001,674 and $945,643,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65" w:name="page166"/>
    <w:bookmarkEnd w:id="165"/>
    <w:p>
      <w:pPr>
        <w:ind w:left="360"/>
        <w:spacing w:after="0"/>
        <w:rPr>
          <w:sz w:val="20"/>
          <w:szCs w:val="20"/>
          <w:color w:val="auto"/>
        </w:rPr>
      </w:pPr>
      <w:r>
        <w:rPr>
          <w:rFonts w:ascii="Arial" w:cs="Arial" w:eastAsia="Arial" w:hAnsi="Arial"/>
          <w:sz w:val="19"/>
          <w:szCs w:val="19"/>
          <w:color w:val="auto"/>
        </w:rPr>
        <w:t>The movements in reserves are reported in the following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5"/>
              </w:rPr>
              <w:t>Share-based</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5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
              <w:spacing w:after="0" w:line="176" w:lineRule="exact"/>
              <w:rPr>
                <w:sz w:val="20"/>
                <w:szCs w:val="20"/>
                <w:color w:val="auto"/>
              </w:rPr>
            </w:pPr>
            <w:r>
              <w:rPr>
                <w:rFonts w:ascii="Arial" w:cs="Arial" w:eastAsia="Arial" w:hAnsi="Arial"/>
                <w:sz w:val="16"/>
                <w:szCs w:val="16"/>
                <w:b w:val="1"/>
                <w:bCs w:val="1"/>
                <w:color w:val="auto"/>
                <w:w w:val="95"/>
              </w:rPr>
              <w:t>Employee</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c>
          <w:tcPr>
            <w:tcW w:w="300" w:type="dxa"/>
            <w:vAlign w:val="bottom"/>
          </w:tcPr>
          <w:p>
            <w:pPr>
              <w:spacing w:after="0"/>
              <w:rPr>
                <w:sz w:val="15"/>
                <w:szCs w:val="15"/>
                <w:color w:val="auto"/>
              </w:rPr>
            </w:pPr>
          </w:p>
        </w:tc>
        <w:tc>
          <w:tcPr>
            <w:tcW w:w="760" w:type="dxa"/>
            <w:vAlign w:val="bottom"/>
          </w:tcPr>
          <w:p>
            <w:pPr>
              <w:jc w:val="right"/>
              <w:ind w:right="108"/>
              <w:spacing w:after="0" w:line="176" w:lineRule="exact"/>
              <w:rPr>
                <w:sz w:val="20"/>
                <w:szCs w:val="20"/>
                <w:color w:val="auto"/>
              </w:rPr>
            </w:pPr>
            <w:r>
              <w:rPr>
                <w:rFonts w:ascii="Arial" w:cs="Arial" w:eastAsia="Arial" w:hAnsi="Arial"/>
                <w:sz w:val="16"/>
                <w:szCs w:val="16"/>
                <w:b w:val="1"/>
                <w:bCs w:val="1"/>
                <w:color w:val="auto"/>
              </w:rPr>
              <w:t>Total</w:t>
            </w:r>
          </w:p>
        </w:tc>
      </w:tr>
      <w:tr>
        <w:trPr>
          <w:trHeight w:val="199"/>
        </w:trPr>
        <w:tc>
          <w:tcPr>
            <w:tcW w:w="5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Hedging</w:t>
            </w:r>
          </w:p>
        </w:tc>
        <w:tc>
          <w:tcPr>
            <w:tcW w:w="300" w:type="dxa"/>
            <w:vAlign w:val="bottom"/>
          </w:tcPr>
          <w:p>
            <w:pPr>
              <w:spacing w:after="0"/>
              <w:rPr>
                <w:sz w:val="17"/>
                <w:szCs w:val="17"/>
                <w:color w:val="auto"/>
              </w:rPr>
            </w:pPr>
          </w:p>
        </w:tc>
        <w:tc>
          <w:tcPr>
            <w:tcW w:w="8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benefits</w:t>
            </w: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reserve</w:t>
            </w:r>
          </w:p>
        </w:tc>
        <w:tc>
          <w:tcPr>
            <w:tcW w:w="300" w:type="dxa"/>
            <w:vAlign w:val="bottom"/>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97"/>
              </w:rPr>
              <w:t>reserves</w:t>
            </w:r>
          </w:p>
        </w:tc>
      </w:tr>
      <w:tr>
        <w:trPr>
          <w:trHeight w:val="237"/>
        </w:trPr>
        <w:tc>
          <w:tcPr>
            <w:tcW w:w="51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Balance as of January 1, 2014</w:t>
            </w:r>
          </w:p>
        </w:tc>
        <w:tc>
          <w:tcPr>
            <w:tcW w:w="25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(14,754)</w:t>
            </w:r>
          </w:p>
        </w:tc>
        <w:tc>
          <w:tcPr>
            <w:tcW w:w="1140" w:type="dxa"/>
            <w:vAlign w:val="bottom"/>
            <w:gridSpan w:val="2"/>
            <w:shd w:val="clear" w:color="auto" w:fill="E5FFFF"/>
          </w:tcPr>
          <w:p>
            <w:pPr>
              <w:jc w:val="right"/>
              <w:ind w:right="25"/>
              <w:spacing w:after="0"/>
              <w:rPr>
                <w:sz w:val="20"/>
                <w:szCs w:val="20"/>
                <w:color w:val="auto"/>
              </w:rPr>
            </w:pPr>
            <w:r>
              <w:rPr>
                <w:rFonts w:ascii="Arial" w:cs="Arial" w:eastAsia="Arial" w:hAnsi="Arial"/>
                <w:sz w:val="19"/>
                <w:szCs w:val="19"/>
                <w:b w:val="1"/>
                <w:bCs w:val="1"/>
                <w:color w:val="auto"/>
              </w:rPr>
              <w:t>94</w:t>
            </w:r>
          </w:p>
        </w:tc>
        <w:tc>
          <w:tcPr>
            <w:tcW w:w="1480" w:type="dxa"/>
            <w:vAlign w:val="bottom"/>
            <w:gridSpan w:val="2"/>
            <w:shd w:val="clear" w:color="auto" w:fill="E5FFFF"/>
          </w:tcPr>
          <w:p>
            <w:pPr>
              <w:jc w:val="right"/>
              <w:ind w:right="46"/>
              <w:spacing w:after="0"/>
              <w:rPr>
                <w:sz w:val="20"/>
                <w:szCs w:val="20"/>
                <w:color w:val="auto"/>
              </w:rPr>
            </w:pPr>
            <w:r>
              <w:rPr>
                <w:rFonts w:ascii="Arial" w:cs="Arial" w:eastAsia="Arial" w:hAnsi="Arial"/>
                <w:sz w:val="19"/>
                <w:szCs w:val="19"/>
                <w:b w:val="1"/>
                <w:bCs w:val="1"/>
                <w:color w:val="auto"/>
              </w:rPr>
              <w:t>11,232</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(3,428)</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rPr>
              <w:t>Effective portion of changes in fair value of cash flow hedges</w:t>
            </w:r>
          </w:p>
        </w:tc>
        <w:tc>
          <w:tcPr>
            <w:tcW w:w="2560" w:type="dxa"/>
            <w:vAlign w:val="bottom"/>
            <w:gridSpan w:val="2"/>
          </w:tcPr>
          <w:p>
            <w:pPr>
              <w:jc w:val="right"/>
              <w:spacing w:after="0"/>
              <w:rPr>
                <w:sz w:val="20"/>
                <w:szCs w:val="20"/>
                <w:color w:val="auto"/>
              </w:rPr>
            </w:pPr>
            <w:r>
              <w:rPr>
                <w:rFonts w:ascii="Arial" w:cs="Arial" w:eastAsia="Arial" w:hAnsi="Arial"/>
                <w:sz w:val="19"/>
                <w:szCs w:val="19"/>
                <w:color w:val="auto"/>
              </w:rPr>
              <w:t>(13,191)</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8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(13,191)</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w w:val="99"/>
              </w:rPr>
              <w:t>Recycled loss of cash flow hedges reclassified to profit or loss</w:t>
            </w:r>
          </w:p>
        </w:tc>
        <w:tc>
          <w:tcPr>
            <w:tcW w:w="2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6,641</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6,641</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rPr>
              <w:t>Hedging reserve allocated to non-controlling interest (Note 4)</w:t>
            </w:r>
          </w:p>
        </w:tc>
        <w:tc>
          <w:tcPr>
            <w:tcW w:w="2560" w:type="dxa"/>
            <w:vAlign w:val="bottom"/>
            <w:gridSpan w:val="2"/>
          </w:tcPr>
          <w:p>
            <w:pPr>
              <w:jc w:val="right"/>
              <w:spacing w:after="0"/>
              <w:rPr>
                <w:sz w:val="20"/>
                <w:szCs w:val="20"/>
                <w:color w:val="auto"/>
              </w:rPr>
            </w:pPr>
            <w:r>
              <w:rPr>
                <w:rFonts w:ascii="Arial" w:cs="Arial" w:eastAsia="Arial" w:hAnsi="Arial"/>
                <w:sz w:val="19"/>
                <w:szCs w:val="19"/>
                <w:color w:val="auto"/>
              </w:rPr>
              <w:t>(3,306)</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8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(3,306)</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Share-based compensation (Note 21)</w:t>
            </w:r>
          </w:p>
        </w:tc>
        <w:tc>
          <w:tcPr>
            <w:tcW w:w="17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shd w:val="clear" w:color="auto" w:fill="E5FFFF"/>
          </w:tcPr>
          <w:p>
            <w:pPr>
              <w:jc w:val="right"/>
              <w:ind w:right="46"/>
              <w:spacing w:after="0"/>
              <w:rPr>
                <w:sz w:val="20"/>
                <w:szCs w:val="20"/>
                <w:color w:val="auto"/>
              </w:rPr>
            </w:pPr>
            <w:r>
              <w:rPr>
                <w:rFonts w:ascii="Arial" w:cs="Arial" w:eastAsia="Arial" w:hAnsi="Arial"/>
                <w:sz w:val="19"/>
                <w:szCs w:val="19"/>
                <w:color w:val="auto"/>
              </w:rPr>
              <w:t>1,856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1,856</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rPr>
              <w:t>Settlement of share-based compensation</w:t>
            </w:r>
          </w:p>
        </w:tc>
        <w:tc>
          <w:tcPr>
            <w:tcW w:w="17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(372)</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(372)</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Actuarial loss</w:t>
            </w:r>
          </w:p>
        </w:tc>
        <w:tc>
          <w:tcPr>
            <w:tcW w:w="178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(202)</w:t>
            </w:r>
          </w:p>
        </w:tc>
        <w:tc>
          <w:tcPr>
            <w:tcW w:w="300" w:type="dxa"/>
            <w:vAlign w:val="bottom"/>
            <w:shd w:val="clear" w:color="auto" w:fill="E5FFFF"/>
          </w:tcPr>
          <w:p>
            <w:pPr>
              <w:spacing w:after="0"/>
              <w:rPr>
                <w:sz w:val="21"/>
                <w:szCs w:val="21"/>
                <w:color w:val="auto"/>
              </w:rPr>
            </w:pPr>
          </w:p>
        </w:tc>
        <w:tc>
          <w:tcPr>
            <w:tcW w:w="11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(202)</w:t>
            </w:r>
          </w:p>
        </w:tc>
      </w:tr>
      <w:tr>
        <w:trPr>
          <w:trHeight w:val="257"/>
        </w:trPr>
        <w:tc>
          <w:tcPr>
            <w:tcW w:w="5180" w:type="dxa"/>
            <w:vAlign w:val="bottom"/>
          </w:tcPr>
          <w:p>
            <w:pPr>
              <w:spacing w:after="0"/>
              <w:rPr>
                <w:sz w:val="20"/>
                <w:szCs w:val="20"/>
                <w:color w:val="auto"/>
              </w:rPr>
            </w:pPr>
            <w:r>
              <w:rPr>
                <w:rFonts w:ascii="Arial" w:cs="Arial" w:eastAsia="Arial" w:hAnsi="Arial"/>
                <w:sz w:val="19"/>
                <w:szCs w:val="19"/>
                <w:b w:val="1"/>
                <w:bCs w:val="1"/>
                <w:color w:val="auto"/>
              </w:rPr>
              <w:t>Balance as of December 31, 2014</w:t>
            </w:r>
          </w:p>
        </w:tc>
        <w:tc>
          <w:tcPr>
            <w:tcW w:w="17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(24,610)</w:t>
            </w:r>
          </w:p>
        </w:tc>
        <w:tc>
          <w:tcPr>
            <w:tcW w:w="3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(108)</w:t>
            </w:r>
          </w:p>
        </w:tc>
        <w:tc>
          <w:tcPr>
            <w:tcW w:w="300" w:type="dxa"/>
            <w:vAlign w:val="bottom"/>
          </w:tcPr>
          <w:p>
            <w:pPr>
              <w:spacing w:after="0"/>
              <w:rPr>
                <w:sz w:val="22"/>
                <w:szCs w:val="22"/>
                <w:color w:val="auto"/>
              </w:rPr>
            </w:pP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12,716</w:t>
            </w:r>
          </w:p>
        </w:tc>
        <w:tc>
          <w:tcPr>
            <w:tcW w:w="3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(12,002)</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Effective portion of changes in fair value of cash flow hedges</w:t>
            </w:r>
          </w:p>
        </w:tc>
        <w:tc>
          <w:tcPr>
            <w:tcW w:w="2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(849)</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(849)</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w w:val="99"/>
              </w:rPr>
              <w:t>Recycled loss of cash flow hedges reclassified to profit or loss</w:t>
            </w:r>
          </w:p>
        </w:tc>
        <w:tc>
          <w:tcPr>
            <w:tcW w:w="2560" w:type="dxa"/>
            <w:vAlign w:val="bottom"/>
            <w:gridSpan w:val="2"/>
          </w:tcPr>
          <w:p>
            <w:pPr>
              <w:jc w:val="right"/>
              <w:spacing w:after="0"/>
              <w:rPr>
                <w:sz w:val="20"/>
                <w:szCs w:val="20"/>
                <w:color w:val="auto"/>
              </w:rPr>
            </w:pPr>
            <w:r>
              <w:rPr>
                <w:rFonts w:ascii="Arial" w:cs="Arial" w:eastAsia="Arial" w:hAnsi="Arial"/>
                <w:sz w:val="19"/>
                <w:szCs w:val="19"/>
                <w:color w:val="auto"/>
              </w:rPr>
              <w:t>1,290</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8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1,290</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w w:val="98"/>
              </w:rPr>
              <w:t>Share-based compensation, net of accrued dividend (Note 21)</w:t>
            </w:r>
          </w:p>
        </w:tc>
        <w:tc>
          <w:tcPr>
            <w:tcW w:w="17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shd w:val="clear" w:color="auto" w:fill="E5FFFF"/>
          </w:tcPr>
          <w:p>
            <w:pPr>
              <w:jc w:val="right"/>
              <w:ind w:right="46"/>
              <w:spacing w:after="0"/>
              <w:rPr>
                <w:sz w:val="20"/>
                <w:szCs w:val="20"/>
                <w:color w:val="auto"/>
              </w:rPr>
            </w:pPr>
            <w:r>
              <w:rPr>
                <w:rFonts w:ascii="Arial" w:cs="Arial" w:eastAsia="Arial" w:hAnsi="Arial"/>
                <w:sz w:val="19"/>
                <w:szCs w:val="19"/>
                <w:color w:val="auto"/>
              </w:rPr>
              <w:t>2,791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2,791</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rPr>
              <w:t>Settlement of share-based compensation</w:t>
            </w:r>
          </w:p>
        </w:tc>
        <w:tc>
          <w:tcPr>
            <w:tcW w:w="17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(85)</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(85)</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Actuarial gain</w:t>
            </w:r>
          </w:p>
        </w:tc>
        <w:tc>
          <w:tcPr>
            <w:tcW w:w="178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11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w:t>
            </w:r>
          </w:p>
        </w:tc>
      </w:tr>
      <w:tr>
        <w:trPr>
          <w:trHeight w:val="257"/>
        </w:trPr>
        <w:tc>
          <w:tcPr>
            <w:tcW w:w="5180" w:type="dxa"/>
            <w:vAlign w:val="bottom"/>
          </w:tcPr>
          <w:p>
            <w:pPr>
              <w:spacing w:after="0"/>
              <w:rPr>
                <w:sz w:val="20"/>
                <w:szCs w:val="20"/>
                <w:color w:val="auto"/>
              </w:rPr>
            </w:pPr>
            <w:r>
              <w:rPr>
                <w:rFonts w:ascii="Arial" w:cs="Arial" w:eastAsia="Arial" w:hAnsi="Arial"/>
                <w:sz w:val="19"/>
                <w:szCs w:val="19"/>
                <w:b w:val="1"/>
                <w:bCs w:val="1"/>
                <w:color w:val="auto"/>
              </w:rPr>
              <w:t>Balance as of December 31, 2015</w:t>
            </w:r>
          </w:p>
        </w:tc>
        <w:tc>
          <w:tcPr>
            <w:tcW w:w="17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(24,169)</w:t>
            </w:r>
          </w:p>
        </w:tc>
        <w:tc>
          <w:tcPr>
            <w:tcW w:w="3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(82)</w:t>
            </w:r>
          </w:p>
        </w:tc>
        <w:tc>
          <w:tcPr>
            <w:tcW w:w="300" w:type="dxa"/>
            <w:vAlign w:val="bottom"/>
          </w:tcPr>
          <w:p>
            <w:pPr>
              <w:spacing w:after="0"/>
              <w:rPr>
                <w:sz w:val="22"/>
                <w:szCs w:val="22"/>
                <w:color w:val="auto"/>
              </w:rPr>
            </w:pP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15,422</w:t>
            </w:r>
          </w:p>
        </w:tc>
        <w:tc>
          <w:tcPr>
            <w:tcW w:w="3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(8,829)</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Effective portion of changes in fair value of cash flow hedges</w:t>
            </w:r>
          </w:p>
        </w:tc>
        <w:tc>
          <w:tcPr>
            <w:tcW w:w="2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(6,522)</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(6,522)</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w w:val="99"/>
              </w:rPr>
              <w:t>Recycled loss of cash flow hedges reclassified to profit or loss</w:t>
            </w:r>
          </w:p>
        </w:tc>
        <w:tc>
          <w:tcPr>
            <w:tcW w:w="2560" w:type="dxa"/>
            <w:vAlign w:val="bottom"/>
            <w:gridSpan w:val="2"/>
          </w:tcPr>
          <w:p>
            <w:pPr>
              <w:jc w:val="right"/>
              <w:spacing w:after="0"/>
              <w:rPr>
                <w:sz w:val="20"/>
                <w:szCs w:val="20"/>
                <w:color w:val="auto"/>
              </w:rPr>
            </w:pPr>
            <w:r>
              <w:rPr>
                <w:rFonts w:ascii="Arial" w:cs="Arial" w:eastAsia="Arial" w:hAnsi="Arial"/>
                <w:sz w:val="19"/>
                <w:szCs w:val="19"/>
                <w:color w:val="auto"/>
              </w:rPr>
              <w:t>23,514</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8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23,514</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w w:val="98"/>
              </w:rPr>
              <w:t>Share-based compensation, net of accrued dividend (Note 21)</w:t>
            </w:r>
          </w:p>
        </w:tc>
        <w:tc>
          <w:tcPr>
            <w:tcW w:w="17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shd w:val="clear" w:color="auto" w:fill="E5FFFF"/>
          </w:tcPr>
          <w:p>
            <w:pPr>
              <w:jc w:val="right"/>
              <w:ind w:right="46"/>
              <w:spacing w:after="0"/>
              <w:rPr>
                <w:sz w:val="20"/>
                <w:szCs w:val="20"/>
                <w:color w:val="auto"/>
              </w:rPr>
            </w:pPr>
            <w:r>
              <w:rPr>
                <w:rFonts w:ascii="Arial" w:cs="Arial" w:eastAsia="Arial" w:hAnsi="Arial"/>
                <w:sz w:val="19"/>
                <w:szCs w:val="19"/>
                <w:color w:val="auto"/>
              </w:rPr>
              <w:t>3,597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3,597</w:t>
            </w:r>
          </w:p>
        </w:tc>
      </w:tr>
      <w:tr>
        <w:trPr>
          <w:trHeight w:val="243"/>
        </w:trPr>
        <w:tc>
          <w:tcPr>
            <w:tcW w:w="5180" w:type="dxa"/>
            <w:vAlign w:val="bottom"/>
          </w:tcPr>
          <w:p>
            <w:pPr>
              <w:spacing w:after="0"/>
              <w:rPr>
                <w:sz w:val="20"/>
                <w:szCs w:val="20"/>
                <w:color w:val="auto"/>
              </w:rPr>
            </w:pPr>
            <w:r>
              <w:rPr>
                <w:rFonts w:ascii="Arial" w:cs="Arial" w:eastAsia="Arial" w:hAnsi="Arial"/>
                <w:sz w:val="19"/>
                <w:szCs w:val="19"/>
                <w:color w:val="auto"/>
              </w:rPr>
              <w:t>Settlement of share-based compensation</w:t>
            </w:r>
          </w:p>
        </w:tc>
        <w:tc>
          <w:tcPr>
            <w:tcW w:w="17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(1,577)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(1,577)</w:t>
            </w:r>
          </w:p>
        </w:tc>
      </w:tr>
      <w:tr>
        <w:trPr>
          <w:trHeight w:val="243"/>
        </w:trPr>
        <w:tc>
          <w:tcPr>
            <w:tcW w:w="5180" w:type="dxa"/>
            <w:vAlign w:val="bottom"/>
            <w:shd w:val="clear" w:color="auto" w:fill="E5FFFF"/>
          </w:tcPr>
          <w:p>
            <w:pPr>
              <w:spacing w:after="0"/>
              <w:rPr>
                <w:sz w:val="20"/>
                <w:szCs w:val="20"/>
                <w:color w:val="auto"/>
              </w:rPr>
            </w:pPr>
            <w:r>
              <w:rPr>
                <w:rFonts w:ascii="Arial" w:cs="Arial" w:eastAsia="Arial" w:hAnsi="Arial"/>
                <w:sz w:val="19"/>
                <w:szCs w:val="19"/>
                <w:color w:val="auto"/>
              </w:rPr>
              <w:t>Actuarial loss</w:t>
            </w:r>
          </w:p>
        </w:tc>
        <w:tc>
          <w:tcPr>
            <w:tcW w:w="178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1"/>
                <w:szCs w:val="21"/>
                <w:color w:val="auto"/>
              </w:rPr>
            </w:pPr>
          </w:p>
        </w:tc>
        <w:tc>
          <w:tcPr>
            <w:tcW w:w="118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w:t>
            </w:r>
          </w:p>
        </w:tc>
      </w:tr>
      <w:tr>
        <w:trPr>
          <w:trHeight w:val="250"/>
        </w:trPr>
        <w:tc>
          <w:tcPr>
            <w:tcW w:w="5180" w:type="dxa"/>
            <w:vAlign w:val="bottom"/>
          </w:tcPr>
          <w:p>
            <w:pPr>
              <w:spacing w:after="0"/>
              <w:rPr>
                <w:sz w:val="20"/>
                <w:szCs w:val="20"/>
                <w:color w:val="auto"/>
              </w:rPr>
            </w:pPr>
            <w:r>
              <w:rPr>
                <w:rFonts w:ascii="Arial" w:cs="Arial" w:eastAsia="Arial" w:hAnsi="Arial"/>
                <w:sz w:val="19"/>
                <w:szCs w:val="19"/>
                <w:b w:val="1"/>
                <w:bCs w:val="1"/>
                <w:color w:val="auto"/>
              </w:rPr>
              <w:t>Balance as of December 31, 2016</w:t>
            </w:r>
          </w:p>
        </w:tc>
        <w:tc>
          <w:tcPr>
            <w:tcW w:w="17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(7,177)</w:t>
            </w:r>
          </w:p>
        </w:tc>
        <w:tc>
          <w:tcPr>
            <w:tcW w:w="3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(105)</w:t>
            </w:r>
          </w:p>
        </w:tc>
        <w:tc>
          <w:tcPr>
            <w:tcW w:w="300" w:type="dxa"/>
            <w:vAlign w:val="bottom"/>
          </w:tcPr>
          <w:p>
            <w:pPr>
              <w:spacing w:after="0"/>
              <w:rPr>
                <w:sz w:val="21"/>
                <w:szCs w:val="21"/>
                <w:color w:val="auto"/>
              </w:rPr>
            </w:pP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17,442</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10,160</w:t>
            </w:r>
          </w:p>
        </w:tc>
      </w:tr>
      <w:tr>
        <w:trPr>
          <w:trHeight w:val="20"/>
        </w:trPr>
        <w:tc>
          <w:tcPr>
            <w:tcW w:w="5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36"/>
        </w:trPr>
        <w:tc>
          <w:tcPr>
            <w:tcW w:w="5180" w:type="dxa"/>
            <w:vAlign w:val="bottom"/>
          </w:tcPr>
          <w:p>
            <w:pPr>
              <w:spacing w:after="0"/>
              <w:rPr>
                <w:sz w:val="24"/>
                <w:szCs w:val="24"/>
                <w:color w:val="auto"/>
              </w:rPr>
            </w:pPr>
          </w:p>
        </w:tc>
        <w:tc>
          <w:tcPr>
            <w:tcW w:w="2560" w:type="dxa"/>
            <w:vAlign w:val="bottom"/>
            <w:gridSpan w:val="2"/>
          </w:tcPr>
          <w:p>
            <w:pPr>
              <w:jc w:val="right"/>
              <w:ind w:right="1744"/>
              <w:spacing w:after="0"/>
              <w:rPr>
                <w:sz w:val="20"/>
                <w:szCs w:val="20"/>
                <w:color w:val="auto"/>
              </w:rPr>
            </w:pPr>
            <w:r>
              <w:rPr>
                <w:rFonts w:ascii="Arial" w:cs="Arial" w:eastAsia="Arial" w:hAnsi="Arial"/>
                <w:sz w:val="19"/>
                <w:szCs w:val="19"/>
                <w:color w:val="auto"/>
              </w:rPr>
              <w:t>F-32</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b w:val="1"/>
          <w:bCs w:val="1"/>
          <w:i w:val="1"/>
          <w:iCs w:val="1"/>
          <w:color w:val="auto"/>
        </w:rPr>
        <w:t>Dividend distributions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GasLog’s dividend distributions for the years ended December 31, 2014, 2015 and 2016 are presented in the following table:</w:t>
      </w:r>
    </w:p>
    <w:p>
      <w:pPr>
        <w:spacing w:after="0" w:line="28" w:lineRule="exact"/>
        <w:rPr>
          <w:sz w:val="20"/>
          <w:szCs w:val="20"/>
          <w:color w:val="auto"/>
        </w:rPr>
      </w:pPr>
    </w:p>
    <w:p>
      <w:pPr>
        <w:jc w:val="right"/>
        <w:ind w:right="40"/>
        <w:spacing w:after="0"/>
        <w:tabs>
          <w:tab w:leader="none" w:pos="6940" w:val="left"/>
          <w:tab w:leader="none" w:pos="5280" w:val="left"/>
          <w:tab w:leader="none" w:pos="2860" w:val="left"/>
          <w:tab w:leader="none" w:pos="880" w:val="left"/>
        </w:tabs>
        <w:rPr>
          <w:sz w:val="20"/>
          <w:szCs w:val="20"/>
          <w:color w:val="auto"/>
        </w:rPr>
      </w:pPr>
      <w:r>
        <w:rPr>
          <w:rFonts w:ascii="Arial" w:cs="Arial" w:eastAsia="Arial" w:hAnsi="Arial"/>
          <w:sz w:val="16"/>
          <w:szCs w:val="16"/>
          <w:b w:val="1"/>
          <w:bCs w:val="1"/>
          <w:color w:val="auto"/>
        </w:rPr>
        <w:t>Declaration date</w:t>
      </w:r>
      <w:r>
        <w:rPr>
          <w:sz w:val="20"/>
          <w:szCs w:val="20"/>
          <w:color w:val="auto"/>
        </w:rPr>
        <w:tab/>
      </w:r>
      <w:r>
        <w:rPr>
          <w:rFonts w:ascii="Arial" w:cs="Arial" w:eastAsia="Arial" w:hAnsi="Arial"/>
          <w:sz w:val="16"/>
          <w:szCs w:val="16"/>
          <w:b w:val="1"/>
          <w:bCs w:val="1"/>
          <w:color w:val="auto"/>
        </w:rPr>
        <w:t>Type of shares</w:t>
      </w:r>
      <w:r>
        <w:rPr>
          <w:sz w:val="20"/>
          <w:szCs w:val="20"/>
          <w:color w:val="auto"/>
        </w:rPr>
        <w:tab/>
      </w:r>
      <w:r>
        <w:rPr>
          <w:rFonts w:ascii="Arial" w:cs="Arial" w:eastAsia="Arial" w:hAnsi="Arial"/>
          <w:sz w:val="16"/>
          <w:szCs w:val="16"/>
          <w:b w:val="1"/>
          <w:bCs w:val="1"/>
          <w:color w:val="auto"/>
        </w:rPr>
        <w:t>Dividend per share</w:t>
      </w:r>
      <w:r>
        <w:rPr>
          <w:sz w:val="20"/>
          <w:szCs w:val="20"/>
          <w:color w:val="auto"/>
        </w:rPr>
        <w:tab/>
      </w:r>
      <w:r>
        <w:rPr>
          <w:rFonts w:ascii="Arial" w:cs="Arial" w:eastAsia="Arial" w:hAnsi="Arial"/>
          <w:sz w:val="16"/>
          <w:szCs w:val="16"/>
          <w:b w:val="1"/>
          <w:bCs w:val="1"/>
          <w:color w:val="auto"/>
        </w:rPr>
        <w:t>Payment date</w:t>
      </w:r>
      <w:r>
        <w:rPr>
          <w:sz w:val="20"/>
          <w:szCs w:val="20"/>
          <w:color w:val="auto"/>
        </w:rPr>
        <w:tab/>
      </w:r>
      <w:r>
        <w:rPr>
          <w:rFonts w:ascii="Arial" w:cs="Arial" w:eastAsia="Arial" w:hAnsi="Arial"/>
          <w:sz w:val="14"/>
          <w:szCs w:val="14"/>
          <w:b w:val="1"/>
          <w:bCs w:val="1"/>
          <w:color w:val="auto"/>
        </w:rPr>
        <w:t>Amount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320"/>
          </w:cols>
          <w:pgMar w:left="240" w:top="585" w:right="3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1"/>
              </w:rPr>
              <w:t>February 27, 2014</w:t>
            </w:r>
          </w:p>
        </w:tc>
        <w:tc>
          <w:tcPr>
            <w:tcW w:w="30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5"/>
              </w:rPr>
              <w:t>Common</w:t>
            </w:r>
          </w:p>
        </w:tc>
        <w:tc>
          <w:tcPr>
            <w:tcW w:w="30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2"/>
              </w:rPr>
              <w:t>$0.12</w:t>
            </w:r>
          </w:p>
        </w:tc>
        <w:tc>
          <w:tcPr>
            <w:tcW w:w="3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2"/>
              </w:rPr>
              <w:t>March 25, 2014</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May 13, 2014</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$0.12</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89"/>
              </w:rPr>
              <w:t>June 11, 2014</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August 19, 2014</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$0.12</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0"/>
              </w:rPr>
              <w:t>September 8, 2014</w:t>
            </w:r>
          </w:p>
        </w:tc>
      </w:tr>
      <w:tr>
        <w:trPr>
          <w:trHeight w:val="24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November 19, 2014</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December 5, 2014</w:t>
            </w:r>
          </w:p>
        </w:tc>
      </w:tr>
      <w:tr>
        <w:trPr>
          <w:trHeight w:val="250"/>
        </w:trPr>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r>
      <w:tr>
        <w:trPr>
          <w:trHeight w:val="250"/>
        </w:trPr>
        <w:tc>
          <w:tcPr>
            <w:tcW w:w="3860" w:type="dxa"/>
            <w:vAlign w:val="bottom"/>
          </w:tcPr>
          <w:p>
            <w:pPr>
              <w:jc w:val="center"/>
              <w:spacing w:after="0"/>
              <w:rPr>
                <w:sz w:val="20"/>
                <w:szCs w:val="20"/>
                <w:color w:val="auto"/>
              </w:rPr>
            </w:pPr>
            <w:r>
              <w:rPr>
                <w:rFonts w:ascii="Arial" w:cs="Arial" w:eastAsia="Arial" w:hAnsi="Arial"/>
                <w:sz w:val="19"/>
                <w:szCs w:val="19"/>
                <w:color w:val="auto"/>
                <w:w w:val="91"/>
              </w:rPr>
              <w:t>February 26,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March 13, 2015</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May 5,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3"/>
              </w:rPr>
              <w:t>May 21, 2015</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89"/>
              </w:rPr>
              <w:t>June 19,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1"/>
              </w:rPr>
              <w:t>$0.510417</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1"/>
              </w:rPr>
              <w:t>July 1, 2015</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2"/>
              </w:rPr>
              <w:t>August 5,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3"/>
              </w:rPr>
              <w:t>August 20, 2015</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0"/>
              </w:rPr>
              <w:t>September 18,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0"/>
              </w:rPr>
              <w:t>0.546875</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October 1, 2015</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November 4, 2015</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November 19, 2015</w:t>
            </w:r>
          </w:p>
        </w:tc>
      </w:tr>
      <w:tr>
        <w:trPr>
          <w:trHeight w:val="24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November 17, 2015</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tcBorders>
              <w:bottom w:val="single" w:sz="8" w:color="auto"/>
            </w:tcBorders>
            <w:gridSpan w:val="2"/>
          </w:tcPr>
          <w:p>
            <w:pPr>
              <w:jc w:val="center"/>
              <w:ind w:left="223"/>
              <w:spacing w:after="0"/>
              <w:rPr>
                <w:sz w:val="20"/>
                <w:szCs w:val="20"/>
                <w:color w:val="auto"/>
              </w:rPr>
            </w:pPr>
            <w:r>
              <w:rPr>
                <w:rFonts w:ascii="Arial" w:cs="Arial" w:eastAsia="Arial" w:hAnsi="Arial"/>
                <w:sz w:val="19"/>
                <w:szCs w:val="19"/>
                <w:color w:val="auto"/>
                <w:w w:val="91"/>
              </w:rPr>
              <w:t>$0.546875</w:t>
            </w: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January 4, 2016</w:t>
            </w:r>
          </w:p>
        </w:tc>
      </w:tr>
      <w:tr>
        <w:trPr>
          <w:trHeight w:val="250"/>
        </w:trPr>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r>
      <w:tr>
        <w:trPr>
          <w:trHeight w:val="250"/>
        </w:trPr>
        <w:tc>
          <w:tcPr>
            <w:tcW w:w="3860" w:type="dxa"/>
            <w:vAlign w:val="bottom"/>
          </w:tcPr>
          <w:p>
            <w:pPr>
              <w:jc w:val="center"/>
              <w:spacing w:after="0"/>
              <w:rPr>
                <w:sz w:val="20"/>
                <w:szCs w:val="20"/>
                <w:color w:val="auto"/>
              </w:rPr>
            </w:pPr>
            <w:r>
              <w:rPr>
                <w:rFonts w:ascii="Arial" w:cs="Arial" w:eastAsia="Arial" w:hAnsi="Arial"/>
                <w:sz w:val="19"/>
                <w:szCs w:val="19"/>
                <w:color w:val="auto"/>
                <w:w w:val="91"/>
              </w:rPr>
              <w:t>February 24,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March 17,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2"/>
              </w:rPr>
              <w:t>March 11,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1"/>
              </w:rPr>
              <w:t>$0.546875</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7"/>
              </w:rPr>
              <w:t>April 1,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May 5,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3"/>
              </w:rPr>
              <w:t>May 26,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May 5,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1"/>
              </w:rPr>
              <w:t>$0.546875</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1"/>
              </w:rPr>
              <w:t>July 1,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2"/>
              </w:rPr>
              <w:t>August 3,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3"/>
              </w:rPr>
              <w:t>August 25,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0"/>
              </w:rPr>
              <w:t>September 14,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1"/>
              </w:rPr>
              <w:t>$0.546875</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October 3, 2016</w:t>
            </w:r>
          </w:p>
        </w:tc>
      </w:tr>
      <w:tr>
        <w:trPr>
          <w:trHeight w:val="243"/>
        </w:trPr>
        <w:tc>
          <w:tcPr>
            <w:tcW w:w="3860" w:type="dxa"/>
            <w:vAlign w:val="bottom"/>
          </w:tcPr>
          <w:p>
            <w:pPr>
              <w:jc w:val="center"/>
              <w:spacing w:after="0"/>
              <w:rPr>
                <w:sz w:val="20"/>
                <w:szCs w:val="20"/>
                <w:color w:val="auto"/>
              </w:rPr>
            </w:pPr>
            <w:r>
              <w:rPr>
                <w:rFonts w:ascii="Arial" w:cs="Arial" w:eastAsia="Arial" w:hAnsi="Arial"/>
                <w:sz w:val="19"/>
                <w:szCs w:val="19"/>
                <w:color w:val="auto"/>
                <w:w w:val="93"/>
              </w:rPr>
              <w:t>November 2,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95"/>
              </w:rPr>
              <w:t>Common</w:t>
            </w:r>
          </w:p>
        </w:tc>
        <w:tc>
          <w:tcPr>
            <w:tcW w:w="202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$0.14</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2"/>
              </w:rPr>
              <w:t>November 24, 2016</w:t>
            </w:r>
          </w:p>
        </w:tc>
      </w:tr>
      <w:tr>
        <w:trPr>
          <w:trHeight w:val="247"/>
        </w:trPr>
        <w:tc>
          <w:tcPr>
            <w:tcW w:w="3860" w:type="dxa"/>
            <w:vAlign w:val="bottom"/>
          </w:tcPr>
          <w:p>
            <w:pPr>
              <w:jc w:val="center"/>
              <w:spacing w:after="0"/>
              <w:rPr>
                <w:sz w:val="20"/>
                <w:szCs w:val="20"/>
                <w:color w:val="auto"/>
              </w:rPr>
            </w:pPr>
            <w:r>
              <w:rPr>
                <w:rFonts w:ascii="Arial" w:cs="Arial" w:eastAsia="Arial" w:hAnsi="Arial"/>
                <w:sz w:val="19"/>
                <w:szCs w:val="19"/>
                <w:color w:val="auto"/>
                <w:w w:val="92"/>
              </w:rPr>
              <w:t>November 17, 2016</w:t>
            </w:r>
          </w:p>
        </w:tc>
        <w:tc>
          <w:tcPr>
            <w:tcW w:w="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9"/>
                <w:szCs w:val="19"/>
                <w:color w:val="auto"/>
                <w:w w:val="88"/>
              </w:rPr>
              <w:t>Preference</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1"/>
              </w:rPr>
              <w:t>$0.546875</w:t>
            </w:r>
          </w:p>
        </w:tc>
        <w:tc>
          <w:tcPr>
            <w:tcW w:w="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89"/>
              </w:rPr>
              <w:t>January 3,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-3003550</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-2677795</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-2351405</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-2042795</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-1734185</wp:posOffset>
            </wp:positionV>
            <wp:extent cx="72466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-1408430</wp:posOffset>
            </wp:positionV>
            <wp:extent cx="72466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-1082675</wp:posOffset>
            </wp:positionV>
            <wp:extent cx="72466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-773430</wp:posOffset>
            </wp:positionV>
            <wp:extent cx="72466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3119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Borrowings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9,133</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9,719</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9,720</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27940</wp:posOffset>
            </wp:positionV>
            <wp:extent cx="7461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39,840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33655</wp:posOffset>
            </wp:positionV>
            <wp:extent cx="7461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11,270</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11,270</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2,347</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11,270</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11,270</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13335</wp:posOffset>
            </wp:positionV>
            <wp:extent cx="7461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33655</wp:posOffset>
            </wp:positionV>
            <wp:extent cx="746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11,270</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11,277</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2,516</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11,277</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2,516</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11,277</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13335</wp:posOffset>
            </wp:positionV>
            <wp:extent cx="7461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55,164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33655</wp:posOffset>
            </wp:positionV>
            <wp:extent cx="7461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728" w:lineRule="exact"/>
        <w:rPr>
          <w:sz w:val="20"/>
          <w:szCs w:val="20"/>
          <w:color w:val="auto"/>
        </w:rPr>
      </w:pPr>
    </w:p>
    <w:p>
      <w:pPr>
        <w:sectPr>
          <w:pgSz w:w="11900" w:h="16838" w:orient="portrait"/>
          <w:cols w:equalWidth="0" w:num="2">
            <w:col w:w="10080" w:space="720"/>
            <w:col w:w="520"/>
          </w:cols>
          <w:pgMar w:left="240" w:top="585" w:right="339" w:bottom="1440" w:gutter="0" w:footer="0" w:header="0"/>
          <w:type w:val="continuous"/>
        </w:sectPr>
      </w:pPr>
    </w:p>
    <w:p>
      <w:pPr>
        <w:ind w:left="360"/>
        <w:spacing w:after="0"/>
        <w:rPr>
          <w:sz w:val="20"/>
          <w:szCs w:val="20"/>
          <w:color w:val="auto"/>
        </w:rPr>
      </w:pPr>
      <w:r>
        <w:rPr>
          <w:rFonts w:ascii="Arial" w:cs="Arial" w:eastAsia="Arial" w:hAnsi="Arial"/>
          <w:sz w:val="19"/>
          <w:szCs w:val="19"/>
          <w:color w:val="auto"/>
        </w:rPr>
        <w:t>An analysis of the borrowings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34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6"/>
                <w:szCs w:val="16"/>
                <w:b w:val="1"/>
                <w:bCs w:val="1"/>
                <w:color w:val="auto"/>
              </w:rPr>
              <w:t>As of December 31,</w:t>
            </w: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0" w:type="dxa"/>
            <w:vAlign w:val="bottom"/>
            <w:tcBorders>
              <w:bottom w:val="single" w:sz="8" w:color="auto"/>
            </w:tcBorders>
          </w:tcPr>
          <w:p>
            <w:pPr>
              <w:jc w:val="right"/>
              <w:ind w:right="247"/>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267"/>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00" w:type="dxa"/>
            <w:vAlign w:val="bottom"/>
          </w:tcPr>
          <w:p>
            <w:pPr>
              <w:spacing w:after="0"/>
              <w:rPr>
                <w:sz w:val="20"/>
                <w:szCs w:val="20"/>
                <w:color w:val="auto"/>
              </w:rPr>
            </w:pPr>
          </w:p>
        </w:tc>
        <w:tc>
          <w:tcPr>
            <w:tcW w:w="8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Amounts due within one year</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645,193</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156,645</w:t>
            </w:r>
          </w:p>
        </w:tc>
      </w:tr>
      <w:tr>
        <w:trPr>
          <w:trHeight w:val="250"/>
        </w:trPr>
        <w:tc>
          <w:tcPr>
            <w:tcW w:w="500" w:type="dxa"/>
            <w:vAlign w:val="bottom"/>
          </w:tcPr>
          <w:p>
            <w:pPr>
              <w:spacing w:after="0"/>
              <w:rPr>
                <w:sz w:val="21"/>
                <w:szCs w:val="21"/>
                <w:color w:val="auto"/>
              </w:rPr>
            </w:pPr>
          </w:p>
        </w:tc>
        <w:tc>
          <w:tcPr>
            <w:tcW w:w="8060" w:type="dxa"/>
            <w:vAlign w:val="bottom"/>
            <w:gridSpan w:val="2"/>
          </w:tcPr>
          <w:p>
            <w:pPr>
              <w:spacing w:after="0"/>
              <w:rPr>
                <w:sz w:val="20"/>
                <w:szCs w:val="20"/>
                <w:color w:val="auto"/>
              </w:rPr>
            </w:pPr>
            <w:r>
              <w:rPr>
                <w:rFonts w:ascii="Arial" w:cs="Arial" w:eastAsia="Arial" w:hAnsi="Arial"/>
                <w:sz w:val="19"/>
                <w:szCs w:val="19"/>
                <w:color w:val="auto"/>
              </w:rPr>
              <w:t>Less: unamortized deferred loan issuance costs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(8,206)</w:t>
            </w:r>
          </w:p>
        </w:tc>
        <w:tc>
          <w:tcPr>
            <w:tcW w:w="30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(9,197)</w:t>
            </w:r>
          </w:p>
        </w:tc>
      </w:tr>
      <w:tr>
        <w:trPr>
          <w:trHeight w:val="243"/>
        </w:trPr>
        <w:tc>
          <w:tcPr>
            <w:tcW w:w="500" w:type="dxa"/>
            <w:vAlign w:val="bottom"/>
          </w:tcPr>
          <w:p>
            <w:pPr>
              <w:spacing w:after="0"/>
              <w:rPr>
                <w:sz w:val="21"/>
                <w:szCs w:val="21"/>
                <w:color w:val="auto"/>
              </w:rPr>
            </w:pPr>
          </w:p>
        </w:tc>
        <w:tc>
          <w:tcPr>
            <w:tcW w:w="80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Borrowings, current portion</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636,987</w:t>
            </w:r>
          </w:p>
        </w:tc>
        <w:tc>
          <w:tcPr>
            <w:tcW w:w="30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147,448</w:t>
            </w:r>
          </w:p>
        </w:tc>
      </w:tr>
      <w:tr>
        <w:trPr>
          <w:trHeight w:val="250"/>
        </w:trPr>
        <w:tc>
          <w:tcPr>
            <w:tcW w:w="500" w:type="dxa"/>
            <w:vAlign w:val="bottom"/>
          </w:tcPr>
          <w:p>
            <w:pPr>
              <w:spacing w:after="0"/>
              <w:rPr>
                <w:sz w:val="21"/>
                <w:szCs w:val="21"/>
                <w:color w:val="auto"/>
              </w:rPr>
            </w:pPr>
          </w:p>
        </w:tc>
        <w:tc>
          <w:tcPr>
            <w:tcW w:w="8060" w:type="dxa"/>
            <w:vAlign w:val="bottom"/>
            <w:gridSpan w:val="2"/>
          </w:tcPr>
          <w:p>
            <w:pPr>
              <w:spacing w:after="0"/>
              <w:rPr>
                <w:sz w:val="20"/>
                <w:szCs w:val="20"/>
                <w:color w:val="auto"/>
              </w:rPr>
            </w:pPr>
            <w:r>
              <w:rPr>
                <w:rFonts w:ascii="Arial" w:cs="Arial" w:eastAsia="Arial" w:hAnsi="Arial"/>
                <w:sz w:val="19"/>
                <w:szCs w:val="19"/>
                <w:color w:val="auto"/>
              </w:rPr>
              <w:t>Amounts due after one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1,762,580</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2,543,357</w:t>
            </w:r>
          </w:p>
        </w:tc>
      </w:tr>
      <w:tr>
        <w:trPr>
          <w:trHeight w:val="243"/>
        </w:trPr>
        <w:tc>
          <w:tcPr>
            <w:tcW w:w="500" w:type="dxa"/>
            <w:vAlign w:val="bottom"/>
          </w:tcPr>
          <w:p>
            <w:pPr>
              <w:spacing w:after="0"/>
              <w:rPr>
                <w:sz w:val="21"/>
                <w:szCs w:val="21"/>
                <w:color w:val="auto"/>
              </w:rPr>
            </w:pPr>
          </w:p>
        </w:tc>
        <w:tc>
          <w:tcPr>
            <w:tcW w:w="8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Plus: unamortized premium</w:t>
            </w:r>
            <w:r>
              <w:rPr>
                <w:rFonts w:ascii="Arial" w:cs="Arial" w:eastAsia="Arial" w:hAnsi="Arial"/>
                <w:sz w:val="10"/>
                <w:szCs w:val="10"/>
                <w:color w:val="auto"/>
              </w:rPr>
              <w:t>(1)</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2,573</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1,304</w:t>
            </w:r>
          </w:p>
        </w:tc>
      </w:tr>
      <w:tr>
        <w:trPr>
          <w:trHeight w:val="250"/>
        </w:trPr>
        <w:tc>
          <w:tcPr>
            <w:tcW w:w="500" w:type="dxa"/>
            <w:vAlign w:val="bottom"/>
          </w:tcPr>
          <w:p>
            <w:pPr>
              <w:spacing w:after="0"/>
              <w:rPr>
                <w:sz w:val="21"/>
                <w:szCs w:val="21"/>
                <w:color w:val="auto"/>
              </w:rPr>
            </w:pPr>
          </w:p>
        </w:tc>
        <w:tc>
          <w:tcPr>
            <w:tcW w:w="8060" w:type="dxa"/>
            <w:vAlign w:val="bottom"/>
            <w:gridSpan w:val="2"/>
          </w:tcPr>
          <w:p>
            <w:pPr>
              <w:spacing w:after="0"/>
              <w:rPr>
                <w:sz w:val="20"/>
                <w:szCs w:val="20"/>
                <w:color w:val="auto"/>
              </w:rPr>
            </w:pPr>
            <w:r>
              <w:rPr>
                <w:rFonts w:ascii="Arial" w:cs="Arial" w:eastAsia="Arial" w:hAnsi="Arial"/>
                <w:sz w:val="19"/>
                <w:szCs w:val="19"/>
                <w:color w:val="auto"/>
              </w:rPr>
              <w:t>Less: unamortized deferred loan issuance costs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(27,653)</w:t>
            </w:r>
          </w:p>
        </w:tc>
        <w:tc>
          <w:tcPr>
            <w:tcW w:w="30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(40,083)</w:t>
            </w:r>
          </w:p>
        </w:tc>
      </w:tr>
      <w:tr>
        <w:trPr>
          <w:trHeight w:val="243"/>
        </w:trPr>
        <w:tc>
          <w:tcPr>
            <w:tcW w:w="500" w:type="dxa"/>
            <w:vAlign w:val="bottom"/>
          </w:tcPr>
          <w:p>
            <w:pPr>
              <w:spacing w:after="0"/>
              <w:rPr>
                <w:sz w:val="21"/>
                <w:szCs w:val="21"/>
                <w:color w:val="auto"/>
              </w:rPr>
            </w:pPr>
          </w:p>
        </w:tc>
        <w:tc>
          <w:tcPr>
            <w:tcW w:w="80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Borrowings, non-current portion</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1,737,500</w:t>
            </w:r>
          </w:p>
        </w:tc>
        <w:tc>
          <w:tcPr>
            <w:tcW w:w="300" w:type="dxa"/>
            <w:vAlign w:val="bottom"/>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2,504,578</w:t>
            </w:r>
          </w:p>
        </w:tc>
      </w:tr>
      <w:tr>
        <w:trPr>
          <w:trHeight w:val="250"/>
        </w:trPr>
        <w:tc>
          <w:tcPr>
            <w:tcW w:w="500" w:type="dxa"/>
            <w:vAlign w:val="bottom"/>
          </w:tcPr>
          <w:p>
            <w:pPr>
              <w:spacing w:after="0"/>
              <w:rPr>
                <w:sz w:val="21"/>
                <w:szCs w:val="21"/>
                <w:color w:val="auto"/>
              </w:rPr>
            </w:pPr>
          </w:p>
        </w:tc>
        <w:tc>
          <w:tcPr>
            <w:tcW w:w="8060" w:type="dxa"/>
            <w:vAlign w:val="bottom"/>
            <w:gridSpan w:val="2"/>
          </w:tcPr>
          <w:p>
            <w:pPr>
              <w:spacing w:after="0"/>
              <w:rPr>
                <w:sz w:val="20"/>
                <w:szCs w:val="20"/>
                <w:color w:val="auto"/>
              </w:rPr>
            </w:pPr>
            <w:r>
              <w:rPr>
                <w:rFonts w:ascii="Arial" w:cs="Arial" w:eastAsia="Arial" w:hAnsi="Arial"/>
                <w:sz w:val="19"/>
                <w:szCs w:val="19"/>
                <w:b w:val="1"/>
                <w:bCs w:val="1"/>
                <w:color w:val="auto"/>
              </w:rPr>
              <w:t>Total</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2,374,487</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auto"/>
              </w:rPr>
              <w:t>2,652,026</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142" w:lineRule="exact"/>
        <w:rPr>
          <w:sz w:val="20"/>
          <w:szCs w:val="20"/>
          <w:color w:val="auto"/>
        </w:rPr>
      </w:pPr>
    </w:p>
    <w:p>
      <w:pPr>
        <w:ind w:left="80"/>
        <w:spacing w:after="0"/>
        <w:tabs>
          <w:tab w:leader="none" w:pos="2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6"/>
          <w:szCs w:val="16"/>
          <w:color w:val="auto"/>
        </w:rPr>
        <w:t>Refer to “Senior Unsecured Notes” disclosed below for details on the premium.</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5" w:right="3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9"/>
          <w:szCs w:val="19"/>
          <w:b w:val="1"/>
          <w:bCs w:val="1"/>
          <w:i w:val="1"/>
          <w:iCs w:val="1"/>
          <w:color w:val="auto"/>
        </w:rPr>
        <w:t>Bank Loans-secured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Terminated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Danish Ship Finance A/S loan</w:t>
      </w:r>
    </w:p>
    <w:p>
      <w:pPr>
        <w:spacing w:after="0" w:line="125" w:lineRule="exact"/>
        <w:rPr>
          <w:sz w:val="20"/>
          <w:szCs w:val="20"/>
          <w:color w:val="auto"/>
        </w:rPr>
      </w:pPr>
    </w:p>
    <w:p>
      <w:pPr>
        <w:jc w:val="both"/>
        <w:ind w:right="120" w:firstLine="357"/>
        <w:spacing w:after="0" w:line="277" w:lineRule="auto"/>
        <w:rPr>
          <w:sz w:val="20"/>
          <w:szCs w:val="20"/>
          <w:color w:val="auto"/>
        </w:rPr>
      </w:pPr>
      <w:r>
        <w:rPr>
          <w:rFonts w:ascii="Arial" w:cs="Arial" w:eastAsia="Arial" w:hAnsi="Arial"/>
          <w:sz w:val="18"/>
          <w:szCs w:val="18"/>
          <w:color w:val="auto"/>
        </w:rPr>
        <w:t>In March 2008 GAS-one Ltd. entered into a bank loan facility of up to $174,033 with Danish Ship Finance A/S in order to partially finance the construction of a LNG vessel. On March 9, 2012, GAS-one Ltd. entered into an amending and restating agreement with Danish Ship Finance A/S. The amendment defined that the guarantors were GasLog and GasLog Carriers Ltd. The outstanding loan balance as of December 31, 2015 was $119,649. Additionally, as of December 31, 2015, pursuant to the aforementioned credit facility, $20,000 was presented under restricted cash due to the fact that the vessel’s new charter party was not considered an approved charter by the lenders.</w:t>
      </w:r>
    </w:p>
    <w:p>
      <w:pPr>
        <w:spacing w:after="0" w:line="6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On July 25, 2016, pursuant to the credit agreement entered into by GasLog with a number of international banks to refinance the existing indebtedness on eight of its on-the-water vessels of up to $1,050,000 (the “Legacy Facility Refinancing”, please refer to (l) below), the outstanding balance under the GAS-one Ltd. credit facility of $115,523 was fully repaid.</w:t>
      </w:r>
    </w:p>
    <w:p>
      <w:pPr>
        <w:spacing w:after="0" w:line="278" w:lineRule="exact"/>
        <w:rPr>
          <w:sz w:val="20"/>
          <w:szCs w:val="20"/>
          <w:color w:val="auto"/>
        </w:rPr>
      </w:pPr>
    </w:p>
    <w:p>
      <w:pPr>
        <w:ind w:right="100" w:firstLine="8"/>
        <w:spacing w:after="0" w:line="289" w:lineRule="auto"/>
        <w:tabs>
          <w:tab w:leader="none" w:pos="286"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DNB Bank ASA, UBS AG, National Bank of Greece S.A., Commonwealth Bank of Australia and Skandinaviska Enskilda Banken AB (publ) loan</w:t>
      </w:r>
    </w:p>
    <w:p>
      <w:pPr>
        <w:spacing w:after="0" w:line="47"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On May 17, 2013, GAS-two Ltd. signed a loan agreement with DNB Bank ASA, acting through its London Branch, UBS AG, National Bank of Greece S.A., Commonwealth Bank of Australia and Skandinaviska Enskilda Banken AB (publ) for a term loan facility of up to $110,000 and a revolving credit facility of up to $50,000 for the purpose of refinancing the facility of GAS-two Ltd. with DnB Nor Bank ASA, National Bank of Greece and UBS AG which was due to mature in March 2014 and for general corporate purposes. As of December 31, 2015, the balance outstanding under the revolving facility was $42,175, while the term loan balance outstanding was $85,000. Additionally, as of December 31, 2015, GAS-two Ltd. had classified in restricted cash an amount of $718 representing the 90% of its free cash pursuant to a specific clause in its loan agreement requiring such restricted cash in the event that the charterer has not exercised its option to extend the charter, with effect on and from 12 months prior to expiry of the charter.</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GAS-two Ltd.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credit facility of $122,175 was fully repaid.</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 Nordea Bank Finland PLC, ABN Amro Bank N.V. and Citibank International PLC syndicated loan</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 xml:space="preserve">On October 3, 2011, GAS-five Ltd. and GAS-six Ltd. entered into a loan agreement of up to $277,000 with Nordea Bank Finland PLC, ABN Amro Bank N.V. and Citibank International PLC in order to partially finance the acquisition of two LNG vessels. The loan agreement provided for two equal tranches that were drawn on May 24, 2013 and July 19, 2013 for the financing of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respectively. In connection with the GasLog Partners’ IPO on May 12, 2014, the credit facility entered was amended to, among other things, (1) divide the facility into two separate facilities on substantially the same terms as the initial facility, with one of the facilities executed by GAS-five Ltd. for the portion allocated to the </w:t>
      </w:r>
      <w:r>
        <w:rPr>
          <w:rFonts w:ascii="Arial" w:cs="Arial" w:eastAsia="Arial" w:hAnsi="Arial"/>
          <w:sz w:val="18"/>
          <w:szCs w:val="18"/>
          <w:i w:val="1"/>
          <w:iCs w:val="1"/>
          <w:color w:val="auto"/>
        </w:rPr>
        <w:t>GasLog Sydney</w:t>
      </w:r>
      <w:r>
        <w:rPr>
          <w:rFonts w:ascii="Arial" w:cs="Arial" w:eastAsia="Arial" w:hAnsi="Arial"/>
          <w:sz w:val="18"/>
          <w:szCs w:val="18"/>
          <w:color w:val="auto"/>
        </w:rPr>
        <w:t>, (2) permit GasLog’s contribution of GAS-five Ltd. to the Partnership and (3) add GasLog Partners Holdings LLC as a guarantor and remove GasLog Carriers Ltd., a wholly owned subsidiary of GasLog, as guarantor in connection with the GAS-five Ltd. facility. In connection with these amendments, the Partnership prepaid $82,634 of the new GAS-five Ltd. facility with proceeds of the initial public offering. On November 19, 2014, the outstanding amount of $48,225 under the GAS-five Ltd. credit facility was fully repaid. The balance outstanding as of December 31, 2015 of the GAS-six Ltd. credit facility was $120,169.</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68" w:name="page169"/>
    <w:bookmarkEnd w:id="168"/>
    <w:p>
      <w:pPr>
        <w:ind w:left="360"/>
        <w:spacing w:after="0"/>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GAS-six Ltd.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credit facility of $116,096 was fully repaid.</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Credit Suisse AG</w:t>
      </w:r>
    </w:p>
    <w:p>
      <w:pPr>
        <w:spacing w:after="0" w:line="125"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agreement provided for a single tranche that was drawn on December 4, 2013 for the financing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Seattle. </w:t>
      </w:r>
      <w:r>
        <w:rPr>
          <w:rFonts w:ascii="Arial" w:cs="Arial" w:eastAsia="Arial" w:hAnsi="Arial"/>
          <w:sz w:val="18"/>
          <w:szCs w:val="18"/>
          <w:color w:val="auto"/>
        </w:rPr>
        <w:t>The loan bore interest at LIBOR plus a margin. The balance outstanding as of December 31, 2015 was $128,000.</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25, 2016, pursuant to the Legacy Facility Refinancing (please refer to (l) below), the outstanding balance under the GAS-seven Ltd.</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credit facility of $124,000 was fully repaid.</w:t>
      </w:r>
    </w:p>
    <w:p>
      <w:pPr>
        <w:spacing w:after="0" w:line="300" w:lineRule="exact"/>
        <w:rPr>
          <w:sz w:val="20"/>
          <w:szCs w:val="20"/>
          <w:color w:val="auto"/>
        </w:rPr>
      </w:pPr>
    </w:p>
    <w:p>
      <w:pPr>
        <w:ind w:right="280" w:firstLine="8"/>
        <w:spacing w:after="0" w:line="289" w:lineRule="auto"/>
        <w:tabs>
          <w:tab w:leader="none" w:pos="264"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DnB Bank ASA, Commonwealth Bank of Australia, Danish Ship Finance A/S, ING Bank N.V. and Skandinaviska Enskilda Banken AB (publ)</w:t>
      </w:r>
    </w:p>
    <w:p>
      <w:pPr>
        <w:spacing w:after="0" w:line="47"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 xml:space="preserve">On December 23, 2011, GAS-eight Ltd., GAS-nine Ltd. and GAS-ten Ltd. entered into a loan agreement (the “Principal Agreement”) for a senior secured credit facility of up to $435,000 with DnB Bank ASA, Commonwealth Bank of Australia, Danish Ship Finance A/S, ING Bank N.V. and Skandinaviska Enskilda Banken AB (publ) for the purpose of financing three of the newbuilding vessels. The loan agreement provided for three tranches, to be drawn upon delivery of each newbuilding vessel. On June 24, 2014, GAS-eight Ltd. drew down $143,000 from the loan facility, to partially finance the delivery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on December 10, 2014, GAS-nine Ltd. drew down $146,000 from the loan facility to partially finance the delivery of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and on April 24, 2015, GAS-ten Ltd. drew down $146,000 from the loan facility to partially finance the delivery of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The aggregate outstanding balance as of December 31, 2015 was $410,880.</w:t>
      </w:r>
    </w:p>
    <w:p>
      <w:pPr>
        <w:spacing w:after="0" w:line="67" w:lineRule="exact"/>
        <w:rPr>
          <w:sz w:val="20"/>
          <w:szCs w:val="20"/>
          <w:color w:val="auto"/>
        </w:rPr>
      </w:pPr>
    </w:p>
    <w:p>
      <w:pPr>
        <w:ind w:right="260" w:firstLine="357"/>
        <w:spacing w:after="0" w:line="256" w:lineRule="auto"/>
        <w:rPr>
          <w:sz w:val="20"/>
          <w:szCs w:val="20"/>
          <w:color w:val="auto"/>
        </w:rPr>
      </w:pPr>
      <w:r>
        <w:rPr>
          <w:rFonts w:ascii="Arial" w:cs="Arial" w:eastAsia="Arial" w:hAnsi="Arial"/>
          <w:sz w:val="19"/>
          <w:szCs w:val="19"/>
          <w:color w:val="auto"/>
        </w:rPr>
        <w:t>On October 23, 2014, GasLog received a waiver letter from DNB Bank ASA, acting as agent of the loan facility of GAS-eight Ltd., GAS-nine Ltd. and GAS-ten Ltd., relating to the failure of GAS-nine Ltd. and GAS-ten Ltd. to secure relevant charter parties as required by the aforementioned loan facility. The waiver permitted (subject to proper documentation being executed) the drawdown of the relevant tranches notwithstanding that the charter arrangements had not been secured. Subsequent to the waiver letter, on December 2, 2014 a supplemental deed was signed with the lenders which among other amendments to the Principal Agreement requested for an amount of $21,000 per vessel to be maintained in blocked accounts until the time that an acceptable charter party agreement had been entered into after the delivery dates of the respective vessels. As of December 31, 2015, the amounts held in blocked accounts of $42,000 were classified as restricted cash under current assets (Note 8).</w:t>
      </w:r>
    </w:p>
    <w:p>
      <w:pPr>
        <w:spacing w:after="0" w:line="80"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On February 25, 2016, a supplemental deed was signed with the lenders of the GAS-eight Ltd., GAS-nine Ltd. and GAS-ten Ltd. loan facility, permitting GasLog to withdraw the $21,000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$21,000 each. The bank guarantees bore interest at a margin and were available for a period of up to two years.</w:t>
      </w:r>
    </w:p>
    <w:p>
      <w:pPr>
        <w:spacing w:after="0" w:line="77"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On July 25, 2016, pursuant to the Legacy Facility Refinancing (please refer to (l) below), the aggregate outstanding balance under the credit facility of GAS-eight Ltd., GAS-nine Ltd. and GAS-ten Ltd. of $398,780 was fully repaid. Also, on July 26, 2016, the bank guarantees issued by BNP Paribas S.A. were terminated.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b w:val="1"/>
          <w:bCs w:val="1"/>
          <w:color w:val="auto"/>
        </w:rPr>
        <w:t>(f) Citibank N.A., London Branch, Citibank International Plc. and DVB America N.V.</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 xml:space="preserve">On September 25, 2013, GAS-fifteen Ltd. signed a loan agreement with Citibank N.A., London Branch and Citibank International Plc., for a term loan facility of $100,000 to partially finance the acquisition of the </w:t>
      </w:r>
      <w:r>
        <w:rPr>
          <w:rFonts w:ascii="Arial" w:cs="Arial" w:eastAsia="Arial" w:hAnsi="Arial"/>
          <w:sz w:val="19"/>
          <w:szCs w:val="19"/>
          <w:i w:val="1"/>
          <w:iCs w:val="1"/>
          <w:color w:val="auto"/>
        </w:rPr>
        <w:t>GasLog Chelsea</w:t>
      </w:r>
      <w:r>
        <w:rPr>
          <w:rFonts w:ascii="Arial" w:cs="Arial" w:eastAsia="Arial" w:hAnsi="Arial"/>
          <w:sz w:val="19"/>
          <w:szCs w:val="19"/>
          <w:color w:val="auto"/>
        </w:rPr>
        <w:t xml:space="preserve"> drawn on September 26, 2013. In October 2013, Citibank International Plc., the existing lender of the GAS-fifteen Ltd. facility, transferred $50,000 of the outstanding facility to DVB Bank America N.V. The balance outstanding as of December 31, 2015 was $86,660.</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25, 2016, pursuant to the Legacy Facility Refinancing (please refer to (l) below), the outstanding balance under the GAS-fifteen Ltd.</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credit facility of $83,325 was fully repaid.</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 Citibank, N. A. London Branch</w:t>
      </w:r>
    </w:p>
    <w:p>
      <w:pPr>
        <w:spacing w:after="0" w:line="112"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 xml:space="preserve">On April 1, 2014, in connection with the acquisition of the three LNG carriers from BG Group (Note 6), GAS-sixteen Ltd., GAS-seventeen Ltd. and GAS-eighteen Ltd. signed a loan agreement of $325,500 with Citibank, N.A. London Branch acting as security agent and trustee for and on behalf of the other finance parties. The loan had a two year maturity without intermediate payments bearing interest at LIBOR plus a margin and was drawn on April 9, 2014, to partially finance the deliveries of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Lydon Volney. </w:t>
      </w:r>
      <w:r>
        <w:rPr>
          <w:rFonts w:ascii="Arial" w:cs="Arial" w:eastAsia="Arial" w:hAnsi="Arial"/>
          <w:sz w:val="18"/>
          <w:szCs w:val="18"/>
          <w:color w:val="auto"/>
        </w:rPr>
        <w:t>In connection with the closing of the Partnership’s acquisition of the two entities that own the</w:t>
      </w:r>
      <w:r>
        <w:rPr>
          <w:rFonts w:ascii="Arial" w:cs="Arial" w:eastAsia="Arial" w:hAnsi="Arial"/>
          <w:sz w:val="18"/>
          <w:szCs w:val="18"/>
          <w:i w:val="1"/>
          <w:iCs w:val="1"/>
          <w:color w:val="auto"/>
        </w:rPr>
        <w:t xml:space="preserve"> Methane Rita Andrea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Jane Elizabeth </w:t>
      </w:r>
      <w:r>
        <w:rPr>
          <w:rFonts w:ascii="Arial" w:cs="Arial" w:eastAsia="Arial" w:hAnsi="Arial"/>
          <w:sz w:val="18"/>
          <w:szCs w:val="18"/>
          <w:color w:val="auto"/>
        </w:rPr>
        <w:t>on September 29, 2014, GasLog entered into a supplemental deed to the facility agreement dated April 1, 2014 that,</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permitted the Partnership (or its subsidiary) to acquire GAS-sixteen Ltd. and GAS-seventeen Ltd. from GasLog and required, as a condition precedent to such acquisition, the Partnership and GasLog Partners Holdings LLC to guarantee the obligors obligations under the facility. The debt of $217,000 was assumed by the Partnership for the acquisition of GAS-sixteen Ltd. and GAS-seventeen Ltd. On October 9, 2014, the Partnership prepaid $25,000 from the proceeds of the follow-on equity offering. The assumed balance of $192,000 was fully repaid on November 19, 2014. The balance outstanding as of December 31, 2015 related to GAS-eighteen Ltd. was $108,500 and was repayable in full in April 2016 without intermediate payments.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May 14, 2014, in connection with the acquisition of the three additional LNG carriers from BG Group (Note 6), GAS-nineteen Ltd., GAS-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twenty Ltd. and GAS-twenty one Ltd. signed a loan agreement of $325,500 with Citibank N.A. London Branch, acting as security agent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trustee for and on behalf of the other finance parties. The loan had a two-year maturity without intermediate payments bearing interest at LIBOR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plus a margin and $108,500 was drawn on June 3, 2014, on June 10, 2014 and on June 24, 2014 to partially finance the deliveries of the </w:t>
      </w:r>
      <w:r>
        <w:rPr>
          <w:rFonts w:ascii="Arial" w:cs="Arial" w:eastAsia="Arial" w:hAnsi="Arial"/>
          <w:sz w:val="17"/>
          <w:szCs w:val="17"/>
          <w:i w:val="1"/>
          <w:iCs w:val="1"/>
          <w:color w:val="auto"/>
        </w:rPr>
        <w:t>Methane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Alison Victoria </w:t>
      </w:r>
      <w:r>
        <w:rPr>
          <w:rFonts w:ascii="Arial" w:cs="Arial" w:eastAsia="Arial" w:hAnsi="Arial"/>
          <w:sz w:val="18"/>
          <w:szCs w:val="18"/>
          <w:color w:val="auto"/>
        </w:rPr>
        <w:t>respectively. In connection with the closing of the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acquisition of the three entities that own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on July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2015, GasLog Partners and GasLog Partners Holdings LLC were added as corporate guarantors in addition to GasLog, for the respective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facility, replacing a previous guarantor, GasLog Carriers Ltd. The debt of $325,500 was assumed by the Partnership for the acquisition of GAS-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nineteen Ltd., GAS-twenty Ltd. and GAS-twenty one Ltd. Using the proceeds of the equity offering completed in June 2015, GasLog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prepaid $10,000 of the GAS-nineteen Ltd. tranche on September 4, 2015, $5,000 of the GAS-twenty Ltd. tranche on December 10, 2015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$5,000 of the GAS-twenty one Ltd. tranche on December 29, 2015. The aggregate balance outstanding under the facility as of December 31, 2015,</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was $305,500 and repayable in full in June 2016 without intermediate payments.</w:t>
      </w:r>
    </w:p>
    <w:p>
      <w:pPr>
        <w:spacing w:after="0" w:line="103"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On April 5, 2016, pursuant to the credit agreements entered into by GasLog to refinance the debt maturities that were scheduled to become due in 2016 and 2017 (the “Five Vessel Refinancing”, please refer to (k) below), the outstanding balances under the GAS-eighteen Ltd. credit facility and the GAS-nineteen Ltd., GAS-twenty Ltd. and GAS-twenty one Ltd. credit facility of $108,500 and $305,500, respectively, were fully repaid.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170" w:name="page171"/>
    <w:bookmarkEnd w:id="170"/>
    <w:p>
      <w:pPr>
        <w:ind w:right="540" w:firstLine="8"/>
        <w:spacing w:after="0" w:line="289" w:lineRule="auto"/>
        <w:tabs>
          <w:tab w:leader="none" w:pos="286"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ABN Amro Bank N.V., Commonwealth Bank of Australia, Credit Agricole Corporate and Investment Bank, Deutsche Bank AG Filiale Deutschlandgeschäft and DNB Bank ASA, London Branch and ING Bank N.V., London Branch</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25, 2015, GAS-twenty six Ltd. and GAS-twenty seven Ltd. entered into a senior secured term loan facility of up to $325,000 with</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ABN Amro Bank N.V., Commonwealth Bank of Australia, Credit Agricole Corporate and Investment Bank, Deutsche Bank AG Filiale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Deutschlandgeschäft, DNB Bank ASA, London Branch and ING Bank N.V., London Branch, and a subordinated term loan facility of up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$135,000 with ABN Amro Bank N.V., Credit Agricole Corporate and Investment Bank, Deutsche Bank AG Filiale Deutschlandgeschäft and DNB</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Bank ASA, London Branch for the purpose of financing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(Note 6).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amounts were fully drawn on March 31, 2015. Both facilities bore interest at LIBOR plus a margin. The balance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for the senior secured term loan facility was $325,000, while the balance outstanding for the subordinated term loan facility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was $135,000.</w:t>
      </w:r>
    </w:p>
    <w:p>
      <w:pPr>
        <w:spacing w:after="0" w:line="103"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 xml:space="preserve">On February 24, 2016, following the completion of the sale and leaseback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(Note 7), $162,500 was prepaid into the senior secured term loan facility and $67,500 was prepaid into the subordinated term loan facility. Finally, on April 5, 2016, pursuant to the Five Vessel Refinancing (please refer to (k) below), the outstanding balances of $162,500 under the senior secured term loan facility and $67,500 under the subordinated term loan facility were fully repaid.</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Existing facilities:</w:t>
      </w:r>
    </w:p>
    <w:p>
      <w:pPr>
        <w:spacing w:after="0" w:line="187" w:lineRule="exact"/>
        <w:rPr>
          <w:sz w:val="20"/>
          <w:szCs w:val="20"/>
          <w:color w:val="auto"/>
        </w:rPr>
      </w:pPr>
    </w:p>
    <w:p>
      <w:pPr>
        <w:ind w:right="640" w:firstLine="8"/>
        <w:spacing w:after="0" w:line="289" w:lineRule="auto"/>
        <w:tabs>
          <w:tab w:leader="none" w:pos="232"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Citibank, Nordea Bank Finland plc, London Branch, DVB Bank America N.V., ABN Amro Bank N.V., Skandinaviska Enskilda Banken AB and BNP Paribas</w:t>
      </w:r>
    </w:p>
    <w:p>
      <w:pPr>
        <w:spacing w:after="0" w:line="47"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and GasLog Partners Holdings LLC entered in a loan agreement with Citibank acting as security agent and trustee for and on behalf of the other finance parties mentioned above, for a credit facility for up to $450,000 (the “GasLog Partners’ Credit Facility”) for the purpose of refinancing in full the existing debt facilities. The agreement provides for a single tranche that was drawn on November 18, 2014. The credit facility bears interest at LIBOR plus a margin. The aforementioned refinancing was considered an extinguishment of the existing debt facilities. Consequently, the unamortized loan fees of $9,019 were written off to profit or loss for the year ended December 31, 2014.</w:t>
      </w:r>
    </w:p>
    <w:p>
      <w:pPr>
        <w:spacing w:after="0" w:line="63"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On May 8, 2015, the Partnership entered into a supplemental deed relating to its Citibank N.A. loan facility, in which the lenders unanimously approved such changes to the facility agreement as were required to reflect the changes to the charters of three vessels agreed with BG Group on April 21, 2015. As the aforementioned deed did not result in substantially different terms to the original loan agreement, the amendments were considered a modification of the existing terms. Consequently, the additional fees of $515 incurred during the year ended December 31, 2015 have been accounted for as deferred financing fees to be amortized over the remaining term of the loan facility with the effective interest method. The balance outstanding as of December 31, 2016 is $405,000 (December 31, 2015: $427,500) and is repayable in 12 equal quarterly installments of $5,625 each and a final balloon payment of $337,500 payable concurrently with the last quarterly installment in November 2019.</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1" w:name="page172"/>
    <w:bookmarkEnd w:id="171"/>
    <w:p>
      <w:pPr>
        <w:ind w:right="100" w:firstLine="8"/>
        <w:spacing w:after="0" w:line="264" w:lineRule="auto"/>
        <w:tabs>
          <w:tab w:leader="none" w:pos="242"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w:t>
      </w:r>
    </w:p>
    <w:p>
      <w:pPr>
        <w:spacing w:after="0" w:line="71"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On October 16, 2015, GAS -eleven Ltd., GAS-twelve Ltd., GAS-thirteen Ltd., GAS-fourteen Ltd., GAS-twenty two Ltd., GAS-twenty three Ltd., GAS-twenty four Ltd. and GAS-twenty five Ltd. entered into a debt financing agreement with 14 international banks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77" w:lineRule="exact"/>
        <w:rPr>
          <w:sz w:val="20"/>
          <w:szCs w:val="20"/>
          <w:color w:val="auto"/>
        </w:rPr>
      </w:pPr>
    </w:p>
    <w:p>
      <w:pPr>
        <w:ind w:right="80" w:firstLine="357"/>
        <w:spacing w:after="0" w:line="288" w:lineRule="auto"/>
        <w:rPr>
          <w:sz w:val="20"/>
          <w:szCs w:val="20"/>
          <w:color w:val="auto"/>
        </w:rPr>
      </w:pPr>
      <w:r>
        <w:rPr>
          <w:rFonts w:ascii="Arial" w:cs="Arial" w:eastAsia="Arial" w:hAnsi="Arial"/>
          <w:sz w:val="17"/>
          <w:szCs w:val="17"/>
          <w:color w:val="auto"/>
        </w:rPr>
        <w:t xml:space="preserve">The loan agreement provides for four tranches of $412,458, $201,094, $206,115 and $491,690.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$162,967 were drawn down on each date with respect to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while on September 26, 2016 and October 25, 2016, $160,697 were drawn down on each date with respect to the deliveries of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The aggregate balance outstanding under the loan facility as of December 31, 2016 was $635,783. Amounts drawn bear interest at LIBOR plus a margin. The four vessel-owning entities that made the drawdowns are also required to maintain at all times minimum liquidity of $1,500 and are in compliance as of December 31, 2016.</w:t>
      </w:r>
    </w:p>
    <w:p>
      <w:pPr>
        <w:spacing w:after="0" w:line="58"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As of December 31, 2016, commitment, arrangement, coordination, agency, bookrunner and legal fees of $12,045 for obtaining the undrawn portion of the financing (December 31, 2015: $17,874) are classified under Deferred financing costs in the statement of financial position and will be reclassified contra debt on the respective drawdown dates.</w:t>
      </w:r>
    </w:p>
    <w:p>
      <w:pPr>
        <w:spacing w:after="0" w:line="264" w:lineRule="exact"/>
        <w:rPr>
          <w:sz w:val="20"/>
          <w:szCs w:val="20"/>
          <w:color w:val="auto"/>
        </w:rPr>
      </w:pPr>
    </w:p>
    <w:p>
      <w:pPr>
        <w:ind w:right="560" w:firstLine="8"/>
        <w:spacing w:after="0" w:line="289" w:lineRule="auto"/>
        <w:tabs>
          <w:tab w:leader="none" w:pos="286"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ABN AMRO Bank N.V., DNB (UK) Ltd., DVB Bank America N.V., Commonwealth Bank of Australia, ING Bank N.V., London Branch, Credit Agricole Corporate and Investment Bank and National Australia Bank Limited</w:t>
      </w:r>
    </w:p>
    <w:p>
      <w:pPr>
        <w:spacing w:after="0" w:line="47"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 xml:space="preserve">On February 18, 2016, GAS-eighteen Ltd., GAS-nineteen Ltd., GAS-twenty Ltd., GAS-twenty one Ltd. and GAS-twenty seven Ltd. entered into the Five Vessel Refinancing to refinance the debt maturities that were scheduled to become due in 2016 and 2017. The Five Vessel Refinancing comprises a five-year senior tranche facility of up to $396,500 and a two-year bullet junior tranche facility of up to $180,000. The vessels covered by the Five Vessel Refinancing are the GasLog Partners-owned </w:t>
      </w:r>
      <w:r>
        <w:rPr>
          <w:rFonts w:ascii="Arial" w:cs="Arial" w:eastAsia="Arial" w:hAnsi="Arial"/>
          <w:sz w:val="19"/>
          <w:szCs w:val="19"/>
          <w:i w:val="1"/>
          <w:iCs w:val="1"/>
          <w:color w:val="auto"/>
        </w:rPr>
        <w:t>Methane Alison Victoria</w:t>
      </w:r>
      <w:r>
        <w:rPr>
          <w:rFonts w:ascii="Arial" w:cs="Arial" w:eastAsia="Arial" w:hAnsi="Arial"/>
          <w:sz w:val="19"/>
          <w:szCs w:val="19"/>
          <w:color w:val="auto"/>
        </w:rPr>
        <w:t xml:space="preserve">, </w:t>
      </w:r>
      <w:r>
        <w:rPr>
          <w:rFonts w:ascii="Arial" w:cs="Arial" w:eastAsia="Arial" w:hAnsi="Arial"/>
          <w:sz w:val="19"/>
          <w:szCs w:val="19"/>
          <w:i w:val="1"/>
          <w:iCs w:val="1"/>
          <w:color w:val="auto"/>
        </w:rPr>
        <w:t>Methane Shirley Elisabeth</w:t>
      </w:r>
      <w:r>
        <w:rPr>
          <w:rFonts w:ascii="Arial" w:cs="Arial" w:eastAsia="Arial" w:hAnsi="Arial"/>
          <w:sz w:val="19"/>
          <w:szCs w:val="19"/>
          <w:color w:val="auto"/>
        </w:rPr>
        <w:t xml:space="preserve"> and </w:t>
      </w:r>
      <w:r>
        <w:rPr>
          <w:rFonts w:ascii="Arial" w:cs="Arial" w:eastAsia="Arial" w:hAnsi="Arial"/>
          <w:sz w:val="19"/>
          <w:szCs w:val="19"/>
          <w:i w:val="1"/>
          <w:iCs w:val="1"/>
          <w:color w:val="auto"/>
        </w:rPr>
        <w:t>Methane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Heather Sally </w:t>
      </w:r>
      <w:r>
        <w:rPr>
          <w:rFonts w:ascii="Arial" w:cs="Arial" w:eastAsia="Arial" w:hAnsi="Arial"/>
          <w:sz w:val="19"/>
          <w:szCs w:val="19"/>
          <w:color w:val="auto"/>
        </w:rPr>
        <w:t>and the GasLog-owned</w:t>
      </w:r>
      <w:r>
        <w:rPr>
          <w:rFonts w:ascii="Arial" w:cs="Arial" w:eastAsia="Arial" w:hAnsi="Arial"/>
          <w:sz w:val="19"/>
          <w:szCs w:val="19"/>
          <w:i w:val="1"/>
          <w:iCs w:val="1"/>
          <w:color w:val="auto"/>
        </w:rPr>
        <w:t xml:space="preserve"> Methane Lydon Volney </w:t>
      </w:r>
      <w:r>
        <w:rPr>
          <w:rFonts w:ascii="Arial" w:cs="Arial" w:eastAsia="Arial" w:hAnsi="Arial"/>
          <w:sz w:val="19"/>
          <w:szCs w:val="19"/>
          <w:color w:val="auto"/>
        </w:rPr>
        <w:t>and</w:t>
      </w:r>
      <w:r>
        <w:rPr>
          <w:rFonts w:ascii="Arial" w:cs="Arial" w:eastAsia="Arial" w:hAnsi="Arial"/>
          <w:sz w:val="19"/>
          <w:szCs w:val="19"/>
          <w:i w:val="1"/>
          <w:iCs w:val="1"/>
          <w:color w:val="auto"/>
        </w:rPr>
        <w:t xml:space="preserve"> Methane Becki Anne.</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The aforementioned refinancing was considered an extinguishment of the existing debt facilities. Consequently, the unamortized loan fees of $3,046 were written off to profit or loss for the year ended December 31, 2016. Following the decrease in the aggregate available amount by $1,300, the senior tranche facility provides for four advances of $72,288 each and a fifth advance of $106,298. The first four advances shall be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72" w:name="page173"/>
    <w:bookmarkEnd w:id="172"/>
    <w:p>
      <w:pPr>
        <w:ind w:right="20"/>
        <w:spacing w:after="0" w:line="258" w:lineRule="auto"/>
        <w:rPr>
          <w:sz w:val="20"/>
          <w:szCs w:val="20"/>
          <w:color w:val="auto"/>
        </w:rPr>
      </w:pPr>
      <w:r>
        <w:rPr>
          <w:rFonts w:ascii="Arial" w:cs="Arial" w:eastAsia="Arial" w:hAnsi="Arial"/>
          <w:sz w:val="19"/>
          <w:szCs w:val="19"/>
          <w:color w:val="auto"/>
        </w:rPr>
        <w:t>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 The aggregate balance outstanding under the senior tranche as of December 31, 2016 is $383,128, while under the junior tranche the outstanding balance is $179,750. Amounts drawn bear interest at LIBOR plus a margin (variable margin for the junior tranche).</w:t>
      </w:r>
    </w:p>
    <w:p>
      <w:pPr>
        <w:spacing w:after="0" w:line="286" w:lineRule="exact"/>
        <w:rPr>
          <w:sz w:val="20"/>
          <w:szCs w:val="20"/>
          <w:color w:val="auto"/>
        </w:rPr>
      </w:pPr>
    </w:p>
    <w:p>
      <w:pPr>
        <w:ind w:right="240" w:firstLine="8"/>
        <w:spacing w:after="0" w:line="351" w:lineRule="auto"/>
        <w:tabs>
          <w:tab w:leader="none" w:pos="232"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Citigroup Global Market Limited, Credit Suisse AG, Nordea Bank AB, London Branch, Skandinaviska Enskilda Banken AB (publ), HSBC Bank plc, ING Bank N.V., London Branch, Danmarks Skibskredit A/S, Korea Development Bank and DVB Bank America N.V.</w:t>
      </w:r>
    </w:p>
    <w:p>
      <w:pPr>
        <w:spacing w:after="0" w:line="1" w:lineRule="exact"/>
        <w:rPr>
          <w:sz w:val="20"/>
          <w:szCs w:val="20"/>
          <w:color w:val="auto"/>
        </w:rPr>
      </w:pPr>
    </w:p>
    <w:p>
      <w:pPr>
        <w:ind w:right="240" w:firstLine="357"/>
        <w:spacing w:after="0" w:line="259" w:lineRule="auto"/>
        <w:rPr>
          <w:sz w:val="20"/>
          <w:szCs w:val="20"/>
          <w:color w:val="auto"/>
        </w:rPr>
      </w:pPr>
      <w:r>
        <w:rPr>
          <w:rFonts w:ascii="Arial" w:cs="Arial" w:eastAsia="Arial" w:hAnsi="Arial"/>
          <w:sz w:val="19"/>
          <w:szCs w:val="19"/>
          <w:color w:val="auto"/>
        </w:rPr>
        <w:t xml:space="preserve">On July 19, 2016, GAS-one Ltd., GAS-two Ltd., GAS-six Ltd., GAS-seven Ltd., GAS-eight Ltd., GAS-nine Ltd., GAS-ten Ltd. and GAS-fifteen Ltd. entered into the Legacy Facility Refinancing, a credit agreement to refinance the existing indebtedness on eight of GasLog’s on-the-water vessels of up to $1,050,000, extending the maturities of six existing credit facilities to 2021. The vessels covered by the Legacy Facility Refinancing are the </w:t>
      </w:r>
      <w:r>
        <w:rPr>
          <w:rFonts w:ascii="Arial" w:cs="Arial" w:eastAsia="Arial" w:hAnsi="Arial"/>
          <w:sz w:val="19"/>
          <w:szCs w:val="19"/>
          <w:i w:val="1"/>
          <w:iCs w:val="1"/>
          <w:color w:val="auto"/>
        </w:rPr>
        <w:t>GasLog Savannah</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Singapore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Skagen</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Seattle</w:t>
      </w:r>
      <w:r>
        <w:rPr>
          <w:rFonts w:ascii="Arial" w:cs="Arial" w:eastAsia="Arial" w:hAnsi="Arial"/>
          <w:sz w:val="19"/>
          <w:szCs w:val="19"/>
          <w:color w:val="auto"/>
        </w:rPr>
        <w:t xml:space="preserve">,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Saratoga</w:t>
      </w:r>
      <w:r>
        <w:rPr>
          <w:rFonts w:ascii="Arial" w:cs="Arial" w:eastAsia="Arial" w:hAnsi="Arial"/>
          <w:sz w:val="19"/>
          <w:szCs w:val="19"/>
          <w:color w:val="auto"/>
        </w:rPr>
        <w:t xml:space="preserve">, the </w:t>
      </w:r>
      <w:r>
        <w:rPr>
          <w:rFonts w:ascii="Arial" w:cs="Arial" w:eastAsia="Arial" w:hAnsi="Arial"/>
          <w:sz w:val="19"/>
          <w:szCs w:val="19"/>
          <w:i w:val="1"/>
          <w:iCs w:val="1"/>
          <w:color w:val="auto"/>
        </w:rPr>
        <w:t xml:space="preserve">GasLog Salem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GasLog Chelsea.</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Legacy Facility Refinancing is comprised of a five-year term loan facility of up to $950,000 and a revolving credit facility of up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$100,000. On July 25, 2016, the available amount of $950,000 under the term loan facility and $11,641 under the revolving credit facility were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drawn to refinance the aggregate existing indebtedness of $959,899 of GAS-one Ltd., GAS-two Ltd., GAS-six Ltd., GAS-seven Ltd., GAS-eight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Ltd., GAS-nine Ltd., GAS-ten Ltd. and GAS-fifteen Ltd. Amounts drawn bear interest at LIBOR plus a margin. The aforementioned refinancing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 considered an extinguishment of the existing debt facilities. Consequently, the unamortized loan fees of $18,215 were written off to profit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loss for the year ended December 31, 2016. The balance outstanding as of December 31, 2016 of $950,000 under the term loan facility shall be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repaid in nine semi-annual installments of $29,167 each and a balloon repayment of $687,500 five years after drawdown. The outstanding balance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under the revolving credit facility as of December 31, 2016 was $11,641, while the available amount of $88,359 can be drawn and repaid at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time until January 2021 and July 2021, respectively. The aforementioned vessel-owning entities are also required to maintain at all times minimum</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liquidity of $1,500 and are in compliance as of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covenants and guarantees</w:t>
      </w:r>
    </w:p>
    <w:p>
      <w:pPr>
        <w:spacing w:after="0" w:line="119"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 xml:space="preserve">The obligations under the aforementioned facilities, with the exception of the junior tranche loan facility under the Five Vessel Refinancing,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In relation to the junior tranche loan facility drawn under the Five Vessel Refinancing, this is secured by second priority mortgage and assignments. Obligations under the GasLog Partners Credit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and by GasLog Carriers Ltd. for up to the value of the commitments on the remaining vessels,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Legacy Facility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by GasLog Carriers Ltd. for up to the value of the commitments on the remaining vessels, while obligations under the fourth facility are guaranteed by GasLog and GasLog Carriers Ltd. The facilities include customary respective covenants, and among other restrictions the facilities include a fair market value covenant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73" w:name="page174"/>
    <w:bookmarkEnd w:id="173"/>
    <w:p>
      <w:pPr>
        <w:ind w:right="100"/>
        <w:spacing w:after="0" w:line="259" w:lineRule="auto"/>
        <w:rPr>
          <w:sz w:val="20"/>
          <w:szCs w:val="20"/>
          <w:color w:val="auto"/>
        </w:rPr>
      </w:pPr>
      <w:r>
        <w:rPr>
          <w:rFonts w:ascii="Arial" w:cs="Arial" w:eastAsia="Arial" w:hAnsi="Arial"/>
          <w:sz w:val="19"/>
          <w:szCs w:val="19"/>
          <w:color w:val="auto"/>
        </w:rPr>
        <w:t>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the debt financing agreement entered into in October 2015, below 115% of the aggregate outstanding principal balance for the first two years after each drawdown and below 120% at any time thereafter). The Group was in compliance with the required minimum security coverage as of December 31, 2016.</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Senior Unsecured Notes</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On June 27, 2013, GasLog issued a senior unsecured bond of NOK 500,000 (or $83,206 based on the exchange rate on June 27, 2013) that will mature on June 27, 2018. On May 2, 2014, GasLog closed a follow-on issue of the Norwegian bond of NOK 500,000 (or $83,612 based on the exchange rate on closing date) at a premium of $4,180 (based on the exchange rate on closing date). On June 27, 2016, GasLog repurchased and cancelled NOK 588,000 (or $70,677) of the outstanding bonds at a price of 103.0% of par value, resulting in a loss of $2,120. Additionally, as a result of the repurchase, the unamortized bond fees and premium of $1,836 were written off to profit or loss for the year ended December 31, 2016. The total outstanding balance of the Norwegian bond, after the follow-on issue and the partial repurchase (the “2018 Bond Agreement”) amounts to NOK 412,000.</w:t>
      </w:r>
    </w:p>
    <w:p>
      <w:pPr>
        <w:spacing w:after="0" w:line="77" w:lineRule="exact"/>
        <w:rPr>
          <w:sz w:val="20"/>
          <w:szCs w:val="20"/>
          <w:color w:val="auto"/>
        </w:rPr>
      </w:pPr>
    </w:p>
    <w:p>
      <w:pPr>
        <w:ind w:right="240" w:firstLine="357"/>
        <w:spacing w:after="0" w:line="297" w:lineRule="auto"/>
        <w:rPr>
          <w:sz w:val="20"/>
          <w:szCs w:val="20"/>
          <w:color w:val="auto"/>
        </w:rPr>
      </w:pPr>
      <w:r>
        <w:rPr>
          <w:rFonts w:ascii="Arial" w:cs="Arial" w:eastAsia="Arial" w:hAnsi="Arial"/>
          <w:sz w:val="17"/>
          <w:szCs w:val="17"/>
          <w:color w:val="auto"/>
        </w:rPr>
        <w:t>The bond under the 2018 Bond Agreement bears interest at NIBOR plus margin. Interest payments shall be made in arrears on a quarterly basis. GasLog may redeem it in whole or in part as follows (Call Option): (a) with settlement date at any time from June 27, 2016 to but not including June 27, 2017 at 105.0% of par plus accrued interest on redeemed amount, (b) with settlement date at any time from June 27, 2017 to but not including December 27, 2017 at 103.0% of par plus accrued interest on redeemed amount, and (c) with settlement date at any time from December 27, 2017 to but not including the maturity date at 101.75% of par plus accrued interests on redeemed amount.</w:t>
      </w:r>
    </w:p>
    <w:p>
      <w:pPr>
        <w:spacing w:after="0" w:line="33" w:lineRule="exact"/>
        <w:rPr>
          <w:sz w:val="20"/>
          <w:szCs w:val="20"/>
          <w:color w:val="auto"/>
        </w:rPr>
      </w:pPr>
    </w:p>
    <w:p>
      <w:pPr>
        <w:ind w:right="60" w:firstLine="357"/>
        <w:spacing w:after="0" w:line="313" w:lineRule="auto"/>
        <w:rPr>
          <w:sz w:val="20"/>
          <w:szCs w:val="20"/>
          <w:color w:val="auto"/>
        </w:rPr>
      </w:pPr>
      <w:r>
        <w:rPr>
          <w:rFonts w:ascii="Arial" w:cs="Arial" w:eastAsia="Arial" w:hAnsi="Arial"/>
          <w:sz w:val="17"/>
          <w:szCs w:val="17"/>
          <w:color w:val="auto"/>
        </w:rPr>
        <w:t>On June 27, 2016, GasLog also completed the issuance of NOK 750,000 (equivalent to $90,150) of new senior unsecured bonds in the Norwegian bond market (the “2021 Bond Agreement”). The 2021 Bond Agreement matures in May 2021 and has a coupon of 6.9% over 3 month NIBOR. The proceeds from the issuance were used to partly refinance GasLog’s existing bonds maturing in June 2018, as described above.</w:t>
      </w:r>
    </w:p>
    <w:p>
      <w:pPr>
        <w:spacing w:after="0" w:line="32"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bond under the 2021 Bond Agreement bears interest at NIBOR plus margin. Interest payments are made in arrears on a quarterly basis. GasLog may redeem it in whole or in part as follows: (a) with settlement date at any time from June 27, 2019 to but not including June 27, 2020 at 104.0%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 of par plus accrued interests on redeemed amount.</w:t>
      </w:r>
    </w:p>
    <w:p>
      <w:pPr>
        <w:spacing w:after="0" w:line="62"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aggregate carrying amount under the 2018 Bond Agreement and the 2021 Bond Agreement (the “Bonds”), net of unamortized financing costs and unamortized premium, as of December 31, 2016 was $133,531 (December 31, 2015: $112,185) while their aggregate fair value was $138,741 based on a USD/NOK exchange rate of 0.1159 as of December 31, 2016 (December 31, 2015: $115,406, based on a USD/NOK exchange rate of 0.1137).</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guarantor financial covenants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GasLog Partners’ financial covenants</w:t>
      </w:r>
    </w:p>
    <w:p>
      <w:pPr>
        <w:spacing w:after="0" w:line="119" w:lineRule="exact"/>
        <w:rPr>
          <w:sz w:val="20"/>
          <w:szCs w:val="20"/>
          <w:color w:val="auto"/>
        </w:rPr>
      </w:pPr>
    </w:p>
    <w:p>
      <w:pPr>
        <w:ind w:right="600" w:firstLine="357"/>
        <w:spacing w:after="0" w:line="312" w:lineRule="auto"/>
        <w:rPr>
          <w:sz w:val="20"/>
          <w:szCs w:val="20"/>
          <w:color w:val="auto"/>
        </w:rPr>
      </w:pPr>
      <w:r>
        <w:rPr>
          <w:rFonts w:ascii="Arial" w:cs="Arial" w:eastAsia="Arial" w:hAnsi="Arial"/>
          <w:sz w:val="18"/>
          <w:szCs w:val="18"/>
          <w:color w:val="auto"/>
        </w:rPr>
        <w:t>GasLog Partners as corporate guarantor for the GasLog Partners Credit Facility and the Five Vessel Refinancing is subject to specified financial covenants on a consolidated basis. These financial covenants include the following as defined in the agreements: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174" w:name="page175"/>
    <w:bookmarkEnd w:id="174"/>
    <w:p>
      <w:pPr>
        <w:ind w:left="860" w:right="320" w:hanging="501"/>
        <w:spacing w:after="0" w:line="283" w:lineRule="auto"/>
        <w:tabs>
          <w:tab w:leader="none" w:pos="8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 of total indebtedness or $15,000;</w:t>
      </w:r>
    </w:p>
    <w:p>
      <w:pPr>
        <w:spacing w:after="0" w:line="38" w:lineRule="exact"/>
        <w:rPr>
          <w:rFonts w:ascii="Arial" w:cs="Arial" w:eastAsia="Arial" w:hAnsi="Arial"/>
          <w:sz w:val="19"/>
          <w:szCs w:val="19"/>
          <w:color w:val="auto"/>
        </w:rPr>
      </w:pPr>
    </w:p>
    <w:p>
      <w:pPr>
        <w:ind w:left="860" w:hanging="501"/>
        <w:spacing w:after="0"/>
        <w:tabs>
          <w:tab w:leader="none" w:pos="8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total indebtedness divided by total assets must be less than 60.0%;</w:t>
      </w:r>
    </w:p>
    <w:p>
      <w:pPr>
        <w:spacing w:after="0" w:line="105" w:lineRule="exact"/>
        <w:rPr>
          <w:rFonts w:ascii="Arial" w:cs="Arial" w:eastAsia="Arial" w:hAnsi="Arial"/>
          <w:sz w:val="19"/>
          <w:szCs w:val="19"/>
          <w:color w:val="auto"/>
        </w:rPr>
      </w:pPr>
    </w:p>
    <w:p>
      <w:pPr>
        <w:ind w:left="860" w:right="940" w:hanging="501"/>
        <w:spacing w:after="0" w:line="283" w:lineRule="auto"/>
        <w:tabs>
          <w:tab w:leader="none" w:pos="8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as defined in the GasLog Partners guarantees (including interest and debt repayments) on a trailing 12 months basis must be not less than 110.0%; and</w:t>
      </w:r>
    </w:p>
    <w:p>
      <w:pPr>
        <w:spacing w:after="0" w:line="38" w:lineRule="exact"/>
        <w:rPr>
          <w:rFonts w:ascii="Arial" w:cs="Arial" w:eastAsia="Arial" w:hAnsi="Arial"/>
          <w:sz w:val="19"/>
          <w:szCs w:val="19"/>
          <w:color w:val="auto"/>
        </w:rPr>
      </w:pPr>
    </w:p>
    <w:p>
      <w:pPr>
        <w:ind w:left="860" w:right="60" w:hanging="501"/>
        <w:spacing w:after="0" w:line="283" w:lineRule="auto"/>
        <w:tabs>
          <w:tab w:leader="none" w:pos="8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Partnership is permitted to declare or pay any dividends or distributions, subject to no event of default having occurred or occurring as a consequence of the payment of such dividends or distributions.</w:t>
      </w:r>
    </w:p>
    <w:p>
      <w:pPr>
        <w:spacing w:after="0" w:line="52"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The GasLog Partners Credit Facility and the Five Vessel Refinancing also impose certain restrictions relating to GasLog Partners, including restrictions that limit its ability to make any substantial change in the nature of its business or to change the corporate structure without approval from the lenders.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Compliance with the financial covenants is required on a semi-annual basis. GasLog Partners was in compliance with the respective financial covenants as of December 31, 2016.</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GasLog’s financial covenants</w:t>
      </w:r>
    </w:p>
    <w:p>
      <w:pPr>
        <w:spacing w:after="0" w:line="119"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GasLog, as corporate guarantor for the loan facilities and the Bonds listed above except for the GasLog Partners Credit Facility, is subject to specified financial covenants on a consolidated basis.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financial covenants include the following:</w:t>
      </w:r>
    </w:p>
    <w:p>
      <w:pPr>
        <w:spacing w:after="0" w:line="106" w:lineRule="exact"/>
        <w:rPr>
          <w:sz w:val="20"/>
          <w:szCs w:val="20"/>
          <w:color w:val="auto"/>
        </w:rPr>
      </w:pPr>
    </w:p>
    <w:p>
      <w:pPr>
        <w:ind w:left="860" w:hanging="501"/>
        <w:spacing w:after="0"/>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net working capital (excluding the current portion of long-term debt) must be not less than $0;</w:t>
      </w:r>
    </w:p>
    <w:p>
      <w:pPr>
        <w:spacing w:after="0" w:line="105" w:lineRule="exact"/>
        <w:rPr>
          <w:rFonts w:ascii="Arial" w:cs="Arial" w:eastAsia="Arial" w:hAnsi="Arial"/>
          <w:sz w:val="19"/>
          <w:szCs w:val="19"/>
          <w:color w:val="auto"/>
        </w:rPr>
      </w:pPr>
    </w:p>
    <w:p>
      <w:pPr>
        <w:ind w:left="860" w:hanging="501"/>
        <w:spacing w:after="0"/>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total indebtedness divided by total assets must not exceed 75.0%;</w:t>
      </w:r>
    </w:p>
    <w:p>
      <w:pPr>
        <w:spacing w:after="0" w:line="105" w:lineRule="exact"/>
        <w:rPr>
          <w:rFonts w:ascii="Arial" w:cs="Arial" w:eastAsia="Arial" w:hAnsi="Arial"/>
          <w:sz w:val="19"/>
          <w:szCs w:val="19"/>
          <w:color w:val="auto"/>
        </w:rPr>
      </w:pPr>
    </w:p>
    <w:p>
      <w:pPr>
        <w:ind w:left="860" w:right="300" w:hanging="501"/>
        <w:spacing w:after="0" w:line="283" w:lineRule="auto"/>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ratio of EBITDA over debt service obligations as defined in the respective credit facilities and the GasLog guarantees (including interest and debt repayments) on a trailing 12 months basis must be not less than 110.0%;</w:t>
      </w:r>
    </w:p>
    <w:p>
      <w:pPr>
        <w:spacing w:after="0" w:line="38" w:lineRule="exact"/>
        <w:rPr>
          <w:rFonts w:ascii="Arial" w:cs="Arial" w:eastAsia="Arial" w:hAnsi="Arial"/>
          <w:sz w:val="19"/>
          <w:szCs w:val="19"/>
          <w:color w:val="auto"/>
        </w:rPr>
      </w:pPr>
    </w:p>
    <w:p>
      <w:pPr>
        <w:ind w:left="860" w:right="180" w:hanging="501"/>
        <w:spacing w:after="0" w:line="283" w:lineRule="auto"/>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aggregate amount of all unencumbered cash and cash equivalents must be not less than the higher of 3.0% of total indebtedness or $50,000 after the first drawdown ($20,000 in relation to the 2018 Bond Agreement);</w:t>
      </w:r>
    </w:p>
    <w:p>
      <w:pPr>
        <w:spacing w:after="0" w:line="38" w:lineRule="exact"/>
        <w:rPr>
          <w:rFonts w:ascii="Arial" w:cs="Arial" w:eastAsia="Arial" w:hAnsi="Arial"/>
          <w:sz w:val="19"/>
          <w:szCs w:val="19"/>
          <w:color w:val="auto"/>
        </w:rPr>
      </w:pPr>
    </w:p>
    <w:p>
      <w:pPr>
        <w:ind w:left="860" w:right="60" w:hanging="501"/>
        <w:spacing w:after="0" w:line="267" w:lineRule="auto"/>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GasLog is permitted to pay dividends, provided that the Group holds unencumbered cash and cash equivalents equal to at least 4.0% of its total indebtedness subject to no event of default having occurred or occurring as a consequence of the payment of such dividends (not applicable for the Bonds); and</w:t>
      </w:r>
    </w:p>
    <w:p>
      <w:pPr>
        <w:spacing w:after="0" w:line="54" w:lineRule="exact"/>
        <w:rPr>
          <w:rFonts w:ascii="Arial" w:cs="Arial" w:eastAsia="Arial" w:hAnsi="Arial"/>
          <w:sz w:val="19"/>
          <w:szCs w:val="19"/>
          <w:color w:val="auto"/>
        </w:rPr>
      </w:pPr>
    </w:p>
    <w:p>
      <w:pPr>
        <w:ind w:left="860" w:hanging="501"/>
        <w:spacing w:after="0"/>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Group’s market value adjusted net worth must at all times be not less than $350,000.</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72"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GasLog as issuer of the Bonds is required to comply with the financial covenants (i), (ii), (iii), (iv) and (vi) listed above. In addition, the 2018 Bond Agreement includes a dividend restriction according to which the Group may not (i) declare or make any dividend payment or distribution, whether in cash or in kind, (ii) repurchase any of the Group’s shares or undertake other similar transactions (including, but not limited to, total return swaps related to the Group’s shares), or (iii)</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175" w:name="page176"/>
    <w:bookmarkEnd w:id="175"/>
    <w:p>
      <w:pPr>
        <w:ind w:right="20"/>
        <w:spacing w:after="0" w:line="283" w:lineRule="auto"/>
        <w:rPr>
          <w:sz w:val="20"/>
          <w:szCs w:val="20"/>
          <w:color w:val="auto"/>
        </w:rPr>
      </w:pPr>
      <w:r>
        <w:rPr>
          <w:rFonts w:ascii="Arial" w:cs="Arial" w:eastAsia="Arial" w:hAnsi="Arial"/>
          <w:sz w:val="17"/>
          <w:szCs w:val="17"/>
          <w:color w:val="auto"/>
        </w:rPr>
        <w:t>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 based on the audited annual accounts for the previous financial year (any unutilized portion of the permitted dividend pursuant to the above may not be carried forward). For the purposes of the above, the consolidated net profit after taxes of the Group shall not include any profits related to the sale of assets (and consequently any such profits related to such assets shall not form the basis for Distributions). On November 14, 2014, GasLog signed an amendment to the 2018 Bond Agreement to revise the covenants to reflect GasLog’s growth and the anticipated growth of GasLog Partners. Under the amended agreement (a) GasLog is permitted to make Distributions up to an aggregate maximum per share, for the years 2016, 2017 and 2018 of $1.10/share, $1.20/share and $1.30/share, respectively, provided that total indebtedness divided by total assets (giving pro forma effect for the Distribution) does not exceed 67.5% immediately after the Distribution is made, the ratio of EBITDA over debt service obligations on a trailing 12 months basis ending the quarter immediately prior to that in which the Distribution is made is not less than</w:t>
      </w:r>
    </w:p>
    <w:p>
      <w:pPr>
        <w:spacing w:after="0" w:line="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115.0% and no event of default would result from such Distribution, (b) the amount of debt or committed debt availability that GasLog provides to GasLog Partners cannot exceed $75,000, and (c) GasLog has agreed to pay a one-time fee of 1.0% of the face value of the Bond.</w:t>
      </w:r>
    </w:p>
    <w:p>
      <w:pPr>
        <w:spacing w:after="0" w:line="46"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As the above mentioned amendments to the covenants did not result in substantially different terms to the 2018 Bond Agreement, the amendments are considered a modification of the terms of the 2018 Bond Agreement. Consequently, the additional fees incurred during the year ended December 31, 2014 which amounted to $2,557 have been accounted as deferred financing fees and will be amortized over the remaining term of the 2018 Bond Agreement.</w:t>
      </w:r>
    </w:p>
    <w:p>
      <w:pPr>
        <w:spacing w:after="0" w:line="72"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Also, under the 2021 Bond Agreement (a) GasLog is permitted to make Distributions up to a maximum amount per share per annum for the years 2016, 2017, 2018, 2019, 2020 and 2021 of $1.00/share, $1.10/share, $1.10/share, $1.20/share, $1.20/share and $1.20/share, respectively, provided that GasLog can demonstrate by delivering a compliance certificate to the trustee of the 2021 Bond Agreement that no event of default is continuing or would result from such Distributions.</w:t>
      </w:r>
    </w:p>
    <w:p>
      <w:pPr>
        <w:spacing w:after="0" w:line="7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Compliance with the loan financial covenants is required on a semi-annual basis while compliance with the Bonds’ covenants is required at all times. The Group was in compliance with all financial covenants as of December 31, 2016.</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Repayment Schedule</w:t>
      </w:r>
    </w:p>
    <w:p>
      <w:pPr>
        <w:spacing w:after="0" w:line="119"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The maturity table below reflects the principal repayments of the loans and Bonds outstanding as of December 31, 2016 based on the repayment schedule of the respective loan facilities (as described above):</w:t>
      </w:r>
    </w:p>
    <w:p>
      <w:pPr>
        <w:spacing w:after="0" w:line="16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800" w:type="dxa"/>
            <w:vAlign w:val="bottom"/>
          </w:tcPr>
          <w:p>
            <w:pPr>
              <w:jc w:val="right"/>
              <w:ind w:right="148"/>
              <w:spacing w:after="0"/>
              <w:rPr>
                <w:sz w:val="20"/>
                <w:szCs w:val="20"/>
                <w:color w:val="auto"/>
              </w:rPr>
            </w:pPr>
            <w:r>
              <w:rPr>
                <w:rFonts w:ascii="Arial" w:cs="Arial" w:eastAsia="Arial" w:hAnsi="Arial"/>
                <w:sz w:val="16"/>
                <w:szCs w:val="16"/>
                <w:b w:val="1"/>
                <w:bCs w:val="1"/>
                <w:color w:val="auto"/>
              </w:rPr>
              <w:t>As of December 31,</w:t>
            </w:r>
          </w:p>
        </w:tc>
      </w:tr>
      <w:tr>
        <w:trPr>
          <w:trHeight w:val="199"/>
        </w:trPr>
        <w:tc>
          <w:tcPr>
            <w:tcW w:w="8600" w:type="dxa"/>
            <w:vAlign w:val="bottom"/>
          </w:tcPr>
          <w:p>
            <w:pPr>
              <w:spacing w:after="0"/>
              <w:rPr>
                <w:sz w:val="17"/>
                <w:szCs w:val="17"/>
                <w:color w:val="auto"/>
              </w:rPr>
            </w:pPr>
          </w:p>
        </w:tc>
        <w:tc>
          <w:tcPr>
            <w:tcW w:w="1800" w:type="dxa"/>
            <w:vAlign w:val="bottom"/>
            <w:tcBorders>
              <w:bottom w:val="single" w:sz="8" w:color="auto"/>
            </w:tcBorders>
          </w:tcPr>
          <w:p>
            <w:pPr>
              <w:jc w:val="right"/>
              <w:ind w:right="648"/>
              <w:spacing w:after="0"/>
              <w:rPr>
                <w:sz w:val="20"/>
                <w:szCs w:val="20"/>
                <w:color w:val="auto"/>
              </w:rPr>
            </w:pPr>
            <w:r>
              <w:rPr>
                <w:rFonts w:ascii="Arial" w:cs="Arial" w:eastAsia="Arial" w:hAnsi="Arial"/>
                <w:sz w:val="16"/>
                <w:szCs w:val="16"/>
                <w:b w:val="1"/>
                <w:bCs w:val="1"/>
                <w:color w:val="auto"/>
              </w:rPr>
              <w:t>2016</w:t>
            </w:r>
          </w:p>
        </w:tc>
      </w:tr>
      <w:tr>
        <w:trPr>
          <w:trHeight w:val="237"/>
        </w:trPr>
        <w:tc>
          <w:tcPr>
            <w:tcW w:w="860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1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156,645</w:t>
            </w:r>
          </w:p>
        </w:tc>
      </w:tr>
      <w:tr>
        <w:trPr>
          <w:trHeight w:val="243"/>
        </w:trPr>
        <w:tc>
          <w:tcPr>
            <w:tcW w:w="860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1800" w:type="dxa"/>
            <w:vAlign w:val="bottom"/>
          </w:tcPr>
          <w:p>
            <w:pPr>
              <w:jc w:val="right"/>
              <w:ind w:right="8"/>
              <w:spacing w:after="0"/>
              <w:rPr>
                <w:sz w:val="20"/>
                <w:szCs w:val="20"/>
                <w:color w:val="auto"/>
              </w:rPr>
            </w:pPr>
            <w:r>
              <w:rPr>
                <w:rFonts w:ascii="Arial" w:cs="Arial" w:eastAsia="Arial" w:hAnsi="Arial"/>
                <w:sz w:val="19"/>
                <w:szCs w:val="19"/>
                <w:color w:val="auto"/>
              </w:rPr>
              <w:t>881,843</w:t>
            </w:r>
          </w:p>
        </w:tc>
      </w:tr>
      <w:tr>
        <w:trPr>
          <w:trHeight w:val="243"/>
        </w:trPr>
        <w:tc>
          <w:tcPr>
            <w:tcW w:w="8600" w:type="dxa"/>
            <w:vAlign w:val="bottom"/>
            <w:shd w:val="clear" w:color="auto" w:fill="E5FFFF"/>
          </w:tcPr>
          <w:p>
            <w:pPr>
              <w:spacing w:after="0"/>
              <w:rPr>
                <w:sz w:val="20"/>
                <w:szCs w:val="20"/>
                <w:color w:val="auto"/>
              </w:rPr>
            </w:pPr>
            <w:r>
              <w:rPr>
                <w:rFonts w:ascii="Arial" w:cs="Arial" w:eastAsia="Arial" w:hAnsi="Arial"/>
                <w:sz w:val="19"/>
                <w:szCs w:val="19"/>
                <w:color w:val="auto"/>
              </w:rPr>
              <w:t>Later than three years and not later than five years</w:t>
            </w:r>
          </w:p>
        </w:tc>
        <w:tc>
          <w:tcPr>
            <w:tcW w:w="1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1,254,997</w:t>
            </w:r>
          </w:p>
        </w:tc>
      </w:tr>
      <w:tr>
        <w:trPr>
          <w:trHeight w:val="250"/>
        </w:trPr>
        <w:tc>
          <w:tcPr>
            <w:tcW w:w="8600" w:type="dxa"/>
            <w:vAlign w:val="bottom"/>
          </w:tcPr>
          <w:p>
            <w:pPr>
              <w:spacing w:after="0"/>
              <w:rPr>
                <w:sz w:val="20"/>
                <w:szCs w:val="20"/>
                <w:color w:val="auto"/>
              </w:rPr>
            </w:pPr>
            <w:r>
              <w:rPr>
                <w:rFonts w:ascii="Arial" w:cs="Arial" w:eastAsia="Arial" w:hAnsi="Arial"/>
                <w:sz w:val="19"/>
                <w:szCs w:val="19"/>
                <w:color w:val="auto"/>
              </w:rPr>
              <w:t>Later than five years</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406,517</w:t>
            </w:r>
          </w:p>
        </w:tc>
      </w:tr>
      <w:tr>
        <w:trPr>
          <w:trHeight w:val="243"/>
        </w:trPr>
        <w:tc>
          <w:tcPr>
            <w:tcW w:w="8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180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b w:val="1"/>
                <w:bCs w:val="1"/>
                <w:color w:val="auto"/>
              </w:rPr>
              <w:t>2,700,002</w:t>
            </w:r>
          </w:p>
        </w:tc>
      </w:tr>
      <w:tr>
        <w:trPr>
          <w:trHeight w:val="20"/>
        </w:trPr>
        <w:tc>
          <w:tcPr>
            <w:tcW w:w="8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weighted average interest rate for the outstanding loan facilities for the year ended December 31, 2016 was 3.54% (December 31, 2015:</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3.32%) excluding the fixed interest rate for the interest rate swaps where hedge accounting is not applicable (Note 25).</w:t>
      </w:r>
    </w:p>
    <w:p>
      <w:pPr>
        <w:spacing w:after="0" w:line="103"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After excluding the unamortised deferred loan issuance costs the carrying amount of the Group’s bank debt recognized in the consolidated financial statements approximates its fair value since the debt bears interest at a variable interest rate.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b w:val="1"/>
          <w:bCs w:val="1"/>
          <w:color w:val="auto"/>
        </w:rPr>
        <w:t>14. Other Payables and Accruals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other payables and accruals is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6"/>
                <w:szCs w:val="16"/>
                <w:b w:val="1"/>
                <w:bCs w:val="1"/>
                <w:color w:val="auto"/>
              </w:rPr>
              <w:t>As of December 31,</w:t>
            </w:r>
          </w:p>
        </w:tc>
      </w:tr>
      <w:tr>
        <w:trPr>
          <w:trHeight w:val="169"/>
        </w:trPr>
        <w:tc>
          <w:tcPr>
            <w:tcW w:w="8620" w:type="dxa"/>
            <w:vAlign w:val="bottom"/>
          </w:tcPr>
          <w:p>
            <w:pPr>
              <w:spacing w:after="0"/>
              <w:rPr>
                <w:sz w:val="14"/>
                <w:szCs w:val="14"/>
                <w:color w:val="auto"/>
              </w:rPr>
            </w:pPr>
          </w:p>
        </w:tc>
        <w:tc>
          <w:tcPr>
            <w:tcW w:w="740" w:type="dxa"/>
            <w:vAlign w:val="bottom"/>
            <w:tcBorders>
              <w:bottom w:val="single" w:sz="8" w:color="auto"/>
            </w:tcBorders>
          </w:tcPr>
          <w:p>
            <w:pPr>
              <w:jc w:val="right"/>
              <w:ind w:right="125"/>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Social contributions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1,057</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Unearned revenue</w:t>
            </w:r>
          </w:p>
        </w:tc>
        <w:tc>
          <w:tcPr>
            <w:tcW w:w="740" w:type="dxa"/>
            <w:vAlign w:val="bottom"/>
          </w:tcPr>
          <w:p>
            <w:pPr>
              <w:jc w:val="right"/>
              <w:spacing w:after="0"/>
              <w:rPr>
                <w:sz w:val="20"/>
                <w:szCs w:val="20"/>
                <w:color w:val="auto"/>
              </w:rPr>
            </w:pPr>
            <w:r>
              <w:rPr>
                <w:rFonts w:ascii="Arial" w:cs="Arial" w:eastAsia="Arial" w:hAnsi="Arial"/>
                <w:sz w:val="19"/>
                <w:szCs w:val="19"/>
                <w:color w:val="auto"/>
              </w:rPr>
              <w:t>30,159</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37,522</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Accrued legal and professional fees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1,480</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Accrued board of directors’ fees</w:t>
            </w:r>
          </w:p>
        </w:tc>
        <w:tc>
          <w:tcPr>
            <w:tcW w:w="740" w:type="dxa"/>
            <w:vAlign w:val="bottom"/>
          </w:tcPr>
          <w:p>
            <w:pPr>
              <w:jc w:val="right"/>
              <w:spacing w:after="0"/>
              <w:rPr>
                <w:sz w:val="20"/>
                <w:szCs w:val="20"/>
                <w:color w:val="auto"/>
              </w:rPr>
            </w:pPr>
            <w:r>
              <w:rPr>
                <w:rFonts w:ascii="Arial" w:cs="Arial" w:eastAsia="Arial" w:hAnsi="Arial"/>
                <w:sz w:val="19"/>
                <w:szCs w:val="19"/>
                <w:color w:val="auto"/>
              </w:rPr>
              <w:t>593</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561</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Accrued employee costs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4,955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5,800</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Accrued off-hire</w:t>
            </w:r>
          </w:p>
        </w:tc>
        <w:tc>
          <w:tcPr>
            <w:tcW w:w="740" w:type="dxa"/>
            <w:vAlign w:val="bottom"/>
          </w:tcPr>
          <w:p>
            <w:pPr>
              <w:jc w:val="right"/>
              <w:spacing w:after="0"/>
              <w:rPr>
                <w:sz w:val="20"/>
                <w:szCs w:val="20"/>
                <w:color w:val="auto"/>
              </w:rPr>
            </w:pPr>
            <w:r>
              <w:rPr>
                <w:rFonts w:ascii="Arial" w:cs="Arial" w:eastAsia="Arial" w:hAnsi="Arial"/>
                <w:sz w:val="19"/>
                <w:szCs w:val="19"/>
                <w:color w:val="auto"/>
              </w:rPr>
              <w:t>3,781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3,765</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Accrued crew costs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5,244</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6,132</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Accrued purchases</w:t>
            </w:r>
          </w:p>
        </w:tc>
        <w:tc>
          <w:tcPr>
            <w:tcW w:w="740" w:type="dxa"/>
            <w:vAlign w:val="bottom"/>
          </w:tcPr>
          <w:p>
            <w:pPr>
              <w:jc w:val="right"/>
              <w:spacing w:after="0"/>
              <w:rPr>
                <w:sz w:val="20"/>
                <w:szCs w:val="20"/>
                <w:color w:val="auto"/>
              </w:rPr>
            </w:pPr>
            <w:r>
              <w:rPr>
                <w:rFonts w:ascii="Arial" w:cs="Arial" w:eastAsia="Arial" w:hAnsi="Arial"/>
                <w:sz w:val="19"/>
                <w:szCs w:val="19"/>
                <w:color w:val="auto"/>
              </w:rPr>
              <w:t>6,207</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3,553</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Accrued financing cost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3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Accrued interest</w:t>
            </w:r>
          </w:p>
        </w:tc>
        <w:tc>
          <w:tcPr>
            <w:tcW w:w="740" w:type="dxa"/>
            <w:vAlign w:val="bottom"/>
          </w:tcPr>
          <w:p>
            <w:pPr>
              <w:jc w:val="right"/>
              <w:spacing w:after="0"/>
              <w:rPr>
                <w:sz w:val="20"/>
                <w:szCs w:val="20"/>
                <w:color w:val="auto"/>
              </w:rPr>
            </w:pPr>
            <w:r>
              <w:rPr>
                <w:rFonts w:ascii="Arial" w:cs="Arial" w:eastAsia="Arial" w:hAnsi="Arial"/>
                <w:sz w:val="19"/>
                <w:szCs w:val="19"/>
                <w:color w:val="auto"/>
              </w:rPr>
              <w:t>7,713</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27,165</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Accrued brokerage commission on vessels’ acquisition</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4,600</w:t>
            </w:r>
          </w:p>
        </w:tc>
        <w:tc>
          <w:tcPr>
            <w:tcW w:w="3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8620" w:type="dxa"/>
            <w:vAlign w:val="bottom"/>
          </w:tcPr>
          <w:p>
            <w:pPr>
              <w:spacing w:after="0"/>
              <w:rPr>
                <w:sz w:val="20"/>
                <w:szCs w:val="20"/>
                <w:color w:val="auto"/>
              </w:rPr>
            </w:pPr>
            <w:r>
              <w:rPr>
                <w:rFonts w:ascii="Arial" w:cs="Arial" w:eastAsia="Arial" w:hAnsi="Arial"/>
                <w:sz w:val="19"/>
                <w:szCs w:val="19"/>
                <w:color w:val="auto"/>
              </w:rPr>
              <w:t>Accrued payable to charterers</w:t>
            </w:r>
          </w:p>
        </w:tc>
        <w:tc>
          <w:tcPr>
            <w:tcW w:w="740" w:type="dxa"/>
            <w:vAlign w:val="bottom"/>
          </w:tcPr>
          <w:p>
            <w:pPr>
              <w:jc w:val="right"/>
              <w:spacing w:after="0"/>
              <w:rPr>
                <w:sz w:val="20"/>
                <w:szCs w:val="20"/>
                <w:color w:val="auto"/>
              </w:rPr>
            </w:pPr>
            <w:r>
              <w:rPr>
                <w:rFonts w:ascii="Arial" w:cs="Arial" w:eastAsia="Arial" w:hAnsi="Arial"/>
                <w:sz w:val="19"/>
                <w:szCs w:val="19"/>
                <w:color w:val="auto"/>
              </w:rPr>
              <w:t>560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5,040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Other accruals</w:t>
            </w: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1,081</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1,311</w:t>
            </w:r>
          </w:p>
        </w:tc>
      </w:tr>
      <w:tr>
        <w:trPr>
          <w:trHeight w:val="250"/>
        </w:trPr>
        <w:tc>
          <w:tcPr>
            <w:tcW w:w="862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67,084</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93,386</w:t>
            </w:r>
          </w:p>
        </w:tc>
      </w:tr>
      <w:tr>
        <w:trPr>
          <w:trHeight w:val="20"/>
        </w:trPr>
        <w:tc>
          <w:tcPr>
            <w:tcW w:w="8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20" w:firstLine="357"/>
        <w:spacing w:after="0" w:line="283" w:lineRule="auto"/>
        <w:rPr>
          <w:sz w:val="20"/>
          <w:szCs w:val="20"/>
          <w:color w:val="auto"/>
        </w:rPr>
      </w:pPr>
      <w:r>
        <w:rPr>
          <w:rFonts w:ascii="Arial" w:cs="Arial" w:eastAsia="Arial" w:hAnsi="Arial"/>
          <w:sz w:val="19"/>
          <w:szCs w:val="19"/>
          <w:color w:val="auto"/>
        </w:rPr>
        <w:t>The unearned revenue represents charter hires received in advance in December 2016 relating to the hire period of January 2017, for 16 vessels (December 2015: 14 vessels).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Vessel Operating and Supervision Costs</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vessel operating and supervision costs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right"/>
              <w:ind w:right="352"/>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96"/>
              <w:spacing w:after="0" w:line="169" w:lineRule="exact"/>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92"/>
              <w:spacing w:after="0" w:line="169" w:lineRule="exact"/>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72"/>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Employee costs</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7,789</w:t>
            </w:r>
          </w:p>
        </w:tc>
        <w:tc>
          <w:tcPr>
            <w:tcW w:w="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8,771</w:t>
            </w:r>
          </w:p>
        </w:tc>
        <w:tc>
          <w:tcPr>
            <w:tcW w:w="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10,012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color w:val="auto"/>
              </w:rPr>
              <w:t>Crew wages</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36,577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49,254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53,593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Technical maintenance expenses</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12,753</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20,364</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29,520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color w:val="auto"/>
              </w:rPr>
              <w:t>Provisions and stores</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3,199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4,962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5,191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Insurance expenses</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4,882</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7,407</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7,396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color w:val="auto"/>
              </w:rPr>
              <w:t>Management fees</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Vessels’ tax</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2,645</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3,010</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1,473</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color w:val="auto"/>
              </w:rPr>
              <w:t>Other operating expenses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2,699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4,409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5,259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70,732</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98,552</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112,632</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16. Voyage Expenses and Commissions</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60" w:type="dxa"/>
            <w:vAlign w:val="bottom"/>
            <w:gridSpan w:val="2"/>
          </w:tcPr>
          <w:p>
            <w:pPr>
              <w:ind w:left="360"/>
              <w:spacing w:after="0"/>
              <w:rPr>
                <w:sz w:val="20"/>
                <w:szCs w:val="20"/>
                <w:color w:val="auto"/>
              </w:rPr>
            </w:pPr>
            <w:r>
              <w:rPr>
                <w:rFonts w:ascii="Arial" w:cs="Arial" w:eastAsia="Arial" w:hAnsi="Arial"/>
                <w:sz w:val="19"/>
                <w:szCs w:val="19"/>
                <w:color w:val="auto"/>
              </w:rPr>
              <w:t>An analysis of voyage expenses and commissions is as follows:</w:t>
            </w:r>
          </w:p>
        </w:tc>
        <w:tc>
          <w:tcPr>
            <w:tcW w:w="80" w:type="dxa"/>
            <w:vAlign w:val="bottom"/>
          </w:tcPr>
          <w:p>
            <w:pPr>
              <w:spacing w:after="0"/>
              <w:rPr>
                <w:sz w:val="24"/>
                <w:szCs w:val="24"/>
                <w:color w:val="auto"/>
              </w:rPr>
            </w:pPr>
          </w:p>
        </w:tc>
        <w:tc>
          <w:tcPr>
            <w:tcW w:w="3060" w:type="dxa"/>
            <w:vAlign w:val="bottom"/>
            <w:gridSpan w:val="9"/>
            <w:vMerge w:val="restart"/>
          </w:tcPr>
          <w:p>
            <w:pPr>
              <w:jc w:val="right"/>
              <w:ind w:right="312"/>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auto"/>
            </w:tcBorders>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line="169" w:lineRule="exact"/>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Brokers’ commissions on revenue</w:t>
            </w:r>
          </w:p>
        </w:tc>
        <w:tc>
          <w:tcPr>
            <w:tcW w:w="94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3,554</w:t>
            </w:r>
          </w:p>
        </w:tc>
        <w:tc>
          <w:tcPr>
            <w:tcW w:w="200" w:type="dxa"/>
            <w:vAlign w:val="bottom"/>
            <w:shd w:val="clear" w:color="auto" w:fill="E5FFFF"/>
          </w:tcPr>
          <w:p>
            <w:pPr>
              <w:spacing w:after="0"/>
              <w:rPr>
                <w:sz w:val="20"/>
                <w:szCs w:val="20"/>
                <w:color w:val="auto"/>
              </w:rPr>
            </w:pPr>
          </w:p>
        </w:tc>
        <w:tc>
          <w:tcPr>
            <w:tcW w:w="96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4,678</w:t>
            </w:r>
          </w:p>
        </w:tc>
        <w:tc>
          <w:tcPr>
            <w:tcW w:w="200" w:type="dxa"/>
            <w:vAlign w:val="bottom"/>
            <w:shd w:val="clear" w:color="auto" w:fill="E5FFFF"/>
          </w:tcPr>
          <w:p>
            <w:pPr>
              <w:spacing w:after="0"/>
              <w:rPr>
                <w:sz w:val="20"/>
                <w:szCs w:val="20"/>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5,526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color w:val="auto"/>
              </w:rPr>
              <w:t>Bunkers’ consumption</w:t>
            </w:r>
          </w:p>
        </w:tc>
        <w:tc>
          <w:tcPr>
            <w:tcW w:w="940" w:type="dxa"/>
            <w:vAlign w:val="bottom"/>
            <w:gridSpan w:val="3"/>
          </w:tcPr>
          <w:p>
            <w:pPr>
              <w:jc w:val="right"/>
              <w:ind w:right="80"/>
              <w:spacing w:after="0"/>
              <w:rPr>
                <w:sz w:val="20"/>
                <w:szCs w:val="20"/>
                <w:color w:val="auto"/>
              </w:rPr>
            </w:pPr>
            <w:r>
              <w:rPr>
                <w:rFonts w:ascii="Arial" w:cs="Arial" w:eastAsia="Arial" w:hAnsi="Arial"/>
                <w:sz w:val="19"/>
                <w:szCs w:val="19"/>
                <w:color w:val="auto"/>
              </w:rPr>
              <w:t>4,184</w:t>
            </w:r>
          </w:p>
        </w:tc>
        <w:tc>
          <w:tcPr>
            <w:tcW w:w="20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9"/>
                <w:szCs w:val="19"/>
                <w:color w:val="auto"/>
              </w:rPr>
              <w:t>9,577</w:t>
            </w: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4,984</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9"/>
                <w:szCs w:val="19"/>
                <w:color w:val="auto"/>
              </w:rPr>
              <w:t>Adjustment for net pool allocation (Note 20)</w:t>
            </w:r>
          </w:p>
        </w:tc>
        <w:tc>
          <w:tcPr>
            <w:tcW w:w="8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35</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4,674</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26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94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7,738</w:t>
            </w:r>
          </w:p>
        </w:tc>
        <w:tc>
          <w:tcPr>
            <w:tcW w:w="20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14,290</w:t>
            </w: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9"/>
                <w:szCs w:val="19"/>
                <w:b w:val="1"/>
                <w:bCs w:val="1"/>
                <w:color w:val="auto"/>
              </w:rPr>
              <w:t>15,184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Bunkers’ consumption represents mainly bunkers consumed during vessels unemployment and off-hire.</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79" w:right="75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b w:val="1"/>
          <w:bCs w:val="1"/>
          <w:color w:val="auto"/>
        </w:rPr>
        <w:t>17. General and Administrative Expenses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general and administrative expenses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Borders>
              <w:bottom w:val="single" w:sz="8" w:color="auto"/>
            </w:tcBorders>
            <w:gridSpan w:val="9"/>
          </w:tcPr>
          <w:p>
            <w:pPr>
              <w:jc w:val="right"/>
              <w:ind w:right="312"/>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14"/>
                <w:szCs w:val="14"/>
                <w:color w:val="auto"/>
              </w:rPr>
            </w:pPr>
          </w:p>
        </w:tc>
        <w:tc>
          <w:tcPr>
            <w:tcW w:w="28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4"/>
                <w:szCs w:val="14"/>
                <w:color w:val="auto"/>
              </w:rPr>
            </w:pPr>
          </w:p>
        </w:tc>
        <w:tc>
          <w:tcPr>
            <w:tcW w:w="30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Employee costs</w:t>
            </w: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16,344</w:t>
            </w:r>
          </w:p>
        </w:tc>
        <w:tc>
          <w:tcPr>
            <w:tcW w:w="116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17,276</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17,037</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Board of directors’ fees</w:t>
            </w: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1,926</w:t>
            </w:r>
          </w:p>
        </w:tc>
        <w:tc>
          <w:tcPr>
            <w:tcW w:w="1160" w:type="dxa"/>
            <w:vAlign w:val="bottom"/>
            <w:gridSpan w:val="4"/>
          </w:tcPr>
          <w:p>
            <w:pPr>
              <w:jc w:val="right"/>
              <w:ind w:right="60"/>
              <w:spacing w:after="0"/>
              <w:rPr>
                <w:sz w:val="20"/>
                <w:szCs w:val="20"/>
                <w:color w:val="auto"/>
              </w:rPr>
            </w:pPr>
            <w:r>
              <w:rPr>
                <w:rFonts w:ascii="Arial" w:cs="Arial" w:eastAsia="Arial" w:hAnsi="Arial"/>
                <w:sz w:val="19"/>
                <w:szCs w:val="19"/>
                <w:color w:val="auto"/>
              </w:rPr>
              <w:t>2,439</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2,288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Share-based compensation</w:t>
            </w: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1,856</w:t>
            </w:r>
          </w:p>
        </w:tc>
        <w:tc>
          <w:tcPr>
            <w:tcW w:w="116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2,872</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3,869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Rent and utilities</w:t>
            </w: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1,780</w:t>
            </w:r>
          </w:p>
        </w:tc>
        <w:tc>
          <w:tcPr>
            <w:tcW w:w="1160" w:type="dxa"/>
            <w:vAlign w:val="bottom"/>
            <w:gridSpan w:val="4"/>
          </w:tcPr>
          <w:p>
            <w:pPr>
              <w:jc w:val="right"/>
              <w:ind w:right="60"/>
              <w:spacing w:after="0"/>
              <w:rPr>
                <w:sz w:val="20"/>
                <w:szCs w:val="20"/>
                <w:color w:val="auto"/>
              </w:rPr>
            </w:pPr>
            <w:r>
              <w:rPr>
                <w:rFonts w:ascii="Arial" w:cs="Arial" w:eastAsia="Arial" w:hAnsi="Arial"/>
                <w:sz w:val="19"/>
                <w:szCs w:val="19"/>
                <w:color w:val="auto"/>
              </w:rPr>
              <w:t>2,180</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2,236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Travel and accommodation</w:t>
            </w: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2,277</w:t>
            </w:r>
          </w:p>
        </w:tc>
        <w:tc>
          <w:tcPr>
            <w:tcW w:w="116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2,161</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2,068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Legal and professional fees</w:t>
            </w: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7,578</w:t>
            </w:r>
          </w:p>
        </w:tc>
        <w:tc>
          <w:tcPr>
            <w:tcW w:w="1160" w:type="dxa"/>
            <w:vAlign w:val="bottom"/>
            <w:gridSpan w:val="4"/>
          </w:tcPr>
          <w:p>
            <w:pPr>
              <w:jc w:val="right"/>
              <w:ind w:right="60"/>
              <w:spacing w:after="0"/>
              <w:rPr>
                <w:sz w:val="20"/>
                <w:szCs w:val="20"/>
                <w:color w:val="auto"/>
              </w:rPr>
            </w:pPr>
            <w:r>
              <w:rPr>
                <w:rFonts w:ascii="Arial" w:cs="Arial" w:eastAsia="Arial" w:hAnsi="Arial"/>
                <w:sz w:val="19"/>
                <w:szCs w:val="19"/>
                <w:color w:val="auto"/>
              </w:rPr>
              <w:t>11,014</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6,802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Foreign exchange differences, net</w:t>
            </w: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(271)</w:t>
            </w:r>
          </w:p>
        </w:tc>
        <w:tc>
          <w:tcPr>
            <w:tcW w:w="116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689</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1,241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Directors and officers’ liability insurance</w:t>
            </w: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1,142</w:t>
            </w:r>
          </w:p>
        </w:tc>
        <w:tc>
          <w:tcPr>
            <w:tcW w:w="1160" w:type="dxa"/>
            <w:vAlign w:val="bottom"/>
            <w:gridSpan w:val="4"/>
          </w:tcPr>
          <w:p>
            <w:pPr>
              <w:jc w:val="right"/>
              <w:ind w:right="60"/>
              <w:spacing w:after="0"/>
              <w:rPr>
                <w:sz w:val="20"/>
                <w:szCs w:val="20"/>
                <w:color w:val="auto"/>
              </w:rPr>
            </w:pPr>
            <w:r>
              <w:rPr>
                <w:rFonts w:ascii="Arial" w:cs="Arial" w:eastAsia="Arial" w:hAnsi="Arial"/>
                <w:sz w:val="19"/>
                <w:szCs w:val="19"/>
                <w:color w:val="auto"/>
              </w:rPr>
              <w:t>729</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423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expenses</w:t>
            </w:r>
          </w:p>
        </w:tc>
        <w:tc>
          <w:tcPr>
            <w:tcW w:w="86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1,522</w:t>
            </w:r>
          </w:p>
        </w:tc>
        <w:tc>
          <w:tcPr>
            <w:tcW w:w="280" w:type="dxa"/>
            <w:vAlign w:val="bottom"/>
            <w:gridSpan w:val="2"/>
            <w:shd w:val="clear" w:color="auto" w:fill="E5FFFF"/>
          </w:tcPr>
          <w:p>
            <w:pPr>
              <w:spacing w:after="0"/>
              <w:rPr>
                <w:sz w:val="21"/>
                <w:szCs w:val="21"/>
                <w:color w:val="auto"/>
              </w:rPr>
            </w:pPr>
          </w:p>
        </w:tc>
        <w:tc>
          <w:tcPr>
            <w:tcW w:w="88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1,922</w:t>
            </w:r>
          </w:p>
        </w:tc>
        <w:tc>
          <w:tcPr>
            <w:tcW w:w="300" w:type="dxa"/>
            <w:vAlign w:val="bottom"/>
            <w:gridSpan w:val="2"/>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2,678</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b w:val="1"/>
                <w:bCs w:val="1"/>
                <w:color w:val="auto"/>
              </w:rPr>
              <w:t>Total</w:t>
            </w:r>
          </w:p>
        </w:tc>
        <w:tc>
          <w:tcPr>
            <w:tcW w:w="86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34,154</w:t>
            </w:r>
          </w:p>
        </w:tc>
        <w:tc>
          <w:tcPr>
            <w:tcW w:w="1160" w:type="dxa"/>
            <w:vAlign w:val="bottom"/>
            <w:gridSpan w:val="4"/>
          </w:tcPr>
          <w:p>
            <w:pPr>
              <w:jc w:val="right"/>
              <w:ind w:right="60"/>
              <w:spacing w:after="0"/>
              <w:rPr>
                <w:sz w:val="20"/>
                <w:szCs w:val="20"/>
                <w:color w:val="auto"/>
              </w:rPr>
            </w:pPr>
            <w:r>
              <w:rPr>
                <w:rFonts w:ascii="Arial" w:cs="Arial" w:eastAsia="Arial" w:hAnsi="Arial"/>
                <w:sz w:val="19"/>
                <w:szCs w:val="19"/>
                <w:b w:val="1"/>
                <w:bCs w:val="1"/>
                <w:color w:val="auto"/>
              </w:rPr>
              <w:t>41,282</w:t>
            </w:r>
          </w:p>
        </w:tc>
        <w:tc>
          <w:tcPr>
            <w:tcW w:w="1040" w:type="dxa"/>
            <w:vAlign w:val="bottom"/>
            <w:gridSpan w:val="3"/>
          </w:tcPr>
          <w:p>
            <w:pPr>
              <w:jc w:val="right"/>
              <w:spacing w:after="0"/>
              <w:rPr>
                <w:sz w:val="20"/>
                <w:szCs w:val="20"/>
                <w:color w:val="auto"/>
              </w:rPr>
            </w:pPr>
            <w:r>
              <w:rPr>
                <w:rFonts w:ascii="Arial" w:cs="Arial" w:eastAsia="Arial" w:hAnsi="Arial"/>
                <w:sz w:val="19"/>
                <w:szCs w:val="19"/>
                <w:b w:val="1"/>
                <w:bCs w:val="1"/>
                <w:color w:val="auto"/>
              </w:rPr>
              <w:t>38,642</w:t>
            </w: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18. Financial Income and Costs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84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40" w:type="dxa"/>
            <w:vAlign w:val="bottom"/>
            <w:gridSpan w:val="3"/>
          </w:tcPr>
          <w:p>
            <w:pPr>
              <w:ind w:left="360"/>
              <w:spacing w:after="0"/>
              <w:rPr>
                <w:sz w:val="20"/>
                <w:szCs w:val="20"/>
                <w:color w:val="auto"/>
              </w:rPr>
            </w:pPr>
            <w:r>
              <w:rPr>
                <w:rFonts w:ascii="Arial" w:cs="Arial" w:eastAsia="Arial" w:hAnsi="Arial"/>
                <w:sz w:val="19"/>
                <w:szCs w:val="19"/>
                <w:color w:val="auto"/>
              </w:rPr>
              <w:t>An analysis of financial income and costs is as follows:</w:t>
            </w:r>
          </w:p>
        </w:tc>
        <w:tc>
          <w:tcPr>
            <w:tcW w:w="3060" w:type="dxa"/>
            <w:vAlign w:val="bottom"/>
            <w:gridSpan w:val="9"/>
            <w:vMerge w:val="restart"/>
          </w:tcPr>
          <w:p>
            <w:pPr>
              <w:jc w:val="right"/>
              <w:ind w:right="352"/>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68"/>
              <w:spacing w:after="0" w:line="169"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72"/>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Financial Income</w:t>
            </w:r>
          </w:p>
        </w:tc>
        <w:tc>
          <w:tcPr>
            <w:tcW w:w="7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9"/>
                <w:szCs w:val="19"/>
                <w:color w:val="auto"/>
              </w:rPr>
              <w:t>Interest income</w:t>
            </w: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720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2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financial income</w:t>
            </w:r>
          </w:p>
        </w:tc>
        <w:tc>
          <w:tcPr>
            <w:tcW w:w="6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274</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427</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720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9"/>
                <w:szCs w:val="19"/>
                <w:b w:val="1"/>
                <w:bCs w:val="1"/>
                <w:color w:val="auto"/>
              </w:rPr>
              <w:t>Financial Costs</w:t>
            </w: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Amortization and write-off of deferred loan/bond issuance costs and premium</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15,362</w:t>
            </w:r>
          </w:p>
        </w:tc>
        <w:tc>
          <w:tcPr>
            <w:tcW w:w="8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11,355</w:t>
            </w:r>
          </w:p>
        </w:tc>
        <w:tc>
          <w:tcPr>
            <w:tcW w:w="100" w:type="dxa"/>
            <w:vAlign w:val="bottom"/>
            <w:shd w:val="clear" w:color="auto" w:fill="E5FFFF"/>
          </w:tcPr>
          <w:p>
            <w:pPr>
              <w:spacing w:after="0"/>
              <w:rPr>
                <w:sz w:val="21"/>
                <w:szCs w:val="21"/>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35,141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Interest expense on loans and realized loss on cash flow hedges</w:t>
            </w:r>
          </w:p>
        </w:tc>
        <w:tc>
          <w:tcPr>
            <w:tcW w:w="780" w:type="dxa"/>
            <w:vAlign w:val="bottom"/>
          </w:tcPr>
          <w:p>
            <w:pPr>
              <w:jc w:val="right"/>
              <w:spacing w:after="0"/>
              <w:rPr>
                <w:sz w:val="20"/>
                <w:szCs w:val="20"/>
                <w:color w:val="auto"/>
              </w:rPr>
            </w:pPr>
            <w:r>
              <w:rPr>
                <w:rFonts w:ascii="Arial" w:cs="Arial" w:eastAsia="Arial" w:hAnsi="Arial"/>
                <w:sz w:val="19"/>
                <w:szCs w:val="19"/>
                <w:color w:val="auto"/>
              </w:rPr>
              <w:t>43,743</w:t>
            </w:r>
          </w:p>
        </w:tc>
        <w:tc>
          <w:tcPr>
            <w:tcW w:w="8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68,253</w:t>
            </w:r>
          </w:p>
        </w:tc>
        <w:tc>
          <w:tcPr>
            <w:tcW w:w="1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76,495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Interest expense on Bonds and realized loss on cross currency swaps</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9,533</w:t>
            </w:r>
          </w:p>
        </w:tc>
        <w:tc>
          <w:tcPr>
            <w:tcW w:w="8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11,331</w:t>
            </w:r>
          </w:p>
        </w:tc>
        <w:tc>
          <w:tcPr>
            <w:tcW w:w="100" w:type="dxa"/>
            <w:vAlign w:val="bottom"/>
            <w:shd w:val="clear" w:color="auto" w:fill="E5FFFF"/>
          </w:tcPr>
          <w:p>
            <w:pPr>
              <w:spacing w:after="0"/>
              <w:rPr>
                <w:sz w:val="21"/>
                <w:szCs w:val="21"/>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11,723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9"/>
                <w:szCs w:val="19"/>
                <w:color w:val="auto"/>
              </w:rPr>
              <w:t>Finance lease charge</w:t>
            </w:r>
          </w:p>
        </w:tc>
        <w:tc>
          <w:tcPr>
            <w:tcW w:w="8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9,367</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Loss arising on bond repurchase at a premium (Note 13)</w:t>
            </w:r>
          </w:p>
        </w:tc>
        <w:tc>
          <w:tcPr>
            <w:tcW w:w="860" w:type="dxa"/>
            <w:vAlign w:val="bottom"/>
            <w:gridSpan w:val="2"/>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2,120</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9"/>
                <w:szCs w:val="19"/>
                <w:color w:val="auto"/>
              </w:rPr>
              <w:t>Other financial costs</w:t>
            </w: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2,470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34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financial costs</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71,579</w:t>
            </w:r>
          </w:p>
        </w:tc>
        <w:tc>
          <w:tcPr>
            <w:tcW w:w="8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b w:val="1"/>
                <w:bCs w:val="1"/>
                <w:color w:val="auto"/>
              </w:rPr>
              <w:t>91,956</w:t>
            </w:r>
          </w:p>
        </w:tc>
        <w:tc>
          <w:tcPr>
            <w:tcW w:w="100" w:type="dxa"/>
            <w:vAlign w:val="bottom"/>
            <w:shd w:val="clear" w:color="auto" w:fill="E5FFFF"/>
          </w:tcPr>
          <w:p>
            <w:pPr>
              <w:spacing w:after="0"/>
              <w:rPr>
                <w:sz w:val="21"/>
                <w:szCs w:val="21"/>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b w:val="1"/>
                <w:bCs w:val="1"/>
                <w:color w:val="auto"/>
              </w:rPr>
              <w:t>137,316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300" w:firstLine="357"/>
        <w:spacing w:after="0" w:line="259" w:lineRule="auto"/>
        <w:rPr>
          <w:sz w:val="20"/>
          <w:szCs w:val="20"/>
          <w:color w:val="auto"/>
        </w:rPr>
      </w:pPr>
      <w:r>
        <w:rPr>
          <w:rFonts w:ascii="Arial" w:cs="Arial" w:eastAsia="Arial" w:hAnsi="Arial"/>
          <w:sz w:val="19"/>
          <w:szCs w:val="19"/>
          <w:color w:val="auto"/>
        </w:rPr>
        <w:t>During the year ended December 31, 2016, an amount of $23,097 representing the write-off of the unamortized deferred loan and bond issuance costs in connection with the loan and bond refinancings described in Note 13 is included in Amortization and write-off of deferred loan/bond issuance costs and premium. Also, during the year ended December 31, 2014, an amount of $9,019 representing the write-off of the unamortized deferred loan issuance costs in connection with the refinancing of the Partnership’s credit facilities (Note 12) is included in Amortization and write-off of deferred loan/bond issuance costs and premium.</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19. Contingencies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color w:val="auto"/>
        </w:rPr>
        <w:t>20. Related Party Transactions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had the following balances with related parties which have been included in the consolidated statements of financial position:</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Dividends receivable and other amounts due from related parties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74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w w:val="99"/>
              </w:rPr>
              <w:t>As of December 31,</w:t>
            </w:r>
          </w:p>
        </w:tc>
      </w:tr>
      <w:tr>
        <w:trPr>
          <w:trHeight w:val="169"/>
        </w:trPr>
        <w:tc>
          <w:tcPr>
            <w:tcW w:w="8740" w:type="dxa"/>
            <w:vAlign w:val="bottom"/>
          </w:tcPr>
          <w:p>
            <w:pPr>
              <w:spacing w:after="0"/>
              <w:rPr>
                <w:sz w:val="14"/>
                <w:szCs w:val="14"/>
                <w:color w:val="auto"/>
              </w:rPr>
            </w:pPr>
          </w:p>
        </w:tc>
        <w:tc>
          <w:tcPr>
            <w:tcW w:w="66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740" w:type="dxa"/>
            <w:vAlign w:val="bottom"/>
            <w:shd w:val="clear" w:color="auto" w:fill="E5FFFF"/>
          </w:tcPr>
          <w:p>
            <w:pPr>
              <w:spacing w:after="0"/>
              <w:rPr>
                <w:sz w:val="20"/>
                <w:szCs w:val="20"/>
                <w:color w:val="auto"/>
              </w:rPr>
            </w:pPr>
            <w:r>
              <w:rPr>
                <w:rFonts w:ascii="Arial" w:cs="Arial" w:eastAsia="Arial" w:hAnsi="Arial"/>
                <w:sz w:val="19"/>
                <w:szCs w:val="19"/>
                <w:color w:val="auto"/>
              </w:rPr>
              <w:t>Dividends receivable from associate (Note 5)</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925</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750</w:t>
            </w:r>
          </w:p>
        </w:tc>
      </w:tr>
      <w:tr>
        <w:trPr>
          <w:trHeight w:val="243"/>
        </w:trPr>
        <w:tc>
          <w:tcPr>
            <w:tcW w:w="8740" w:type="dxa"/>
            <w:vAlign w:val="bottom"/>
          </w:tcPr>
          <w:p>
            <w:pPr>
              <w:spacing w:after="0"/>
              <w:rPr>
                <w:sz w:val="20"/>
                <w:szCs w:val="20"/>
                <w:color w:val="auto"/>
              </w:rPr>
            </w:pPr>
            <w:r>
              <w:rPr>
                <w:rFonts w:ascii="Arial" w:cs="Arial" w:eastAsia="Arial" w:hAnsi="Arial"/>
                <w:sz w:val="19"/>
                <w:szCs w:val="19"/>
                <w:color w:val="auto"/>
              </w:rPr>
              <w:t>Due from Cool Pool Limited</w:t>
            </w:r>
          </w:p>
        </w:tc>
        <w:tc>
          <w:tcPr>
            <w:tcW w:w="660" w:type="dxa"/>
            <w:vAlign w:val="bottom"/>
          </w:tcPr>
          <w:p>
            <w:pPr>
              <w:jc w:val="right"/>
              <w:spacing w:after="0"/>
              <w:rPr>
                <w:sz w:val="20"/>
                <w:szCs w:val="20"/>
                <w:color w:val="auto"/>
              </w:rPr>
            </w:pPr>
            <w:r>
              <w:rPr>
                <w:rFonts w:ascii="Arial" w:cs="Arial" w:eastAsia="Arial" w:hAnsi="Arial"/>
                <w:sz w:val="19"/>
                <w:szCs w:val="19"/>
                <w:color w:val="auto"/>
              </w:rPr>
              <w:t>249</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1,930</w:t>
            </w:r>
          </w:p>
        </w:tc>
      </w:tr>
      <w:tr>
        <w:trPr>
          <w:trHeight w:val="243"/>
        </w:trPr>
        <w:tc>
          <w:tcPr>
            <w:tcW w:w="8740" w:type="dxa"/>
            <w:vAlign w:val="bottom"/>
            <w:shd w:val="clear" w:color="auto" w:fill="E5FFFF"/>
          </w:tcPr>
          <w:p>
            <w:pPr>
              <w:spacing w:after="0"/>
              <w:rPr>
                <w:sz w:val="20"/>
                <w:szCs w:val="20"/>
                <w:color w:val="auto"/>
              </w:rPr>
            </w:pPr>
            <w:r>
              <w:rPr>
                <w:rFonts w:ascii="Arial" w:cs="Arial" w:eastAsia="Arial" w:hAnsi="Arial"/>
                <w:sz w:val="19"/>
                <w:szCs w:val="19"/>
                <w:color w:val="auto"/>
              </w:rPr>
              <w:t>Other receivables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171</w:t>
            </w:r>
          </w:p>
        </w:tc>
        <w:tc>
          <w:tcPr>
            <w:tcW w:w="32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385</w:t>
            </w:r>
          </w:p>
        </w:tc>
      </w:tr>
      <w:tr>
        <w:trPr>
          <w:trHeight w:val="250"/>
        </w:trPr>
        <w:tc>
          <w:tcPr>
            <w:tcW w:w="874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1,345</w:t>
            </w: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3,065</w:t>
            </w:r>
          </w:p>
        </w:tc>
      </w:tr>
      <w:tr>
        <w:trPr>
          <w:trHeight w:val="20"/>
        </w:trPr>
        <w:tc>
          <w:tcPr>
            <w:tcW w:w="8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amount due from Cool Pool Limited represents net revenue invoiced to GasLog which has not yet been collected.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Current Liabilities</w:t>
      </w:r>
    </w:p>
    <w:p>
      <w:pPr>
        <w:spacing w:after="0" w:line="2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9525</wp:posOffset>
            </wp:positionV>
            <wp:extent cx="16808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8700"/>
        <w:spacing w:after="0"/>
        <w:tabs>
          <w:tab w:leader="none" w:pos="1014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2016</w:t>
      </w:r>
    </w:p>
    <w:tbl>
      <w:tblPr>
        <w:tblLayout w:type="fixed"/>
        <w:tblInd w:w="500" w:type="dxa"/>
        <w:tblCellMar>
          <w:top w:w="0" w:type="dxa"/>
          <w:left w:w="0" w:type="dxa"/>
          <w:bottom w:w="0" w:type="dxa"/>
          <w:right w:w="0" w:type="dxa"/>
        </w:tblCellMar>
      </w:tblPr>
      <w:tr>
        <w:trPr>
          <w:trHeight w:val="237"/>
        </w:trPr>
        <w:tc>
          <w:tcPr>
            <w:tcW w:w="7760" w:type="dxa"/>
            <w:vAlign w:val="bottom"/>
            <w:shd w:val="clear" w:color="auto" w:fill="E5FFFF"/>
          </w:tcPr>
          <w:p>
            <w:pPr>
              <w:spacing w:after="0"/>
              <w:rPr>
                <w:sz w:val="20"/>
                <w:szCs w:val="20"/>
                <w:color w:val="auto"/>
              </w:rPr>
            </w:pPr>
            <w:r>
              <w:rPr>
                <w:rFonts w:ascii="Arial" w:cs="Arial" w:eastAsia="Arial" w:hAnsi="Arial"/>
                <w:sz w:val="19"/>
                <w:szCs w:val="19"/>
                <w:color w:val="auto"/>
              </w:rPr>
              <w:t>Ship management creditors</w:t>
            </w:r>
          </w:p>
        </w:tc>
        <w:tc>
          <w:tcPr>
            <w:tcW w:w="1180" w:type="dxa"/>
            <w:vAlign w:val="bottom"/>
            <w:tcBorders>
              <w:top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60</w:t>
            </w:r>
          </w:p>
        </w:tc>
        <w:tc>
          <w:tcPr>
            <w:tcW w:w="300" w:type="dxa"/>
            <w:vAlign w:val="bottom"/>
            <w:shd w:val="clear" w:color="auto" w:fill="E5FFFF"/>
          </w:tcPr>
          <w:p>
            <w:pPr>
              <w:spacing w:after="0"/>
              <w:rPr>
                <w:sz w:val="20"/>
                <w:szCs w:val="20"/>
                <w:color w:val="auto"/>
              </w:rPr>
            </w:pPr>
          </w:p>
        </w:tc>
        <w:tc>
          <w:tcPr>
            <w:tcW w:w="116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45</w:t>
            </w:r>
          </w:p>
        </w:tc>
      </w:tr>
      <w:tr>
        <w:trPr>
          <w:trHeight w:val="247"/>
        </w:trPr>
        <w:tc>
          <w:tcPr>
            <w:tcW w:w="7760" w:type="dxa"/>
            <w:vAlign w:val="bottom"/>
          </w:tcPr>
          <w:p>
            <w:pPr>
              <w:spacing w:after="0"/>
              <w:rPr>
                <w:sz w:val="20"/>
                <w:szCs w:val="20"/>
                <w:color w:val="auto"/>
              </w:rPr>
            </w:pPr>
            <w:r>
              <w:rPr>
                <w:rFonts w:ascii="Arial" w:cs="Arial" w:eastAsia="Arial" w:hAnsi="Arial"/>
                <w:sz w:val="19"/>
                <w:szCs w:val="19"/>
                <w:color w:val="auto"/>
              </w:rPr>
              <w:t>Amounts due to related parties</w:t>
            </w:r>
          </w:p>
        </w:tc>
        <w:tc>
          <w:tcPr>
            <w:tcW w:w="1180" w:type="dxa"/>
            <w:vAlign w:val="bottom"/>
          </w:tcPr>
          <w:p>
            <w:pPr>
              <w:jc w:val="right"/>
              <w:ind w:right="43"/>
              <w:spacing w:after="0"/>
              <w:rPr>
                <w:sz w:val="20"/>
                <w:szCs w:val="20"/>
                <w:color w:val="auto"/>
              </w:rPr>
            </w:pPr>
            <w:r>
              <w:rPr>
                <w:rFonts w:ascii="Arial" w:cs="Arial" w:eastAsia="Arial" w:hAnsi="Arial"/>
                <w:sz w:val="19"/>
                <w:szCs w:val="19"/>
                <w:color w:val="auto"/>
              </w:rPr>
              <w:t>163</w:t>
            </w:r>
          </w:p>
        </w:tc>
        <w:tc>
          <w:tcPr>
            <w:tcW w:w="1460" w:type="dxa"/>
            <w:vAlign w:val="bottom"/>
            <w:gridSpan w:val="2"/>
          </w:tcPr>
          <w:p>
            <w:pPr>
              <w:jc w:val="right"/>
              <w:ind w:right="63"/>
              <w:spacing w:after="0"/>
              <w:rPr>
                <w:sz w:val="20"/>
                <w:szCs w:val="20"/>
                <w:color w:val="auto"/>
              </w:rPr>
            </w:pPr>
            <w:r>
              <w:rPr>
                <w:rFonts w:ascii="Arial" w:cs="Arial" w:eastAsia="Arial" w:hAnsi="Arial"/>
                <w:sz w:val="19"/>
                <w:szCs w:val="19"/>
                <w:color w:val="auto"/>
              </w:rPr>
              <w:t>105</w:t>
            </w:r>
          </w:p>
        </w:tc>
      </w:tr>
    </w:tbl>
    <w:p>
      <w:pPr>
        <w:spacing w:after="0" w:line="91"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Ship management creditors’ liability comprises cash collected from Egypt LNG Shipping Ltd. to cover the obligations of its vessel under the Group’s management.</w:t>
      </w:r>
    </w:p>
    <w:p>
      <w:pPr>
        <w:spacing w:after="0" w:line="5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Amounts due to related parties of $105 (December 31, 2015: $163) are expenses paid by a related party on behalf of the Group and payables to other related parties for the office lease and other operating expenses.</w:t>
      </w:r>
    </w:p>
    <w:p>
      <w:pPr>
        <w:spacing w:after="0" w:line="52" w:lineRule="exact"/>
        <w:rPr>
          <w:sz w:val="20"/>
          <w:szCs w:val="20"/>
          <w:color w:val="auto"/>
        </w:rPr>
      </w:pPr>
    </w:p>
    <w:p>
      <w:pPr>
        <w:ind w:right="20" w:firstLine="357"/>
        <w:spacing w:after="0" w:line="261" w:lineRule="auto"/>
        <w:rPr>
          <w:sz w:val="20"/>
          <w:szCs w:val="20"/>
          <w:color w:val="auto"/>
        </w:rPr>
      </w:pPr>
      <w:r>
        <w:rPr>
          <w:rFonts w:ascii="Arial" w:cs="Arial" w:eastAsia="Arial" w:hAnsi="Arial"/>
          <w:sz w:val="19"/>
          <w:szCs w:val="19"/>
          <w:color w:val="auto"/>
        </w:rPr>
        <w:t>The Group had the following transactions with related parties which have been included in the consolidated statements of profit or loss for the years ended December 31, 2014, 2015 and 2016:</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Statement of</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Company</w:t>
            </w:r>
          </w:p>
        </w:tc>
        <w:tc>
          <w:tcPr>
            <w:tcW w:w="280" w:type="dxa"/>
            <w:vAlign w:val="bottom"/>
          </w:tcPr>
          <w:p>
            <w:pPr>
              <w:spacing w:after="0"/>
              <w:rPr>
                <w:sz w:val="17"/>
                <w:szCs w:val="17"/>
                <w:color w:val="auto"/>
              </w:rPr>
            </w:pPr>
          </w:p>
        </w:tc>
        <w:tc>
          <w:tcPr>
            <w:tcW w:w="248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Details</w:t>
            </w:r>
          </w:p>
        </w:tc>
        <w:tc>
          <w:tcPr>
            <w:tcW w:w="280" w:type="dxa"/>
            <w:vAlign w:val="bottom"/>
          </w:tcPr>
          <w:p>
            <w:pPr>
              <w:spacing w:after="0"/>
              <w:rPr>
                <w:sz w:val="17"/>
                <w:szCs w:val="17"/>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income account</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2014</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7"/>
                <w:szCs w:val="17"/>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(a)</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Egypt LNG Shipping Ltd.</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Vessel management services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Revenues</w:t>
            </w:r>
          </w:p>
        </w:tc>
        <w:tc>
          <w:tcPr>
            <w:tcW w:w="6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731</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607</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(b)</w:t>
            </w:r>
          </w:p>
        </w:tc>
        <w:tc>
          <w:tcPr>
            <w:tcW w:w="2500" w:type="dxa"/>
            <w:vAlign w:val="bottom"/>
          </w:tcPr>
          <w:p>
            <w:pPr>
              <w:spacing w:after="0"/>
              <w:rPr>
                <w:sz w:val="20"/>
                <w:szCs w:val="20"/>
                <w:color w:val="auto"/>
              </w:rPr>
            </w:pPr>
            <w:r>
              <w:rPr>
                <w:rFonts w:ascii="Arial" w:cs="Arial" w:eastAsia="Arial" w:hAnsi="Arial"/>
                <w:sz w:val="16"/>
                <w:szCs w:val="16"/>
                <w:color w:val="auto"/>
              </w:rPr>
              <w:t>Nea Dimitra Property</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Office rent and utilities</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758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704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(b)</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Nea Dimitra Property</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Other office services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(c)</w:t>
            </w:r>
          </w:p>
        </w:tc>
        <w:tc>
          <w:tcPr>
            <w:tcW w:w="2500" w:type="dxa"/>
            <w:vAlign w:val="bottom"/>
          </w:tcPr>
          <w:p>
            <w:pPr>
              <w:spacing w:after="0"/>
              <w:rPr>
                <w:sz w:val="20"/>
                <w:szCs w:val="20"/>
                <w:color w:val="auto"/>
              </w:rPr>
            </w:pPr>
            <w:r>
              <w:rPr>
                <w:rFonts w:ascii="Arial" w:cs="Arial" w:eastAsia="Arial" w:hAnsi="Arial"/>
                <w:sz w:val="16"/>
                <w:szCs w:val="16"/>
                <w:color w:val="auto"/>
              </w:rPr>
              <w:t>Euronav (UK) Agencies Ltd.</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Office rent and utilities</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646</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(c)</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Euronav (UK) Agencies Ltd.</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Professional services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5FFFF"/>
            </w:tcBorders>
            <w:shd w:val="clear" w:color="auto" w:fill="E5FFFF"/>
          </w:tcPr>
          <w:p>
            <w:pPr>
              <w:spacing w:after="0"/>
              <w:rPr>
                <w:sz w:val="19"/>
                <w:szCs w:val="19"/>
                <w:color w:val="auto"/>
              </w:rPr>
            </w:pPr>
          </w:p>
        </w:tc>
        <w:tc>
          <w:tcPr>
            <w:tcW w:w="56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(d)</w:t>
            </w:r>
          </w:p>
        </w:tc>
        <w:tc>
          <w:tcPr>
            <w:tcW w:w="2500" w:type="dxa"/>
            <w:vAlign w:val="bottom"/>
          </w:tcPr>
          <w:p>
            <w:pPr>
              <w:spacing w:after="0"/>
              <w:rPr>
                <w:sz w:val="20"/>
                <w:szCs w:val="20"/>
                <w:color w:val="auto"/>
              </w:rPr>
            </w:pPr>
            <w:r>
              <w:rPr>
                <w:rFonts w:ascii="Arial" w:cs="Arial" w:eastAsia="Arial" w:hAnsi="Arial"/>
                <w:sz w:val="16"/>
                <w:szCs w:val="16"/>
                <w:color w:val="auto"/>
              </w:rPr>
              <w:t>Seres S.A.</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Catering services</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(d)</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Seres S.A.</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Consultancy services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53</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42</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(e)</w:t>
            </w:r>
          </w:p>
        </w:tc>
        <w:tc>
          <w:tcPr>
            <w:tcW w:w="2500" w:type="dxa"/>
            <w:vAlign w:val="bottom"/>
          </w:tcPr>
          <w:p>
            <w:pPr>
              <w:spacing w:after="0"/>
              <w:rPr>
                <w:sz w:val="20"/>
                <w:szCs w:val="20"/>
                <w:color w:val="auto"/>
              </w:rPr>
            </w:pPr>
            <w:r>
              <w:rPr>
                <w:rFonts w:ascii="Arial" w:cs="Arial" w:eastAsia="Arial" w:hAnsi="Arial"/>
                <w:sz w:val="16"/>
                <w:szCs w:val="16"/>
                <w:color w:val="auto"/>
              </w:rPr>
              <w:t>C Transport Maritime S.A.M.</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Claims and insurance fee</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(f)</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Chartwell Management Inc.</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Travel expenses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348</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163</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(g)</w:t>
            </w:r>
          </w:p>
        </w:tc>
        <w:tc>
          <w:tcPr>
            <w:tcW w:w="2500" w:type="dxa"/>
            <w:vAlign w:val="bottom"/>
          </w:tcPr>
          <w:p>
            <w:pPr>
              <w:spacing w:after="0"/>
              <w:rPr>
                <w:sz w:val="20"/>
                <w:szCs w:val="20"/>
                <w:color w:val="auto"/>
              </w:rPr>
            </w:pPr>
            <w:r>
              <w:rPr>
                <w:rFonts w:ascii="Arial" w:cs="Arial" w:eastAsia="Arial" w:hAnsi="Arial"/>
                <w:sz w:val="16"/>
                <w:szCs w:val="16"/>
                <w:color w:val="auto"/>
              </w:rPr>
              <w:t>Unisea Maritime Ltd.</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Office rent and utilities</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(h)</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Blenheim Holdings Ltd.</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Professional services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Borders>
              <w:bottom w:val="single" w:sz="8" w:color="E5FFFF"/>
            </w:tcBorders>
            <w:shd w:val="clear" w:color="auto" w:fill="E5FFFF"/>
          </w:tcPr>
          <w:p>
            <w:pPr>
              <w:spacing w:after="0"/>
              <w:rPr>
                <w:sz w:val="19"/>
                <w:szCs w:val="19"/>
                <w:color w:val="auto"/>
              </w:rPr>
            </w:pPr>
          </w:p>
        </w:tc>
        <w:tc>
          <w:tcPr>
            <w:tcW w:w="38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E5FFFF"/>
            </w:tcBorders>
            <w:shd w:val="clear" w:color="auto" w:fill="E5FFFF"/>
          </w:tcPr>
          <w:p>
            <w:pPr>
              <w:spacing w:after="0"/>
              <w:rPr>
                <w:sz w:val="19"/>
                <w:szCs w:val="19"/>
                <w:color w:val="auto"/>
              </w:rPr>
            </w:pPr>
          </w:p>
        </w:tc>
        <w:tc>
          <w:tcPr>
            <w:tcW w:w="56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line="156" w:lineRule="exact"/>
              <w:rPr>
                <w:sz w:val="20"/>
                <w:szCs w:val="20"/>
                <w:color w:val="auto"/>
              </w:rPr>
            </w:pPr>
            <w:r>
              <w:rPr>
                <w:rFonts w:ascii="Arial" w:cs="Arial" w:eastAsia="Arial" w:hAnsi="Arial"/>
                <w:sz w:val="16"/>
                <w:szCs w:val="16"/>
                <w:color w:val="auto"/>
              </w:rPr>
              <w:t>(i)</w:t>
            </w:r>
          </w:p>
        </w:tc>
        <w:tc>
          <w:tcPr>
            <w:tcW w:w="2500" w:type="dxa"/>
            <w:vAlign w:val="bottom"/>
          </w:tcPr>
          <w:p>
            <w:pPr>
              <w:spacing w:after="0" w:line="156" w:lineRule="exact"/>
              <w:rPr>
                <w:sz w:val="20"/>
                <w:szCs w:val="20"/>
                <w:color w:val="auto"/>
              </w:rPr>
            </w:pPr>
            <w:r>
              <w:rPr>
                <w:rFonts w:ascii="Arial" w:cs="Arial" w:eastAsia="Arial" w:hAnsi="Arial"/>
                <w:sz w:val="16"/>
                <w:szCs w:val="16"/>
                <w:color w:val="auto"/>
                <w:w w:val="94"/>
              </w:rPr>
              <w:t>A.S. Papadimitriou and Partners Law</w:t>
            </w:r>
          </w:p>
        </w:tc>
        <w:tc>
          <w:tcPr>
            <w:tcW w:w="2760" w:type="dxa"/>
            <w:vAlign w:val="bottom"/>
            <w:gridSpan w:val="2"/>
          </w:tcPr>
          <w:p>
            <w:pPr>
              <w:ind w:left="280"/>
              <w:spacing w:after="0" w:line="156" w:lineRule="exact"/>
              <w:rPr>
                <w:sz w:val="20"/>
                <w:szCs w:val="20"/>
                <w:color w:val="auto"/>
              </w:rPr>
            </w:pPr>
            <w:r>
              <w:rPr>
                <w:rFonts w:ascii="Arial" w:cs="Arial" w:eastAsia="Arial" w:hAnsi="Arial"/>
                <w:sz w:val="16"/>
                <w:szCs w:val="16"/>
                <w:color w:val="auto"/>
              </w:rPr>
              <w:t>Professional services</w:t>
            </w:r>
          </w:p>
        </w:tc>
        <w:tc>
          <w:tcPr>
            <w:tcW w:w="3380" w:type="dxa"/>
            <w:vAlign w:val="bottom"/>
            <w:gridSpan w:val="2"/>
          </w:tcPr>
          <w:p>
            <w:pPr>
              <w:ind w:left="280"/>
              <w:spacing w:after="0" w:line="156" w:lineRule="exact"/>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line="156"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tcPr>
          <w:p>
            <w:pPr>
              <w:ind w:left="180"/>
              <w:spacing w:after="0"/>
              <w:rPr>
                <w:sz w:val="20"/>
                <w:szCs w:val="20"/>
                <w:color w:val="auto"/>
              </w:rPr>
            </w:pPr>
            <w:r>
              <w:rPr>
                <w:rFonts w:ascii="Arial" w:cs="Arial" w:eastAsia="Arial" w:hAnsi="Arial"/>
                <w:sz w:val="16"/>
                <w:szCs w:val="16"/>
                <w:color w:val="auto"/>
              </w:rPr>
              <w:t>Firm</w:t>
            </w:r>
          </w:p>
        </w:tc>
        <w:tc>
          <w:tcPr>
            <w:tcW w:w="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(j)</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Cool Pool Limited</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Pool gross revenues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E5FFFF"/>
            </w:tcBorders>
            <w:shd w:val="clear" w:color="auto" w:fill="E5FFFF"/>
          </w:tcPr>
          <w:p>
            <w:pPr>
              <w:spacing w:after="0"/>
              <w:rPr>
                <w:sz w:val="19"/>
                <w:szCs w:val="19"/>
                <w:color w:val="auto"/>
              </w:rPr>
            </w:pPr>
          </w:p>
        </w:tc>
        <w:tc>
          <w:tcPr>
            <w:tcW w:w="38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2,469</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19,789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(j)</w:t>
            </w:r>
          </w:p>
        </w:tc>
        <w:tc>
          <w:tcPr>
            <w:tcW w:w="2500" w:type="dxa"/>
            <w:vAlign w:val="bottom"/>
          </w:tcPr>
          <w:p>
            <w:pPr>
              <w:spacing w:after="0"/>
              <w:rPr>
                <w:sz w:val="20"/>
                <w:szCs w:val="20"/>
                <w:color w:val="auto"/>
              </w:rPr>
            </w:pPr>
            <w:r>
              <w:rPr>
                <w:rFonts w:ascii="Arial" w:cs="Arial" w:eastAsia="Arial" w:hAnsi="Arial"/>
                <w:sz w:val="16"/>
                <w:szCs w:val="16"/>
                <w:color w:val="auto"/>
              </w:rPr>
              <w:t>Cool Pool Limited</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Pool gross bunkers</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Voyage expenses and commissions</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1,838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3,027</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(j)</w:t>
            </w:r>
          </w:p>
        </w:tc>
        <w:tc>
          <w:tcPr>
            <w:tcW w:w="25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Cool Pool Limited</w:t>
            </w:r>
          </w:p>
        </w:tc>
        <w:tc>
          <w:tcPr>
            <w:tcW w:w="276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Pool other voyage expenses</w:t>
            </w:r>
          </w:p>
        </w:tc>
        <w:tc>
          <w:tcPr>
            <w:tcW w:w="3380" w:type="dxa"/>
            <w:vAlign w:val="bottom"/>
            <w:tcBorders>
              <w:bottom w:val="single" w:sz="8" w:color="E5FFFF"/>
            </w:tcBorders>
            <w:gridSpan w:val="2"/>
            <w:shd w:val="clear" w:color="auto" w:fill="E5FFFF"/>
          </w:tcPr>
          <w:p>
            <w:pPr>
              <w:ind w:left="280"/>
              <w:spacing w:after="0"/>
              <w:rPr>
                <w:sz w:val="20"/>
                <w:szCs w:val="20"/>
                <w:color w:val="auto"/>
              </w:rPr>
            </w:pPr>
            <w:r>
              <w:rPr>
                <w:rFonts w:ascii="Arial" w:cs="Arial" w:eastAsia="Arial" w:hAnsi="Arial"/>
                <w:sz w:val="16"/>
                <w:szCs w:val="16"/>
                <w:color w:val="auto"/>
              </w:rPr>
              <w:t>Voyage expenses and commissions</w:t>
            </w:r>
          </w:p>
        </w:tc>
        <w:tc>
          <w:tcPr>
            <w:tcW w:w="280" w:type="dxa"/>
            <w:vAlign w:val="bottom"/>
            <w:tcBorders>
              <w:bottom w:val="single" w:sz="8" w:color="E5FFFF"/>
            </w:tcBorders>
            <w:shd w:val="clear" w:color="auto" w:fill="E5FFFF"/>
          </w:tcPr>
          <w:p>
            <w:pPr>
              <w:spacing w:after="0"/>
              <w:rPr>
                <w:sz w:val="19"/>
                <w:szCs w:val="19"/>
                <w:color w:val="auto"/>
              </w:rPr>
            </w:pPr>
          </w:p>
        </w:tc>
        <w:tc>
          <w:tcPr>
            <w:tcW w:w="38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20</w:t>
            </w:r>
          </w:p>
        </w:tc>
        <w:tc>
          <w:tcPr>
            <w:tcW w:w="800" w:type="dxa"/>
            <w:vAlign w:val="bottom"/>
            <w:tcBorders>
              <w:bottom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(j)</w:t>
            </w:r>
          </w:p>
        </w:tc>
        <w:tc>
          <w:tcPr>
            <w:tcW w:w="2500" w:type="dxa"/>
            <w:vAlign w:val="bottom"/>
          </w:tcPr>
          <w:p>
            <w:pPr>
              <w:spacing w:after="0"/>
              <w:rPr>
                <w:sz w:val="20"/>
                <w:szCs w:val="20"/>
                <w:color w:val="auto"/>
              </w:rPr>
            </w:pPr>
            <w:r>
              <w:rPr>
                <w:rFonts w:ascii="Arial" w:cs="Arial" w:eastAsia="Arial" w:hAnsi="Arial"/>
                <w:sz w:val="16"/>
                <w:szCs w:val="16"/>
                <w:color w:val="auto"/>
              </w:rPr>
              <w:t>Cool Pool Limited</w:t>
            </w:r>
          </w:p>
        </w:tc>
        <w:tc>
          <w:tcPr>
            <w:tcW w:w="2760" w:type="dxa"/>
            <w:vAlign w:val="bottom"/>
            <w:gridSpan w:val="2"/>
          </w:tcPr>
          <w:p>
            <w:pPr>
              <w:ind w:left="280"/>
              <w:spacing w:after="0"/>
              <w:rPr>
                <w:sz w:val="20"/>
                <w:szCs w:val="20"/>
                <w:color w:val="auto"/>
              </w:rPr>
            </w:pPr>
            <w:r>
              <w:rPr>
                <w:rFonts w:ascii="Arial" w:cs="Arial" w:eastAsia="Arial" w:hAnsi="Arial"/>
                <w:sz w:val="16"/>
                <w:szCs w:val="16"/>
                <w:color w:val="auto"/>
              </w:rPr>
              <w:t>Adjustment for net pool allocation</w:t>
            </w:r>
          </w:p>
        </w:tc>
        <w:tc>
          <w:tcPr>
            <w:tcW w:w="3380" w:type="dxa"/>
            <w:vAlign w:val="bottom"/>
            <w:gridSpan w:val="2"/>
          </w:tcPr>
          <w:p>
            <w:pPr>
              <w:ind w:left="280"/>
              <w:spacing w:after="0"/>
              <w:rPr>
                <w:sz w:val="20"/>
                <w:szCs w:val="20"/>
                <w:color w:val="auto"/>
              </w:rPr>
            </w:pPr>
            <w:r>
              <w:rPr>
                <w:rFonts w:ascii="Arial" w:cs="Arial" w:eastAsia="Arial" w:hAnsi="Arial"/>
                <w:sz w:val="16"/>
                <w:szCs w:val="16"/>
                <w:color w:val="auto"/>
              </w:rPr>
              <w:t>Voyage expenses and commissions</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4,674</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80" w:right="140" w:hanging="187"/>
        <w:spacing w:after="0" w:line="251" w:lineRule="auto"/>
        <w:tabs>
          <w:tab w:leader="none" w:pos="380" w:val="left"/>
        </w:tabs>
        <w:numPr>
          <w:ilvl w:val="0"/>
          <w:numId w:val="111"/>
        </w:numPr>
        <w:rPr>
          <w:rFonts w:ascii="Arial" w:cs="Arial" w:eastAsia="Arial" w:hAnsi="Arial"/>
          <w:sz w:val="9"/>
          <w:szCs w:val="9"/>
          <w:color w:val="auto"/>
        </w:rPr>
      </w:pPr>
      <w:r>
        <w:rPr>
          <w:rFonts w:ascii="Arial" w:cs="Arial" w:eastAsia="Arial" w:hAnsi="Arial"/>
          <w:sz w:val="16"/>
          <w:szCs w:val="16"/>
          <w:color w:val="auto"/>
        </w:rPr>
        <w:t>One of the Group’s subsidiaries, GasLog LNG Services Ltd. provides vessel management services to Egypt LNG Shipping Ltd., the LNG vessel owning company, in which another subsidiary, GasLog Shipping Company Ltd., holds a 25% ownership interest.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9" w:name="page180"/>
    <w:bookmarkEnd w:id="179"/>
    <w:p>
      <w:pPr>
        <w:ind w:left="200" w:right="40" w:hanging="192"/>
        <w:spacing w:after="0" w:line="357" w:lineRule="auto"/>
        <w:tabs>
          <w:tab w:leader="none" w:pos="200" w:val="left"/>
        </w:tabs>
        <w:numPr>
          <w:ilvl w:val="0"/>
          <w:numId w:val="112"/>
        </w:numPr>
        <w:rPr>
          <w:rFonts w:ascii="Arial" w:cs="Arial" w:eastAsia="Arial" w:hAnsi="Arial"/>
          <w:sz w:val="8"/>
          <w:szCs w:val="8"/>
          <w:color w:val="auto"/>
        </w:rPr>
      </w:pPr>
      <w:r>
        <w:rPr>
          <w:rFonts w:ascii="Arial" w:cs="Arial" w:eastAsia="Arial" w:hAnsi="Arial"/>
          <w:sz w:val="13"/>
          <w:szCs w:val="13"/>
          <w:color w:val="auto"/>
        </w:rPr>
        <w:t>Through its subsidiary GasLog LNG Services Ltd., the Group leases office space in Piraeus, Greece, from an entity controlled by Ceres Shipping, Nea Dimitra Ktimatikh Kai Emporikh S.A. During the year ended December 31, 2014, the Group reimbursed Nea Dimitra for part of the renovation costs of the Piraeus office spaces.</w:t>
      </w:r>
    </w:p>
    <w:p>
      <w:pPr>
        <w:ind w:left="200" w:hanging="187"/>
        <w:spacing w:after="0" w:line="298" w:lineRule="auto"/>
        <w:tabs>
          <w:tab w:leader="none" w:pos="200" w:val="left"/>
        </w:tabs>
        <w:numPr>
          <w:ilvl w:val="0"/>
          <w:numId w:val="112"/>
        </w:numPr>
        <w:rPr>
          <w:rFonts w:ascii="Arial" w:cs="Arial" w:eastAsia="Arial" w:hAnsi="Arial"/>
          <w:sz w:val="8"/>
          <w:szCs w:val="8"/>
          <w:color w:val="auto"/>
        </w:rPr>
      </w:pPr>
      <w:r>
        <w:rPr>
          <w:rFonts w:ascii="Arial" w:cs="Arial" w:eastAsia="Arial" w:hAnsi="Arial"/>
          <w:sz w:val="13"/>
          <w:szCs w:val="13"/>
          <w:color w:val="auto"/>
        </w:rPr>
        <w:t>Through its subsidiary GasLog Services (UK) Ltd., the Group makes payments to Euronav (UK) Agencies Ltd. (“Euronav UK”), a subsidiary of Euronav NV, whose major shareholder was Mr. Livanos until November 2015, for the use of its office space in London. Euronav UK leases operating space pursuant to a service agreement with a third-party property owner and the Group occupies a portion of the leased space. The Group pays Euronav UK £223 per year for the office space plus a stamp duty, which reflects a pro rata portion of the fees payable to the third-party property owner determined based on the amount of occupied space. In addition, as of December 31, 2014, the Group reimbursed Euronav UK for part of the legal fees and other professional charges relating to the execution of the lease agreement. In 2016, Euronav UK was no longer a related party of the Group, thus the respective office rent and utilities’ expenses recorded in 2016 were not included in the above table.</w:t>
      </w:r>
    </w:p>
    <w:p>
      <w:pPr>
        <w:spacing w:after="0" w:line="34" w:lineRule="exact"/>
        <w:rPr>
          <w:rFonts w:ascii="Arial" w:cs="Arial" w:eastAsia="Arial" w:hAnsi="Arial"/>
          <w:sz w:val="8"/>
          <w:szCs w:val="8"/>
          <w:color w:val="auto"/>
        </w:rPr>
      </w:pPr>
    </w:p>
    <w:p>
      <w:pPr>
        <w:ind w:left="200" w:right="200" w:hanging="192"/>
        <w:spacing w:after="0" w:line="237" w:lineRule="auto"/>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70" w:lineRule="exact"/>
        <w:rPr>
          <w:rFonts w:ascii="Arial" w:cs="Arial" w:eastAsia="Arial" w:hAnsi="Arial"/>
          <w:sz w:val="9"/>
          <w:szCs w:val="9"/>
          <w:color w:val="auto"/>
        </w:rPr>
      </w:pPr>
    </w:p>
    <w:p>
      <w:pPr>
        <w:ind w:left="200" w:right="200" w:hanging="187"/>
        <w:spacing w:after="0" w:line="323" w:lineRule="auto"/>
        <w:tabs>
          <w:tab w:leader="none" w:pos="200" w:val="left"/>
        </w:tabs>
        <w:numPr>
          <w:ilvl w:val="0"/>
          <w:numId w:val="112"/>
        </w:numPr>
        <w:rPr>
          <w:rFonts w:ascii="Arial" w:cs="Arial" w:eastAsia="Arial" w:hAnsi="Arial"/>
          <w:sz w:val="8"/>
          <w:szCs w:val="8"/>
          <w:color w:val="auto"/>
        </w:rPr>
      </w:pPr>
      <w:r>
        <w:rPr>
          <w:rFonts w:ascii="Arial" w:cs="Arial" w:eastAsia="Arial" w:hAnsi="Arial"/>
          <w:sz w:val="13"/>
          <w:szCs w:val="13"/>
          <w:color w:val="auto"/>
        </w:rPr>
        <w:t>The Group through one of its subsidiaries, GasLog LNG Services Ltd., procured insurance for the vessels through C Transport Maritime S.A.M., an affiliate of Ceres Shipping, which has a dedicated insurance function. From July 1, 2011, this relationship is covered by a service agreement under which GasLog LNG Services Ltd. pays C Transport Maritime S.A.M. $10 per owned vessel per annum and $3 per managed vessel per annum. The service agreement was terminated in 2015.</w:t>
      </w:r>
    </w:p>
    <w:p>
      <w:pPr>
        <w:spacing w:after="0" w:line="17" w:lineRule="exact"/>
        <w:rPr>
          <w:rFonts w:ascii="Arial" w:cs="Arial" w:eastAsia="Arial" w:hAnsi="Arial"/>
          <w:sz w:val="8"/>
          <w:szCs w:val="8"/>
          <w:color w:val="auto"/>
        </w:rPr>
      </w:pPr>
    </w:p>
    <w:p>
      <w:pPr>
        <w:ind w:left="200" w:hanging="177"/>
        <w:spacing w:after="0"/>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Chartwell Management Inc. is an entity controlled by the Livanos family, which provides travel services to GasLog’s directors and officers.</w:t>
      </w:r>
    </w:p>
    <w:p>
      <w:pPr>
        <w:spacing w:after="0" w:line="86" w:lineRule="exact"/>
        <w:rPr>
          <w:rFonts w:ascii="Arial" w:cs="Arial" w:eastAsia="Arial" w:hAnsi="Arial"/>
          <w:sz w:val="9"/>
          <w:szCs w:val="9"/>
          <w:color w:val="auto"/>
        </w:rPr>
      </w:pPr>
    </w:p>
    <w:p>
      <w:pPr>
        <w:ind w:left="200" w:right="280" w:hanging="192"/>
        <w:spacing w:after="0" w:line="237" w:lineRule="auto"/>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Through GasLog the Group made payments to Unisea Maritime Ltd. (“Unisea Maritime”), an affiliate of Ceres Shipping, for the use of its office space in London. Unisea Maritime leased operating space pursuant to a service agreement with a third-party property owner and the Group occupied a portion of the leased space from January to August 2014. The Group paid Unisea Maritime £4 per month for its office space in London, which reflects a pro rata portion of the fees payable to the third-party owner determined based on the amount of occupied space.</w:t>
      </w:r>
    </w:p>
    <w:p>
      <w:pPr>
        <w:spacing w:after="0" w:line="70" w:lineRule="exact"/>
        <w:rPr>
          <w:rFonts w:ascii="Arial" w:cs="Arial" w:eastAsia="Arial" w:hAnsi="Arial"/>
          <w:sz w:val="9"/>
          <w:szCs w:val="9"/>
          <w:color w:val="auto"/>
        </w:rPr>
      </w:pPr>
    </w:p>
    <w:p>
      <w:pPr>
        <w:ind w:left="200" w:right="100"/>
        <w:spacing w:after="0" w:line="257" w:lineRule="auto"/>
        <w:rPr>
          <w:rFonts w:ascii="Arial" w:cs="Arial" w:eastAsia="Arial" w:hAnsi="Arial"/>
          <w:sz w:val="9"/>
          <w:szCs w:val="9"/>
          <w:color w:val="auto"/>
        </w:rPr>
      </w:pPr>
      <w:r>
        <w:rPr>
          <w:rFonts w:ascii="Arial" w:cs="Arial" w:eastAsia="Arial" w:hAnsi="Arial"/>
          <w:sz w:val="15"/>
          <w:szCs w:val="15"/>
          <w:color w:val="auto"/>
        </w:rPr>
        <w:t xml:space="preserve">In connection to the sale and leaseback of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in February 2016, GasLog entered into a consulting agreement with Unisea Maritime, under the terms of which GasLog agreed to pay a brokerage commission fee equal to 0.25% of the agreed charter rates under the sale and leaseback transaction plus reasonable expenses (incurred in line with the Group policies). The brokerage commission fee of $430 was paid in advance for the full 20—year period of the bareboat charter, discounted to the date of the agreement at an annual discount rate of 7.5% and was included under “Vessel held under finance lease”.</w:t>
      </w:r>
    </w:p>
    <w:p>
      <w:pPr>
        <w:spacing w:after="0" w:line="58" w:lineRule="exact"/>
        <w:rPr>
          <w:rFonts w:ascii="Arial" w:cs="Arial" w:eastAsia="Arial" w:hAnsi="Arial"/>
          <w:sz w:val="9"/>
          <w:szCs w:val="9"/>
          <w:color w:val="auto"/>
        </w:rPr>
      </w:pPr>
    </w:p>
    <w:p>
      <w:pPr>
        <w:ind w:left="200" w:hanging="192"/>
        <w:spacing w:after="0"/>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Blenheim Holdings Ltd. that is controlled by Ceres Shipping (Note 1), requested reimbursement of professional expenses provided in 2015.</w:t>
      </w:r>
    </w:p>
    <w:p>
      <w:pPr>
        <w:spacing w:after="0" w:line="86" w:lineRule="exact"/>
        <w:rPr>
          <w:rFonts w:ascii="Arial" w:cs="Arial" w:eastAsia="Arial" w:hAnsi="Arial"/>
          <w:sz w:val="9"/>
          <w:szCs w:val="9"/>
          <w:color w:val="auto"/>
        </w:rPr>
      </w:pPr>
    </w:p>
    <w:p>
      <w:pPr>
        <w:ind w:left="200" w:right="20" w:hanging="173"/>
        <w:spacing w:after="0" w:line="357" w:lineRule="auto"/>
        <w:tabs>
          <w:tab w:leader="none" w:pos="200" w:val="left"/>
        </w:tabs>
        <w:numPr>
          <w:ilvl w:val="0"/>
          <w:numId w:val="112"/>
        </w:numPr>
        <w:rPr>
          <w:rFonts w:ascii="Arial" w:cs="Arial" w:eastAsia="Arial" w:hAnsi="Arial"/>
          <w:sz w:val="8"/>
          <w:szCs w:val="8"/>
          <w:color w:val="auto"/>
        </w:rPr>
      </w:pPr>
      <w:r>
        <w:rPr>
          <w:rFonts w:ascii="Arial" w:cs="Arial" w:eastAsia="Arial" w:hAnsi="Arial"/>
          <w:sz w:val="13"/>
          <w:szCs w:val="13"/>
          <w:color w:val="auto"/>
        </w:rPr>
        <w:t>A.S. Papadimitriou and Partners Law Firm, an entity controlled by one of our directors, provided legal services in relation to the legal due diligence process of our investment in Gastrade S.A. (“Gastrade”)—refer to Note 29. In addition to the $73 recognised in profit or loss, an amount of $56 was capitalised under “Other non-current assets”.</w:t>
      </w:r>
    </w:p>
    <w:p>
      <w:pPr>
        <w:jc w:val="both"/>
        <w:ind w:left="200" w:right="200" w:hanging="173"/>
        <w:spacing w:after="0"/>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GasLog recognized gross revenues and total voyage expenses of $19,789 and $3,332, respectively, from the operation of its vessels in the Cool Pool during the year ended December 31, 2016 (December 31, 2015: $2,469 and $1,857, respectively). The aforementioned pool results were further adjusted by $4,674 (2015: $35) to include the net allocation from the pool in accordance with the profit sharing terms specified in the Pool Agreement.</w:t>
      </w:r>
    </w:p>
    <w:p>
      <w:pPr>
        <w:spacing w:after="0" w:line="69" w:lineRule="exact"/>
        <w:rPr>
          <w:rFonts w:ascii="Arial" w:cs="Arial" w:eastAsia="Arial" w:hAnsi="Arial"/>
          <w:sz w:val="9"/>
          <w:szCs w:val="9"/>
          <w:color w:val="auto"/>
        </w:rPr>
      </w:pPr>
    </w:p>
    <w:p>
      <w:pPr>
        <w:ind w:left="200" w:right="20" w:hanging="192"/>
        <w:spacing w:after="0" w:line="251" w:lineRule="auto"/>
        <w:tabs>
          <w:tab w:leader="none" w:pos="200" w:val="left"/>
        </w:tabs>
        <w:numPr>
          <w:ilvl w:val="0"/>
          <w:numId w:val="112"/>
        </w:numPr>
        <w:rPr>
          <w:rFonts w:ascii="Arial" w:cs="Arial" w:eastAsia="Arial" w:hAnsi="Arial"/>
          <w:sz w:val="9"/>
          <w:szCs w:val="9"/>
          <w:color w:val="auto"/>
        </w:rPr>
      </w:pPr>
      <w:r>
        <w:rPr>
          <w:rFonts w:ascii="Arial" w:cs="Arial" w:eastAsia="Arial" w:hAnsi="Arial"/>
          <w:sz w:val="16"/>
          <w:szCs w:val="16"/>
          <w:color w:val="auto"/>
        </w:rPr>
        <w:t>Ceres Monaco S.A.M., an affiliate of Ceres Shipping, provided consultancy services to the Group with respect to its investment in Gastrade (Note 29) for which an amount of $100 was capitalised under “Other non-current assets”.</w:t>
      </w:r>
    </w:p>
    <w:p>
      <w:pPr>
        <w:spacing w:after="0" w:line="8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150495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458" w:right="23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b w:val="1"/>
          <w:bCs w:val="1"/>
          <w:i w:val="1"/>
          <w:iCs w:val="1"/>
          <w:color w:val="auto"/>
        </w:rPr>
        <w:t>Compensation of key management personnel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remuneration of directors and key management was as follows: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7180" w:type="dxa"/>
            <w:vAlign w:val="bottom"/>
          </w:tcPr>
          <w:p>
            <w:pPr>
              <w:spacing w:after="0"/>
              <w:rPr>
                <w:sz w:val="17"/>
                <w:szCs w:val="17"/>
                <w:color w:val="auto"/>
              </w:rPr>
            </w:pPr>
          </w:p>
        </w:tc>
        <w:tc>
          <w:tcPr>
            <w:tcW w:w="322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6"/>
                <w:szCs w:val="16"/>
                <w:b w:val="1"/>
                <w:bCs w:val="1"/>
                <w:color w:val="auto"/>
              </w:rPr>
              <w:t>For the year ended December 31,</w:t>
            </w:r>
          </w:p>
        </w:tc>
      </w:tr>
      <w:tr>
        <w:trPr>
          <w:trHeight w:val="169"/>
        </w:trPr>
        <w:tc>
          <w:tcPr>
            <w:tcW w:w="7180" w:type="dxa"/>
            <w:vAlign w:val="bottom"/>
          </w:tcPr>
          <w:p>
            <w:pPr>
              <w:spacing w:after="0"/>
              <w:rPr>
                <w:sz w:val="14"/>
                <w:szCs w:val="14"/>
                <w:color w:val="auto"/>
              </w:rPr>
            </w:pPr>
          </w:p>
        </w:tc>
        <w:tc>
          <w:tcPr>
            <w:tcW w:w="84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92"/>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19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7180" w:type="dxa"/>
            <w:vAlign w:val="bottom"/>
            <w:shd w:val="clear" w:color="auto" w:fill="E5FFFF"/>
          </w:tcPr>
          <w:p>
            <w:pPr>
              <w:spacing w:after="0"/>
              <w:rPr>
                <w:sz w:val="20"/>
                <w:szCs w:val="20"/>
                <w:color w:val="auto"/>
              </w:rPr>
            </w:pPr>
            <w:r>
              <w:rPr>
                <w:rFonts w:ascii="Arial" w:cs="Arial" w:eastAsia="Arial" w:hAnsi="Arial"/>
                <w:sz w:val="19"/>
                <w:szCs w:val="19"/>
                <w:color w:val="auto"/>
              </w:rPr>
              <w:t>Remuneration</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6,140</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6,627</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6,117</w:t>
            </w:r>
          </w:p>
        </w:tc>
      </w:tr>
      <w:tr>
        <w:trPr>
          <w:trHeight w:val="243"/>
        </w:trPr>
        <w:tc>
          <w:tcPr>
            <w:tcW w:w="7180" w:type="dxa"/>
            <w:vAlign w:val="bottom"/>
          </w:tcPr>
          <w:p>
            <w:pPr>
              <w:spacing w:after="0"/>
              <w:rPr>
                <w:sz w:val="20"/>
                <w:szCs w:val="20"/>
                <w:color w:val="auto"/>
              </w:rPr>
            </w:pPr>
            <w:r>
              <w:rPr>
                <w:rFonts w:ascii="Arial" w:cs="Arial" w:eastAsia="Arial" w:hAnsi="Arial"/>
                <w:sz w:val="19"/>
                <w:szCs w:val="19"/>
                <w:color w:val="auto"/>
              </w:rPr>
              <w:t>Short-term benefits</w:t>
            </w:r>
          </w:p>
        </w:tc>
        <w:tc>
          <w:tcPr>
            <w:tcW w:w="840" w:type="dxa"/>
            <w:vAlign w:val="bottom"/>
          </w:tcPr>
          <w:p>
            <w:pPr>
              <w:jc w:val="right"/>
              <w:spacing w:after="0"/>
              <w:rPr>
                <w:sz w:val="20"/>
                <w:szCs w:val="20"/>
                <w:color w:val="auto"/>
              </w:rPr>
            </w:pPr>
            <w:r>
              <w:rPr>
                <w:rFonts w:ascii="Arial" w:cs="Arial" w:eastAsia="Arial" w:hAnsi="Arial"/>
                <w:sz w:val="19"/>
                <w:szCs w:val="19"/>
                <w:color w:val="auto"/>
              </w:rPr>
              <w:t>50</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94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73</w:t>
            </w:r>
          </w:p>
        </w:tc>
      </w:tr>
      <w:tr>
        <w:trPr>
          <w:trHeight w:val="243"/>
        </w:trPr>
        <w:tc>
          <w:tcPr>
            <w:tcW w:w="7180" w:type="dxa"/>
            <w:vAlign w:val="bottom"/>
            <w:shd w:val="clear" w:color="auto" w:fill="E5FFFF"/>
          </w:tcPr>
          <w:p>
            <w:pPr>
              <w:spacing w:after="0"/>
              <w:rPr>
                <w:sz w:val="20"/>
                <w:szCs w:val="20"/>
                <w:color w:val="auto"/>
              </w:rPr>
            </w:pPr>
            <w:r>
              <w:rPr>
                <w:rFonts w:ascii="Arial" w:cs="Arial" w:eastAsia="Arial" w:hAnsi="Arial"/>
                <w:sz w:val="19"/>
                <w:szCs w:val="19"/>
                <w:color w:val="auto"/>
              </w:rPr>
              <w:t>Expense recognized in respect of share-based compensation</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1,245</w:t>
            </w:r>
          </w:p>
        </w:tc>
        <w:tc>
          <w:tcPr>
            <w:tcW w:w="300" w:type="dxa"/>
            <w:vAlign w:val="bottom"/>
            <w:shd w:val="clear" w:color="auto" w:fill="E5FFFF"/>
          </w:tcPr>
          <w:p>
            <w:pPr>
              <w:spacing w:after="0"/>
              <w:rPr>
                <w:sz w:val="21"/>
                <w:szCs w:val="21"/>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1,173</w:t>
            </w:r>
          </w:p>
        </w:tc>
        <w:tc>
          <w:tcPr>
            <w:tcW w:w="300" w:type="dxa"/>
            <w:vAlign w:val="bottom"/>
            <w:shd w:val="clear" w:color="auto" w:fill="E5FFFF"/>
          </w:tcPr>
          <w:p>
            <w:pPr>
              <w:spacing w:after="0"/>
              <w:rPr>
                <w:sz w:val="21"/>
                <w:szCs w:val="21"/>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1,454</w:t>
            </w:r>
          </w:p>
        </w:tc>
      </w:tr>
      <w:tr>
        <w:trPr>
          <w:trHeight w:val="250"/>
        </w:trPr>
        <w:tc>
          <w:tcPr>
            <w:tcW w:w="718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7,435</w:t>
            </w:r>
          </w:p>
        </w:tc>
        <w:tc>
          <w:tcPr>
            <w:tcW w:w="1180" w:type="dxa"/>
            <w:vAlign w:val="bottom"/>
            <w:gridSpan w:val="2"/>
          </w:tcPr>
          <w:p>
            <w:pPr>
              <w:jc w:val="right"/>
              <w:spacing w:after="0"/>
              <w:rPr>
                <w:sz w:val="20"/>
                <w:szCs w:val="20"/>
                <w:color w:val="auto"/>
              </w:rPr>
            </w:pPr>
            <w:r>
              <w:rPr>
                <w:rFonts w:ascii="Arial" w:cs="Arial" w:eastAsia="Arial" w:hAnsi="Arial"/>
                <w:sz w:val="19"/>
                <w:szCs w:val="19"/>
                <w:b w:val="1"/>
                <w:bCs w:val="1"/>
                <w:color w:val="auto"/>
              </w:rPr>
              <w:t>7,894</w:t>
            </w: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auto"/>
              </w:rPr>
              <w:t>7,644</w:t>
            </w:r>
          </w:p>
        </w:tc>
      </w:tr>
      <w:tr>
        <w:trPr>
          <w:trHeight w:val="20"/>
        </w:trPr>
        <w:tc>
          <w:tcPr>
            <w:tcW w:w="7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21. 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Incentive Compensation Plan</w:t>
      </w:r>
    </w:p>
    <w:p>
      <w:pPr>
        <w:spacing w:after="0" w:line="119" w:lineRule="exact"/>
        <w:rPr>
          <w:sz w:val="20"/>
          <w:szCs w:val="20"/>
          <w:color w:val="auto"/>
        </w:rPr>
      </w:pPr>
    </w:p>
    <w:p>
      <w:pPr>
        <w:ind w:right="220" w:firstLine="357"/>
        <w:spacing w:after="0" w:line="294" w:lineRule="auto"/>
        <w:rPr>
          <w:sz w:val="20"/>
          <w:szCs w:val="20"/>
          <w:color w:val="auto"/>
        </w:rPr>
      </w:pPr>
      <w:r>
        <w:rPr>
          <w:rFonts w:ascii="Arial" w:cs="Arial" w:eastAsia="Arial" w:hAnsi="Arial"/>
          <w:sz w:val="17"/>
          <w:szCs w:val="17"/>
          <w:color w:val="auto"/>
        </w:rPr>
        <w:t>On May 17, 2013, April 1, 2014, April 1, 2015 and April 1, 2016, GasLog granted to executives, managers and certain employees of the Group, Restricted Stock Units (“RSUs”) and Stock Appreciation Rights or Stock Options (collectively, the “SARs”) in accordance with its 2013 Omnibus Incentive Compensation Plan (the “Plan”). The RSUs vest three years after the grant dates while the SARs vesting incrementally with one-third of the SARs vest on each of the three anniversaries of the grant dates. The compensation cost for the SARs is recognized on an accelerated basis as though each separately vesting portion of the SARs is a separate award. Prior to the exercise date the holders of the awards have no voting rights. In addition, the holders of the awards granted in 2013 and 2014 are not entitled to dividends or other distributions.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aforementioned awards are presented in the following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7"/>
              <w:spacing w:after="0"/>
              <w:rPr>
                <w:sz w:val="20"/>
                <w:szCs w:val="20"/>
                <w:color w:val="auto"/>
              </w:rPr>
            </w:pPr>
            <w:r>
              <w:rPr>
                <w:rFonts w:ascii="Arial" w:cs="Arial" w:eastAsia="Arial" w:hAnsi="Arial"/>
                <w:sz w:val="16"/>
                <w:szCs w:val="16"/>
                <w:b w:val="1"/>
                <w:bCs w:val="1"/>
                <w:color w:val="auto"/>
                <w:w w:val="92"/>
              </w:rPr>
              <w:t>Fair value at</w:t>
            </w:r>
          </w:p>
        </w:tc>
      </w:tr>
      <w:tr>
        <w:trPr>
          <w:trHeight w:val="199"/>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Awards</w:t>
            </w:r>
          </w:p>
        </w:tc>
        <w:tc>
          <w:tcPr>
            <w:tcW w:w="300" w:type="dxa"/>
            <w:vAlign w:val="bottom"/>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Grant date</w:t>
            </w:r>
          </w:p>
        </w:tc>
        <w:tc>
          <w:tcPr>
            <w:tcW w:w="30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Expiry date</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Exercise price</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grant date</w:t>
            </w:r>
          </w:p>
        </w:tc>
      </w:tr>
      <w:tr>
        <w:trPr>
          <w:trHeight w:val="237"/>
        </w:trPr>
        <w:tc>
          <w:tcPr>
            <w:tcW w:w="3520" w:type="dxa"/>
            <w:vAlign w:val="bottom"/>
            <w:shd w:val="clear" w:color="auto" w:fill="E5FFFF"/>
          </w:tcPr>
          <w:p>
            <w:pPr>
              <w:spacing w:after="0"/>
              <w:rPr>
                <w:sz w:val="20"/>
                <w:szCs w:val="20"/>
                <w:color w:val="auto"/>
              </w:rPr>
            </w:pPr>
            <w:r>
              <w:rPr>
                <w:rFonts w:ascii="Arial" w:cs="Arial" w:eastAsia="Arial" w:hAnsi="Arial"/>
                <w:sz w:val="19"/>
                <w:szCs w:val="19"/>
                <w:color w:val="auto"/>
              </w:rPr>
              <w:t>RSUs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64,792</w:t>
            </w:r>
          </w:p>
        </w:tc>
        <w:tc>
          <w:tcPr>
            <w:tcW w:w="300" w:type="dxa"/>
            <w:vAlign w:val="bottom"/>
            <w:shd w:val="clear" w:color="auto" w:fill="E5FFFF"/>
          </w:tcPr>
          <w:p>
            <w:pPr>
              <w:spacing w:after="0"/>
              <w:rPr>
                <w:sz w:val="20"/>
                <w:szCs w:val="20"/>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May 17, 2013</w:t>
            </w:r>
          </w:p>
        </w:tc>
        <w:tc>
          <w:tcPr>
            <w:tcW w:w="300" w:type="dxa"/>
            <w:vAlign w:val="bottom"/>
            <w:shd w:val="clear" w:color="auto" w:fill="E5FFFF"/>
          </w:tcPr>
          <w:p>
            <w:pPr>
              <w:spacing w:after="0"/>
              <w:rPr>
                <w:sz w:val="20"/>
                <w:szCs w:val="20"/>
                <w:color w:val="auto"/>
              </w:rPr>
            </w:pPr>
          </w:p>
        </w:tc>
        <w:tc>
          <w:tcPr>
            <w:tcW w:w="17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83"/>
              </w:rPr>
              <w:t>n/a</w:t>
            </w:r>
          </w:p>
        </w:tc>
        <w:tc>
          <w:tcPr>
            <w:tcW w:w="300" w:type="dxa"/>
            <w:vAlign w:val="bottom"/>
            <w:shd w:val="clear" w:color="auto" w:fill="E5FFFF"/>
          </w:tcPr>
          <w:p>
            <w:pPr>
              <w:spacing w:after="0"/>
              <w:rPr>
                <w:sz w:val="20"/>
                <w:szCs w:val="20"/>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n/a</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11.95</w:t>
            </w:r>
          </w:p>
        </w:tc>
      </w:tr>
      <w:tr>
        <w:trPr>
          <w:trHeight w:val="243"/>
        </w:trPr>
        <w:tc>
          <w:tcPr>
            <w:tcW w:w="3520" w:type="dxa"/>
            <w:vAlign w:val="bottom"/>
          </w:tcPr>
          <w:p>
            <w:pPr>
              <w:spacing w:after="0"/>
              <w:rPr>
                <w:sz w:val="20"/>
                <w:szCs w:val="20"/>
                <w:color w:val="auto"/>
              </w:rPr>
            </w:pPr>
            <w:r>
              <w:rPr>
                <w:rFonts w:ascii="Arial" w:cs="Arial" w:eastAsia="Arial" w:hAnsi="Arial"/>
                <w:sz w:val="19"/>
                <w:szCs w:val="19"/>
                <w:color w:val="auto"/>
              </w:rPr>
              <w:t>SARs</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325,943</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May 17, 2013</w:t>
            </w:r>
          </w:p>
        </w:tc>
        <w:tc>
          <w:tcPr>
            <w:tcW w:w="3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9"/>
                <w:szCs w:val="19"/>
                <w:color w:val="auto"/>
                <w:w w:val="97"/>
              </w:rPr>
              <w:t>April 29, 2023</w:t>
            </w:r>
          </w:p>
        </w:tc>
        <w:tc>
          <w:tcPr>
            <w:tcW w:w="156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$13.26</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2.3753</w:t>
            </w:r>
          </w:p>
        </w:tc>
      </w:tr>
      <w:tr>
        <w:trPr>
          <w:trHeight w:val="243"/>
        </w:trPr>
        <w:tc>
          <w:tcPr>
            <w:tcW w:w="3520" w:type="dxa"/>
            <w:vAlign w:val="bottom"/>
            <w:shd w:val="clear" w:color="auto" w:fill="E5FFFF"/>
          </w:tcPr>
          <w:p>
            <w:pPr>
              <w:spacing w:after="0"/>
              <w:rPr>
                <w:sz w:val="20"/>
                <w:szCs w:val="20"/>
                <w:color w:val="auto"/>
              </w:rPr>
            </w:pPr>
            <w:r>
              <w:rPr>
                <w:rFonts w:ascii="Arial" w:cs="Arial" w:eastAsia="Arial" w:hAnsi="Arial"/>
                <w:sz w:val="19"/>
                <w:szCs w:val="19"/>
                <w:color w:val="auto"/>
              </w:rPr>
              <w:t>RSUs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76,251</w:t>
            </w:r>
          </w:p>
        </w:tc>
        <w:tc>
          <w:tcPr>
            <w:tcW w:w="300" w:type="dxa"/>
            <w:vAlign w:val="bottom"/>
            <w:shd w:val="clear" w:color="auto" w:fill="E5FFFF"/>
          </w:tcPr>
          <w:p>
            <w:pPr>
              <w:spacing w:after="0"/>
              <w:rPr>
                <w:sz w:val="21"/>
                <w:szCs w:val="21"/>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April 1, 2014</w:t>
            </w:r>
          </w:p>
        </w:tc>
        <w:tc>
          <w:tcPr>
            <w:tcW w:w="300" w:type="dxa"/>
            <w:vAlign w:val="bottom"/>
            <w:shd w:val="clear" w:color="auto" w:fill="E5FFFF"/>
          </w:tcPr>
          <w:p>
            <w:pPr>
              <w:spacing w:after="0"/>
              <w:rPr>
                <w:sz w:val="21"/>
                <w:szCs w:val="21"/>
                <w:color w:val="auto"/>
              </w:rPr>
            </w:pPr>
          </w:p>
        </w:tc>
        <w:tc>
          <w:tcPr>
            <w:tcW w:w="17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83"/>
              </w:rPr>
              <w:t>n/a</w:t>
            </w:r>
          </w:p>
        </w:tc>
        <w:tc>
          <w:tcPr>
            <w:tcW w:w="30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n/a</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22.58</w:t>
            </w:r>
          </w:p>
        </w:tc>
      </w:tr>
      <w:tr>
        <w:trPr>
          <w:trHeight w:val="243"/>
        </w:trPr>
        <w:tc>
          <w:tcPr>
            <w:tcW w:w="3520" w:type="dxa"/>
            <w:vAlign w:val="bottom"/>
          </w:tcPr>
          <w:p>
            <w:pPr>
              <w:spacing w:after="0"/>
              <w:rPr>
                <w:sz w:val="20"/>
                <w:szCs w:val="20"/>
                <w:color w:val="auto"/>
              </w:rPr>
            </w:pPr>
            <w:r>
              <w:rPr>
                <w:rFonts w:ascii="Arial" w:cs="Arial" w:eastAsia="Arial" w:hAnsi="Arial"/>
                <w:sz w:val="19"/>
                <w:szCs w:val="19"/>
                <w:color w:val="auto"/>
              </w:rPr>
              <w:t>SARs</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286,746</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April 1, 2014</w:t>
            </w:r>
          </w:p>
        </w:tc>
        <w:tc>
          <w:tcPr>
            <w:tcW w:w="3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9"/>
                <w:szCs w:val="19"/>
                <w:color w:val="auto"/>
                <w:w w:val="92"/>
              </w:rPr>
              <w:t>March 31, 2024</w:t>
            </w:r>
          </w:p>
        </w:tc>
        <w:tc>
          <w:tcPr>
            <w:tcW w:w="156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$24.00</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6.0035</w:t>
            </w:r>
          </w:p>
        </w:tc>
      </w:tr>
      <w:tr>
        <w:trPr>
          <w:trHeight w:val="243"/>
        </w:trPr>
        <w:tc>
          <w:tcPr>
            <w:tcW w:w="3520" w:type="dxa"/>
            <w:vAlign w:val="bottom"/>
            <w:shd w:val="clear" w:color="auto" w:fill="E5FFFF"/>
          </w:tcPr>
          <w:p>
            <w:pPr>
              <w:spacing w:after="0"/>
              <w:rPr>
                <w:sz w:val="20"/>
                <w:szCs w:val="20"/>
                <w:color w:val="auto"/>
              </w:rPr>
            </w:pPr>
            <w:r>
              <w:rPr>
                <w:rFonts w:ascii="Arial" w:cs="Arial" w:eastAsia="Arial" w:hAnsi="Arial"/>
                <w:sz w:val="19"/>
                <w:szCs w:val="19"/>
                <w:color w:val="auto"/>
              </w:rPr>
              <w:t>RSUs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88,492</w:t>
            </w:r>
          </w:p>
        </w:tc>
        <w:tc>
          <w:tcPr>
            <w:tcW w:w="300" w:type="dxa"/>
            <w:vAlign w:val="bottom"/>
            <w:shd w:val="clear" w:color="auto" w:fill="E5FFFF"/>
          </w:tcPr>
          <w:p>
            <w:pPr>
              <w:spacing w:after="0"/>
              <w:rPr>
                <w:sz w:val="21"/>
                <w:szCs w:val="21"/>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April 1, 2015</w:t>
            </w:r>
          </w:p>
        </w:tc>
        <w:tc>
          <w:tcPr>
            <w:tcW w:w="300" w:type="dxa"/>
            <w:vAlign w:val="bottom"/>
            <w:shd w:val="clear" w:color="auto" w:fill="E5FFFF"/>
          </w:tcPr>
          <w:p>
            <w:pPr>
              <w:spacing w:after="0"/>
              <w:rPr>
                <w:sz w:val="21"/>
                <w:szCs w:val="21"/>
                <w:color w:val="auto"/>
              </w:rPr>
            </w:pPr>
          </w:p>
        </w:tc>
        <w:tc>
          <w:tcPr>
            <w:tcW w:w="17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83"/>
              </w:rPr>
              <w:t>n/a</w:t>
            </w:r>
          </w:p>
        </w:tc>
        <w:tc>
          <w:tcPr>
            <w:tcW w:w="30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n/a</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19.48</w:t>
            </w:r>
          </w:p>
        </w:tc>
      </w:tr>
      <w:tr>
        <w:trPr>
          <w:trHeight w:val="243"/>
        </w:trPr>
        <w:tc>
          <w:tcPr>
            <w:tcW w:w="3520" w:type="dxa"/>
            <w:vAlign w:val="bottom"/>
          </w:tcPr>
          <w:p>
            <w:pPr>
              <w:spacing w:after="0"/>
              <w:rPr>
                <w:sz w:val="20"/>
                <w:szCs w:val="20"/>
                <w:color w:val="auto"/>
              </w:rPr>
            </w:pPr>
            <w:r>
              <w:rPr>
                <w:rFonts w:ascii="Arial" w:cs="Arial" w:eastAsia="Arial" w:hAnsi="Arial"/>
                <w:sz w:val="19"/>
                <w:szCs w:val="19"/>
                <w:color w:val="auto"/>
              </w:rPr>
              <w:t>SARs</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305,859</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April 1, 2015</w:t>
            </w:r>
          </w:p>
        </w:tc>
        <w:tc>
          <w:tcPr>
            <w:tcW w:w="3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9"/>
                <w:szCs w:val="19"/>
                <w:color w:val="auto"/>
                <w:w w:val="92"/>
              </w:rPr>
              <w:t>March 31, 2025</w:t>
            </w:r>
          </w:p>
        </w:tc>
        <w:tc>
          <w:tcPr>
            <w:tcW w:w="1560" w:type="dxa"/>
            <w:vAlign w:val="bottom"/>
            <w:gridSpan w:val="2"/>
          </w:tcPr>
          <w:p>
            <w:pPr>
              <w:jc w:val="center"/>
              <w:ind w:left="203"/>
              <w:spacing w:after="0"/>
              <w:rPr>
                <w:sz w:val="20"/>
                <w:szCs w:val="20"/>
                <w:color w:val="auto"/>
              </w:rPr>
            </w:pPr>
            <w:r>
              <w:rPr>
                <w:rFonts w:ascii="Arial" w:cs="Arial" w:eastAsia="Arial" w:hAnsi="Arial"/>
                <w:sz w:val="19"/>
                <w:szCs w:val="19"/>
                <w:color w:val="auto"/>
                <w:w w:val="92"/>
              </w:rPr>
              <w:t>$19.48</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5.6352</w:t>
            </w:r>
          </w:p>
        </w:tc>
      </w:tr>
      <w:tr>
        <w:trPr>
          <w:trHeight w:val="243"/>
        </w:trPr>
        <w:tc>
          <w:tcPr>
            <w:tcW w:w="3520" w:type="dxa"/>
            <w:vAlign w:val="bottom"/>
            <w:shd w:val="clear" w:color="auto" w:fill="E5FFFF"/>
          </w:tcPr>
          <w:p>
            <w:pPr>
              <w:spacing w:after="0"/>
              <w:rPr>
                <w:sz w:val="20"/>
                <w:szCs w:val="20"/>
                <w:color w:val="auto"/>
              </w:rPr>
            </w:pPr>
            <w:r>
              <w:rPr>
                <w:rFonts w:ascii="Arial" w:cs="Arial" w:eastAsia="Arial" w:hAnsi="Arial"/>
                <w:sz w:val="19"/>
                <w:szCs w:val="19"/>
                <w:color w:val="auto"/>
              </w:rPr>
              <w:t>RSUs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212,837</w:t>
            </w:r>
          </w:p>
        </w:tc>
        <w:tc>
          <w:tcPr>
            <w:tcW w:w="300" w:type="dxa"/>
            <w:vAlign w:val="bottom"/>
            <w:shd w:val="clear" w:color="auto" w:fill="E5FFFF"/>
          </w:tcPr>
          <w:p>
            <w:pPr>
              <w:spacing w:after="0"/>
              <w:rPr>
                <w:sz w:val="21"/>
                <w:szCs w:val="21"/>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April 1, 2016</w:t>
            </w:r>
          </w:p>
        </w:tc>
        <w:tc>
          <w:tcPr>
            <w:tcW w:w="300" w:type="dxa"/>
            <w:vAlign w:val="bottom"/>
            <w:shd w:val="clear" w:color="auto" w:fill="E5FFFF"/>
          </w:tcPr>
          <w:p>
            <w:pPr>
              <w:spacing w:after="0"/>
              <w:rPr>
                <w:sz w:val="21"/>
                <w:szCs w:val="21"/>
                <w:color w:val="auto"/>
              </w:rPr>
            </w:pPr>
          </w:p>
        </w:tc>
        <w:tc>
          <w:tcPr>
            <w:tcW w:w="17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83"/>
              </w:rPr>
              <w:t>n/a</w:t>
            </w:r>
          </w:p>
        </w:tc>
        <w:tc>
          <w:tcPr>
            <w:tcW w:w="30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0"/>
              </w:rPr>
              <w:t>n/a</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9.28</w:t>
            </w:r>
          </w:p>
        </w:tc>
      </w:tr>
      <w:tr>
        <w:trPr>
          <w:trHeight w:val="247"/>
        </w:trPr>
        <w:tc>
          <w:tcPr>
            <w:tcW w:w="3520" w:type="dxa"/>
            <w:vAlign w:val="bottom"/>
          </w:tcPr>
          <w:p>
            <w:pPr>
              <w:spacing w:after="0"/>
              <w:rPr>
                <w:sz w:val="20"/>
                <w:szCs w:val="20"/>
                <w:color w:val="auto"/>
              </w:rPr>
            </w:pPr>
            <w:r>
              <w:rPr>
                <w:rFonts w:ascii="Arial" w:cs="Arial" w:eastAsia="Arial" w:hAnsi="Arial"/>
                <w:sz w:val="19"/>
                <w:szCs w:val="19"/>
                <w:color w:val="auto"/>
              </w:rPr>
              <w:t>SARs</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848,981</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April 1, 2016</w:t>
            </w:r>
          </w:p>
        </w:tc>
        <w:tc>
          <w:tcPr>
            <w:tcW w:w="3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9"/>
                <w:szCs w:val="19"/>
                <w:color w:val="auto"/>
                <w:w w:val="92"/>
              </w:rPr>
              <w:t>March 31, 2026</w:t>
            </w:r>
          </w:p>
        </w:tc>
        <w:tc>
          <w:tcPr>
            <w:tcW w:w="1560" w:type="dxa"/>
            <w:vAlign w:val="bottom"/>
            <w:gridSpan w:val="2"/>
          </w:tcPr>
          <w:p>
            <w:pPr>
              <w:jc w:val="center"/>
              <w:ind w:left="223"/>
              <w:spacing w:after="0"/>
              <w:rPr>
                <w:sz w:val="20"/>
                <w:szCs w:val="20"/>
                <w:color w:val="auto"/>
              </w:rPr>
            </w:pPr>
            <w:r>
              <w:rPr>
                <w:rFonts w:ascii="Arial" w:cs="Arial" w:eastAsia="Arial" w:hAnsi="Arial"/>
                <w:sz w:val="19"/>
                <w:szCs w:val="19"/>
                <w:color w:val="auto"/>
                <w:w w:val="92"/>
              </w:rPr>
              <w:t>$9.28</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2.3263</w:t>
            </w:r>
          </w:p>
        </w:tc>
      </w:tr>
    </w:tbl>
    <w:p>
      <w:pPr>
        <w:spacing w:after="0" w:line="91" w:lineRule="exact"/>
        <w:rPr>
          <w:sz w:val="20"/>
          <w:szCs w:val="20"/>
          <w:color w:val="auto"/>
        </w:rPr>
      </w:pPr>
    </w:p>
    <w:p>
      <w:pPr>
        <w:jc w:val="both"/>
        <w:ind w:right="160" w:firstLine="357"/>
        <w:spacing w:after="0" w:line="281"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w:t>
      </w:r>
    </w:p>
    <w:p>
      <w:pPr>
        <w:spacing w:after="0" w:line="125" w:lineRule="exact"/>
        <w:rPr>
          <w:sz w:val="20"/>
          <w:szCs w:val="20"/>
          <w:color w:val="auto"/>
        </w:rPr>
      </w:pPr>
    </w:p>
    <w:p>
      <w:pPr>
        <w:ind w:right="540" w:firstLine="357"/>
        <w:spacing w:after="0" w:line="267" w:lineRule="auto"/>
        <w:rPr>
          <w:sz w:val="20"/>
          <w:szCs w:val="20"/>
          <w:color w:val="auto"/>
        </w:rPr>
      </w:pPr>
      <w:r>
        <w:rPr>
          <w:rFonts w:ascii="Arial" w:cs="Arial" w:eastAsia="Arial" w:hAnsi="Arial"/>
          <w:sz w:val="19"/>
          <w:szCs w:val="19"/>
          <w:color w:val="auto"/>
        </w:rPr>
        <w:t>The fair value of the SARs has been calculated based on the Modified Black-Scholes-Merton method. Expected volatility was based on historical share price volatility for the period since the Group’s initial public offering. The expected dividend is based on management’s expectations of</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81" w:name="page182"/>
    <w:bookmarkEnd w:id="181"/>
    <w:p>
      <w:pPr>
        <w:spacing w:after="0"/>
        <w:rPr>
          <w:sz w:val="20"/>
          <w:szCs w:val="20"/>
          <w:color w:val="auto"/>
        </w:rPr>
      </w:pPr>
      <w:r>
        <w:rPr>
          <w:rFonts w:ascii="Arial" w:cs="Arial" w:eastAsia="Arial" w:hAnsi="Arial"/>
          <w:sz w:val="19"/>
          <w:szCs w:val="19"/>
          <w:color w:val="auto"/>
        </w:rPr>
        <w:t>future payments on the grant date. The significant assumptions used to estimate the fair value of the SARs are set out below:</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Inputs into the model</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2016</w:t>
            </w:r>
          </w:p>
        </w:tc>
      </w:tr>
      <w:tr>
        <w:trPr>
          <w:trHeight w:val="237"/>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Grant date share closing price</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13.26</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24.00</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19.48</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ind w:left="260"/>
              <w:spacing w:after="0"/>
              <w:rPr>
                <w:sz w:val="20"/>
                <w:szCs w:val="20"/>
                <w:color w:val="auto"/>
              </w:rPr>
            </w:pPr>
            <w:r>
              <w:rPr>
                <w:rFonts w:ascii="Arial" w:cs="Arial" w:eastAsia="Arial" w:hAnsi="Arial"/>
                <w:sz w:val="19"/>
                <w:szCs w:val="19"/>
                <w:color w:val="auto"/>
              </w:rPr>
              <w:t>9.28</w:t>
            </w:r>
          </w:p>
        </w:tc>
      </w:tr>
      <w:tr>
        <w:trPr>
          <w:trHeight w:val="243"/>
        </w:trPr>
        <w:tc>
          <w:tcPr>
            <w:tcW w:w="5540" w:type="dxa"/>
            <w:vAlign w:val="bottom"/>
          </w:tcPr>
          <w:p>
            <w:pPr>
              <w:spacing w:after="0"/>
              <w:rPr>
                <w:sz w:val="20"/>
                <w:szCs w:val="20"/>
                <w:color w:val="auto"/>
              </w:rPr>
            </w:pPr>
            <w:r>
              <w:rPr>
                <w:rFonts w:ascii="Arial" w:cs="Arial" w:eastAsia="Arial" w:hAnsi="Arial"/>
                <w:sz w:val="19"/>
                <w:szCs w:val="19"/>
                <w:color w:val="auto"/>
              </w:rPr>
              <w:t>Exercise price</w:t>
            </w:r>
          </w:p>
        </w:tc>
        <w:tc>
          <w:tcPr>
            <w:tcW w:w="4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06"/>
              <w:spacing w:after="0"/>
              <w:rPr>
                <w:sz w:val="20"/>
                <w:szCs w:val="20"/>
                <w:color w:val="auto"/>
              </w:rPr>
            </w:pPr>
            <w:r>
              <w:rPr>
                <w:rFonts w:ascii="Arial" w:cs="Arial" w:eastAsia="Arial" w:hAnsi="Arial"/>
                <w:sz w:val="19"/>
                <w:szCs w:val="19"/>
                <w:color w:val="auto"/>
              </w:rPr>
              <w:t>13.26</w:t>
            </w:r>
          </w:p>
        </w:tc>
        <w:tc>
          <w:tcPr>
            <w:tcW w:w="4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06"/>
              <w:spacing w:after="0"/>
              <w:rPr>
                <w:sz w:val="20"/>
                <w:szCs w:val="20"/>
                <w:color w:val="auto"/>
              </w:rPr>
            </w:pPr>
            <w:r>
              <w:rPr>
                <w:rFonts w:ascii="Arial" w:cs="Arial" w:eastAsia="Arial" w:hAnsi="Arial"/>
                <w:sz w:val="19"/>
                <w:szCs w:val="19"/>
                <w:color w:val="auto"/>
              </w:rPr>
              <w:t>24.00</w:t>
            </w:r>
          </w:p>
        </w:tc>
        <w:tc>
          <w:tcPr>
            <w:tcW w:w="4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106"/>
              <w:spacing w:after="0"/>
              <w:rPr>
                <w:sz w:val="20"/>
                <w:szCs w:val="20"/>
                <w:color w:val="auto"/>
              </w:rPr>
            </w:pPr>
            <w:r>
              <w:rPr>
                <w:rFonts w:ascii="Arial" w:cs="Arial" w:eastAsia="Arial" w:hAnsi="Arial"/>
                <w:sz w:val="19"/>
                <w:szCs w:val="19"/>
                <w:color w:val="auto"/>
              </w:rPr>
              <w:t>19.48</w:t>
            </w:r>
          </w:p>
        </w:tc>
        <w:tc>
          <w:tcPr>
            <w:tcW w:w="4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tcPr>
          <w:p>
            <w:pPr>
              <w:ind w:left="260"/>
              <w:spacing w:after="0"/>
              <w:rPr>
                <w:sz w:val="20"/>
                <w:szCs w:val="20"/>
                <w:color w:val="auto"/>
              </w:rPr>
            </w:pPr>
            <w:r>
              <w:rPr>
                <w:rFonts w:ascii="Arial" w:cs="Arial" w:eastAsia="Arial" w:hAnsi="Arial"/>
                <w:sz w:val="19"/>
                <w:szCs w:val="19"/>
                <w:color w:val="auto"/>
              </w:rPr>
              <w:t>9.28</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Expected volatility</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29.31%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29.42%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39.3%</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ind w:left="260"/>
              <w:spacing w:after="0"/>
              <w:rPr>
                <w:sz w:val="20"/>
                <w:szCs w:val="20"/>
                <w:color w:val="auto"/>
              </w:rPr>
            </w:pPr>
            <w:r>
              <w:rPr>
                <w:rFonts w:ascii="Arial" w:cs="Arial" w:eastAsia="Arial" w:hAnsi="Arial"/>
                <w:sz w:val="19"/>
                <w:szCs w:val="19"/>
                <w:color w:val="auto"/>
                <w:w w:val="96"/>
              </w:rPr>
              <w:t>47.3%</w:t>
            </w:r>
          </w:p>
        </w:tc>
      </w:tr>
      <w:tr>
        <w:trPr>
          <w:trHeight w:val="243"/>
        </w:trPr>
        <w:tc>
          <w:tcPr>
            <w:tcW w:w="5540" w:type="dxa"/>
            <w:vAlign w:val="bottom"/>
          </w:tcPr>
          <w:p>
            <w:pPr>
              <w:spacing w:after="0"/>
              <w:rPr>
                <w:sz w:val="20"/>
                <w:szCs w:val="20"/>
                <w:color w:val="auto"/>
              </w:rPr>
            </w:pPr>
            <w:r>
              <w:rPr>
                <w:rFonts w:ascii="Arial" w:cs="Arial" w:eastAsia="Arial" w:hAnsi="Arial"/>
                <w:sz w:val="19"/>
                <w:szCs w:val="19"/>
                <w:color w:val="auto"/>
              </w:rPr>
              <w:t>Expected term</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6"/>
              <w:spacing w:after="0"/>
              <w:rPr>
                <w:sz w:val="20"/>
                <w:szCs w:val="20"/>
                <w:color w:val="auto"/>
              </w:rPr>
            </w:pPr>
            <w:r>
              <w:rPr>
                <w:rFonts w:ascii="Arial" w:cs="Arial" w:eastAsia="Arial" w:hAnsi="Arial"/>
                <w:sz w:val="19"/>
                <w:szCs w:val="19"/>
                <w:color w:val="auto"/>
                <w:w w:val="89"/>
              </w:rPr>
              <w:t>6 years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6"/>
              <w:spacing w:after="0"/>
              <w:rPr>
                <w:sz w:val="20"/>
                <w:szCs w:val="20"/>
                <w:color w:val="auto"/>
              </w:rPr>
            </w:pPr>
            <w:r>
              <w:rPr>
                <w:rFonts w:ascii="Arial" w:cs="Arial" w:eastAsia="Arial" w:hAnsi="Arial"/>
                <w:sz w:val="19"/>
                <w:szCs w:val="19"/>
                <w:color w:val="auto"/>
                <w:w w:val="89"/>
              </w:rPr>
              <w:t>6 years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06"/>
              <w:spacing w:after="0"/>
              <w:rPr>
                <w:sz w:val="20"/>
                <w:szCs w:val="20"/>
                <w:color w:val="auto"/>
              </w:rPr>
            </w:pPr>
            <w:r>
              <w:rPr>
                <w:rFonts w:ascii="Arial" w:cs="Arial" w:eastAsia="Arial" w:hAnsi="Arial"/>
                <w:sz w:val="19"/>
                <w:szCs w:val="19"/>
                <w:color w:val="auto"/>
                <w:w w:val="89"/>
              </w:rPr>
              <w:t>6 years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Arial" w:cs="Arial" w:eastAsia="Arial" w:hAnsi="Arial"/>
                <w:sz w:val="19"/>
                <w:szCs w:val="19"/>
                <w:color w:val="auto"/>
              </w:rPr>
              <w:t>6 years</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Risk-free interest rate for the period similar to the expected term</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ind w:left="260"/>
              <w:spacing w:after="0"/>
              <w:rPr>
                <w:sz w:val="20"/>
                <w:szCs w:val="20"/>
                <w:color w:val="auto"/>
              </w:rPr>
            </w:pPr>
            <w:r>
              <w:rPr>
                <w:rFonts w:ascii="Arial" w:cs="Arial" w:eastAsia="Arial" w:hAnsi="Arial"/>
                <w:sz w:val="19"/>
                <w:szCs w:val="19"/>
                <w:color w:val="auto"/>
                <w:w w:val="96"/>
              </w:rPr>
              <w:t>1.37%</w:t>
            </w:r>
          </w:p>
        </w:tc>
      </w:tr>
    </w:tbl>
    <w:p>
      <w:pPr>
        <w:spacing w:after="0" w:line="9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In 2013, the fair value of the RSUs in accordance with the Plan was determined by using the grant date closing price of $13.26 per share and adjusting for the effect of the expected dividends to which holders of RSUs are not entitled using a risk-free interest rate of 0.4% for the three years until the expiry of the RSUs, which resulted in a fair value of $11.95 per RSU.</w:t>
      </w:r>
    </w:p>
    <w:p>
      <w:pPr>
        <w:spacing w:after="0" w:line="68"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In 2014, the fair value of the RSUs in accordance with the Plan was determined by using the grant date closing price of $24.00 per share and adjusting for the effect of the expected dividends which holders of RSUs are not entitled using a risk-free interest rate of 0.91% for the three years until the expiry of the RSUs which resulted in a fair value of $22.58 per RSU.</w:t>
      </w:r>
    </w:p>
    <w:p>
      <w:pPr>
        <w:spacing w:after="0" w:line="68"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In 2015, the fair value of the RSUs in accordance with the Plan was determined by using the grant date closing price of $19.48 per share and was not further adjusted since the holders are entitled to dividends.</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In 2016, the fair value of the RSUs in accordance with the Plan was determined by using the grant date closing price of $9.28 per share and was not further adjusted since the holders are entitled to dividends.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Movement in RSUs and SARs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summary of RSUs and SARs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6"/>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average</w:t>
            </w:r>
          </w:p>
        </w:tc>
        <w:tc>
          <w:tcPr>
            <w:tcW w:w="28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average share</w:t>
            </w:r>
          </w:p>
        </w:tc>
        <w:tc>
          <w:tcPr>
            <w:tcW w:w="2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Weighted</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478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89"/>
              </w:rPr>
              <w:t>Number of</w:t>
            </w: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price</w:t>
            </w:r>
          </w:p>
        </w:tc>
        <w:tc>
          <w:tcPr>
            <w:tcW w:w="28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price at the</w:t>
            </w:r>
          </w:p>
        </w:tc>
        <w:tc>
          <w:tcPr>
            <w:tcW w:w="2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average</w:t>
            </w:r>
          </w:p>
        </w:tc>
        <w:tc>
          <w:tcPr>
            <w:tcW w:w="2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85"/>
              </w:rPr>
              <w:t>Aggregate</w:t>
            </w:r>
          </w:p>
        </w:tc>
      </w:tr>
      <w:tr>
        <w:trPr>
          <w:trHeight w:val="199"/>
        </w:trPr>
        <w:tc>
          <w:tcPr>
            <w:tcW w:w="47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awards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2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date of exercise</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contractual life</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3"/>
              </w:rPr>
              <w:t>fair value</w:t>
            </w:r>
          </w:p>
        </w:tc>
      </w:tr>
      <w:tr>
        <w:trPr>
          <w:trHeight w:val="223"/>
        </w:trPr>
        <w:tc>
          <w:tcPr>
            <w:tcW w:w="47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RSUs</w:t>
            </w:r>
          </w:p>
        </w:tc>
        <w:tc>
          <w:tcPr>
            <w:tcW w:w="100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1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34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30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20" w:type="dxa"/>
            <w:vAlign w:val="bottom"/>
            <w:tcBorders>
              <w:top w:val="single" w:sz="8" w:color="auto"/>
            </w:tcBorders>
            <w:shd w:val="clear" w:color="auto" w:fill="E5FFFF"/>
          </w:tcPr>
          <w:p>
            <w:pPr>
              <w:spacing w:after="0"/>
              <w:rPr>
                <w:sz w:val="19"/>
                <w:szCs w:val="19"/>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January 1, 2015</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139,669</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580" w:type="dxa"/>
            <w:vAlign w:val="bottom"/>
            <w:gridSpan w:val="2"/>
          </w:tcPr>
          <w:p>
            <w:pPr>
              <w:jc w:val="right"/>
              <w:ind w:right="46"/>
              <w:spacing w:after="0"/>
              <w:rPr>
                <w:sz w:val="20"/>
                <w:szCs w:val="20"/>
                <w:color w:val="auto"/>
              </w:rPr>
            </w:pPr>
            <w:r>
              <w:rPr>
                <w:rFonts w:ascii="Arial" w:cs="Arial" w:eastAsia="Arial" w:hAnsi="Arial"/>
                <w:sz w:val="19"/>
                <w:szCs w:val="19"/>
                <w:b w:val="1"/>
                <w:bCs w:val="1"/>
                <w:color w:val="auto"/>
              </w:rPr>
              <w:t>1.82</w:t>
            </w:r>
          </w:p>
        </w:tc>
        <w:tc>
          <w:tcPr>
            <w:tcW w:w="1000" w:type="dxa"/>
            <w:vAlign w:val="bottom"/>
            <w:gridSpan w:val="2"/>
          </w:tcPr>
          <w:p>
            <w:pPr>
              <w:jc w:val="right"/>
              <w:ind w:right="7"/>
              <w:spacing w:after="0"/>
              <w:rPr>
                <w:sz w:val="20"/>
                <w:szCs w:val="20"/>
                <w:color w:val="auto"/>
              </w:rPr>
            </w:pPr>
            <w:r>
              <w:rPr>
                <w:rFonts w:ascii="Arial" w:cs="Arial" w:eastAsia="Arial" w:hAnsi="Arial"/>
                <w:sz w:val="19"/>
                <w:szCs w:val="19"/>
                <w:b w:val="1"/>
                <w:bCs w:val="1"/>
                <w:color w:val="auto"/>
              </w:rPr>
              <w:t>2,465</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88,492</w:t>
            </w:r>
          </w:p>
        </w:tc>
        <w:tc>
          <w:tcPr>
            <w:tcW w:w="28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1,724</w:t>
            </w:r>
          </w:p>
        </w:tc>
      </w:tr>
      <w:tr>
        <w:trPr>
          <w:trHeight w:val="243"/>
        </w:trPr>
        <w:tc>
          <w:tcPr>
            <w:tcW w:w="4780" w:type="dxa"/>
            <w:vAlign w:val="bottom"/>
          </w:tcPr>
          <w:p>
            <w:pPr>
              <w:spacing w:after="0"/>
              <w:rPr>
                <w:sz w:val="20"/>
                <w:szCs w:val="20"/>
                <w:color w:val="auto"/>
              </w:rPr>
            </w:pPr>
            <w:r>
              <w:rPr>
                <w:rFonts w:ascii="Arial" w:cs="Arial" w:eastAsia="Arial" w:hAnsi="Arial"/>
                <w:sz w:val="19"/>
                <w:szCs w:val="19"/>
                <w:color w:val="auto"/>
              </w:rPr>
              <w:t>Vested during the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(3,373)</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(54)</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Forfeited during the year</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(7,820)</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(149)</w:t>
            </w:r>
          </w:p>
        </w:tc>
      </w:tr>
      <w:tr>
        <w:trPr>
          <w:trHeight w:val="257"/>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216,968</w:t>
            </w:r>
          </w:p>
        </w:tc>
        <w:tc>
          <w:tcPr>
            <w:tcW w:w="280" w:type="dxa"/>
            <w:vAlign w:val="bottom"/>
          </w:tcPr>
          <w:p>
            <w:pPr>
              <w:spacing w:after="0"/>
              <w:rPr>
                <w:sz w:val="22"/>
                <w:szCs w:val="22"/>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2"/>
                <w:szCs w:val="22"/>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2"/>
                <w:szCs w:val="22"/>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1.38</w:t>
            </w:r>
          </w:p>
        </w:tc>
        <w:tc>
          <w:tcPr>
            <w:tcW w:w="280" w:type="dxa"/>
            <w:vAlign w:val="bottom"/>
          </w:tcPr>
          <w:p>
            <w:pPr>
              <w:spacing w:after="0"/>
              <w:rPr>
                <w:sz w:val="22"/>
                <w:szCs w:val="22"/>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3,986</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212,837</w:t>
            </w:r>
          </w:p>
        </w:tc>
        <w:tc>
          <w:tcPr>
            <w:tcW w:w="28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1,975</w:t>
            </w:r>
          </w:p>
        </w:tc>
      </w:tr>
      <w:tr>
        <w:trPr>
          <w:trHeight w:val="243"/>
        </w:trPr>
        <w:tc>
          <w:tcPr>
            <w:tcW w:w="4780" w:type="dxa"/>
            <w:vAlign w:val="bottom"/>
          </w:tcPr>
          <w:p>
            <w:pPr>
              <w:spacing w:after="0"/>
              <w:rPr>
                <w:sz w:val="20"/>
                <w:szCs w:val="20"/>
                <w:color w:val="auto"/>
              </w:rPr>
            </w:pPr>
            <w:r>
              <w:rPr>
                <w:rFonts w:ascii="Arial" w:cs="Arial" w:eastAsia="Arial" w:hAnsi="Arial"/>
                <w:sz w:val="19"/>
                <w:szCs w:val="19"/>
                <w:color w:val="auto"/>
              </w:rPr>
              <w:t>Vested during the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(61,028)</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(729)</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Forfeited during the year</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(340)</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r>
      <w:tr>
        <w:trPr>
          <w:trHeight w:val="250"/>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2016</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368,437</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580" w:type="dxa"/>
            <w:vAlign w:val="bottom"/>
            <w:gridSpan w:val="2"/>
          </w:tcPr>
          <w:p>
            <w:pPr>
              <w:jc w:val="right"/>
              <w:ind w:right="46"/>
              <w:spacing w:after="0"/>
              <w:rPr>
                <w:sz w:val="20"/>
                <w:szCs w:val="20"/>
                <w:color w:val="auto"/>
              </w:rPr>
            </w:pPr>
            <w:r>
              <w:rPr>
                <w:rFonts w:ascii="Arial" w:cs="Arial" w:eastAsia="Arial" w:hAnsi="Arial"/>
                <w:sz w:val="19"/>
                <w:szCs w:val="19"/>
                <w:b w:val="1"/>
                <w:bCs w:val="1"/>
                <w:color w:val="auto"/>
              </w:rPr>
              <w:t>1.63</w:t>
            </w:r>
          </w:p>
        </w:tc>
        <w:tc>
          <w:tcPr>
            <w:tcW w:w="1000" w:type="dxa"/>
            <w:vAlign w:val="bottom"/>
            <w:gridSpan w:val="2"/>
          </w:tcPr>
          <w:p>
            <w:pPr>
              <w:jc w:val="right"/>
              <w:ind w:right="7"/>
              <w:spacing w:after="0"/>
              <w:rPr>
                <w:sz w:val="20"/>
                <w:szCs w:val="20"/>
                <w:color w:val="auto"/>
              </w:rPr>
            </w:pPr>
            <w:r>
              <w:rPr>
                <w:rFonts w:ascii="Arial" w:cs="Arial" w:eastAsia="Arial" w:hAnsi="Arial"/>
                <w:sz w:val="19"/>
                <w:szCs w:val="19"/>
                <w:b w:val="1"/>
                <w:bCs w:val="1"/>
                <w:color w:val="auto"/>
              </w:rPr>
              <w:t>5,225</w:t>
            </w: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7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SARs</w:t>
            </w:r>
          </w:p>
        </w:tc>
        <w:tc>
          <w:tcPr>
            <w:tcW w:w="10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1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3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January 1, 2015</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590,353</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b w:val="1"/>
                <w:bCs w:val="1"/>
                <w:color w:val="auto"/>
              </w:rPr>
              <w:t>18.45</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580" w:type="dxa"/>
            <w:vAlign w:val="bottom"/>
            <w:gridSpan w:val="2"/>
          </w:tcPr>
          <w:p>
            <w:pPr>
              <w:jc w:val="right"/>
              <w:ind w:right="46"/>
              <w:spacing w:after="0"/>
              <w:rPr>
                <w:sz w:val="20"/>
                <w:szCs w:val="20"/>
                <w:color w:val="auto"/>
              </w:rPr>
            </w:pPr>
            <w:r>
              <w:rPr>
                <w:rFonts w:ascii="Arial" w:cs="Arial" w:eastAsia="Arial" w:hAnsi="Arial"/>
                <w:sz w:val="19"/>
                <w:szCs w:val="19"/>
                <w:b w:val="1"/>
                <w:bCs w:val="1"/>
                <w:color w:val="auto"/>
              </w:rPr>
              <w:t>8.78</w:t>
            </w:r>
          </w:p>
        </w:tc>
        <w:tc>
          <w:tcPr>
            <w:tcW w:w="1000" w:type="dxa"/>
            <w:vAlign w:val="bottom"/>
            <w:gridSpan w:val="2"/>
          </w:tcPr>
          <w:p>
            <w:pPr>
              <w:jc w:val="right"/>
              <w:ind w:right="7"/>
              <w:spacing w:after="0"/>
              <w:rPr>
                <w:sz w:val="20"/>
                <w:szCs w:val="20"/>
                <w:color w:val="auto"/>
              </w:rPr>
            </w:pPr>
            <w:r>
              <w:rPr>
                <w:rFonts w:ascii="Arial" w:cs="Arial" w:eastAsia="Arial" w:hAnsi="Arial"/>
                <w:sz w:val="19"/>
                <w:szCs w:val="19"/>
                <w:b w:val="1"/>
                <w:bCs w:val="1"/>
                <w:color w:val="auto"/>
              </w:rPr>
              <w:t>2,437</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305,859</w:t>
            </w:r>
          </w:p>
        </w:tc>
        <w:tc>
          <w:tcPr>
            <w:tcW w:w="28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19.48</w:t>
            </w:r>
          </w:p>
        </w:tc>
        <w:tc>
          <w:tcPr>
            <w:tcW w:w="2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1,724</w:t>
            </w:r>
          </w:p>
        </w:tc>
      </w:tr>
      <w:tr>
        <w:trPr>
          <w:trHeight w:val="243"/>
        </w:trPr>
        <w:tc>
          <w:tcPr>
            <w:tcW w:w="4780" w:type="dxa"/>
            <w:vAlign w:val="bottom"/>
          </w:tcPr>
          <w:p>
            <w:pPr>
              <w:spacing w:after="0"/>
              <w:rPr>
                <w:sz w:val="20"/>
                <w:szCs w:val="20"/>
                <w:color w:val="auto"/>
              </w:rPr>
            </w:pPr>
            <w:r>
              <w:rPr>
                <w:rFonts w:ascii="Arial" w:cs="Arial" w:eastAsia="Arial" w:hAnsi="Arial"/>
                <w:sz w:val="19"/>
                <w:szCs w:val="19"/>
                <w:color w:val="auto"/>
              </w:rPr>
              <w:t>Expired during the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(7,247)</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15.98</w:t>
            </w:r>
          </w:p>
        </w:tc>
        <w:tc>
          <w:tcPr>
            <w:tcW w:w="280" w:type="dxa"/>
            <w:vAlign w:val="bottom"/>
          </w:tcPr>
          <w:p>
            <w:pPr>
              <w:spacing w:after="0"/>
              <w:rPr>
                <w:sz w:val="21"/>
                <w:szCs w:val="21"/>
                <w:color w:val="auto"/>
              </w:rPr>
            </w:pPr>
          </w:p>
        </w:tc>
        <w:tc>
          <w:tcPr>
            <w:tcW w:w="134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Forfeited during the year</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(15,737)</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19.47</w:t>
            </w:r>
          </w:p>
        </w:tc>
        <w:tc>
          <w:tcPr>
            <w:tcW w:w="280" w:type="dxa"/>
            <w:vAlign w:val="bottom"/>
            <w:shd w:val="clear" w:color="auto" w:fill="E5FFFF"/>
          </w:tcPr>
          <w:p>
            <w:pPr>
              <w:spacing w:after="0"/>
              <w:rPr>
                <w:sz w:val="21"/>
                <w:szCs w:val="21"/>
                <w:color w:val="auto"/>
              </w:rPr>
            </w:pPr>
          </w:p>
        </w:tc>
        <w:tc>
          <w:tcPr>
            <w:tcW w:w="13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w:t>
            </w:r>
          </w:p>
        </w:tc>
      </w:tr>
      <w:tr>
        <w:trPr>
          <w:trHeight w:val="257"/>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873,228</w:t>
            </w:r>
          </w:p>
        </w:tc>
        <w:tc>
          <w:tcPr>
            <w:tcW w:w="280" w:type="dxa"/>
            <w:vAlign w:val="bottom"/>
          </w:tcPr>
          <w:p>
            <w:pPr>
              <w:spacing w:after="0"/>
              <w:rPr>
                <w:sz w:val="22"/>
                <w:szCs w:val="22"/>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18.81</w:t>
            </w:r>
          </w:p>
        </w:tc>
        <w:tc>
          <w:tcPr>
            <w:tcW w:w="280" w:type="dxa"/>
            <w:vAlign w:val="bottom"/>
          </w:tcPr>
          <w:p>
            <w:pPr>
              <w:spacing w:after="0"/>
              <w:rPr>
                <w:sz w:val="22"/>
                <w:szCs w:val="22"/>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2"/>
                <w:szCs w:val="22"/>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8.28</w:t>
            </w:r>
          </w:p>
        </w:tc>
        <w:tc>
          <w:tcPr>
            <w:tcW w:w="280" w:type="dxa"/>
            <w:vAlign w:val="bottom"/>
          </w:tcPr>
          <w:p>
            <w:pPr>
              <w:spacing w:after="0"/>
              <w:rPr>
                <w:sz w:val="22"/>
                <w:szCs w:val="22"/>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4,056</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848,981</w:t>
            </w:r>
          </w:p>
        </w:tc>
        <w:tc>
          <w:tcPr>
            <w:tcW w:w="28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9.28</w:t>
            </w:r>
          </w:p>
        </w:tc>
        <w:tc>
          <w:tcPr>
            <w:tcW w:w="2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1,975</w:t>
            </w:r>
          </w:p>
        </w:tc>
      </w:tr>
      <w:tr>
        <w:trPr>
          <w:trHeight w:val="243"/>
        </w:trPr>
        <w:tc>
          <w:tcPr>
            <w:tcW w:w="4780" w:type="dxa"/>
            <w:vAlign w:val="bottom"/>
          </w:tcPr>
          <w:p>
            <w:pPr>
              <w:spacing w:after="0"/>
              <w:rPr>
                <w:sz w:val="20"/>
                <w:szCs w:val="20"/>
                <w:color w:val="auto"/>
              </w:rPr>
            </w:pPr>
            <w:r>
              <w:rPr>
                <w:rFonts w:ascii="Arial" w:cs="Arial" w:eastAsia="Arial" w:hAnsi="Arial"/>
                <w:sz w:val="19"/>
                <w:szCs w:val="19"/>
                <w:color w:val="auto"/>
              </w:rPr>
              <w:t>Exercised during the year</w:t>
            </w:r>
          </w:p>
        </w:tc>
        <w:tc>
          <w:tcPr>
            <w:tcW w:w="1000" w:type="dxa"/>
            <w:vAlign w:val="bottom"/>
          </w:tcPr>
          <w:p>
            <w:pPr>
              <w:jc w:val="right"/>
              <w:spacing w:after="0"/>
              <w:rPr>
                <w:sz w:val="20"/>
                <w:szCs w:val="20"/>
                <w:color w:val="auto"/>
              </w:rPr>
            </w:pPr>
            <w:r>
              <w:rPr>
                <w:rFonts w:ascii="Arial" w:cs="Arial" w:eastAsia="Arial" w:hAnsi="Arial"/>
                <w:sz w:val="19"/>
                <w:szCs w:val="19"/>
                <w:color w:val="auto"/>
              </w:rPr>
              <w:t>(8,115)</w:t>
            </w:r>
          </w:p>
        </w:tc>
        <w:tc>
          <w:tcPr>
            <w:tcW w:w="28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13.26</w:t>
            </w:r>
          </w:p>
        </w:tc>
        <w:tc>
          <w:tcPr>
            <w:tcW w:w="1620" w:type="dxa"/>
            <w:vAlign w:val="bottom"/>
            <w:gridSpan w:val="2"/>
          </w:tcPr>
          <w:p>
            <w:pPr>
              <w:jc w:val="right"/>
              <w:ind w:right="46"/>
              <w:spacing w:after="0"/>
              <w:rPr>
                <w:sz w:val="20"/>
                <w:szCs w:val="20"/>
                <w:color w:val="auto"/>
              </w:rPr>
            </w:pPr>
            <w:r>
              <w:rPr>
                <w:rFonts w:ascii="Arial" w:cs="Arial" w:eastAsia="Arial" w:hAnsi="Arial"/>
                <w:sz w:val="19"/>
                <w:szCs w:val="19"/>
                <w:color w:val="auto"/>
              </w:rPr>
              <w:t>16.15</w:t>
            </w:r>
          </w:p>
        </w:tc>
        <w:tc>
          <w:tcPr>
            <w:tcW w:w="2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(19)</w:t>
            </w:r>
          </w:p>
        </w:tc>
      </w:tr>
      <w:tr>
        <w:trPr>
          <w:trHeight w:val="243"/>
        </w:trPr>
        <w:tc>
          <w:tcPr>
            <w:tcW w:w="4780" w:type="dxa"/>
            <w:vAlign w:val="bottom"/>
            <w:shd w:val="clear" w:color="auto" w:fill="E5FFFF"/>
          </w:tcPr>
          <w:p>
            <w:pPr>
              <w:spacing w:after="0"/>
              <w:rPr>
                <w:sz w:val="20"/>
                <w:szCs w:val="20"/>
                <w:color w:val="auto"/>
              </w:rPr>
            </w:pPr>
            <w:r>
              <w:rPr>
                <w:rFonts w:ascii="Arial" w:cs="Arial" w:eastAsia="Arial" w:hAnsi="Arial"/>
                <w:sz w:val="19"/>
                <w:szCs w:val="19"/>
                <w:color w:val="auto"/>
              </w:rPr>
              <w:t>Forfeited during the year</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(392)</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19.48</w:t>
            </w:r>
          </w:p>
        </w:tc>
        <w:tc>
          <w:tcPr>
            <w:tcW w:w="280" w:type="dxa"/>
            <w:vAlign w:val="bottom"/>
            <w:shd w:val="clear" w:color="auto" w:fill="E5FFFF"/>
          </w:tcPr>
          <w:p>
            <w:pPr>
              <w:spacing w:after="0"/>
              <w:rPr>
                <w:sz w:val="21"/>
                <w:szCs w:val="21"/>
                <w:color w:val="auto"/>
              </w:rPr>
            </w:pPr>
          </w:p>
        </w:tc>
        <w:tc>
          <w:tcPr>
            <w:tcW w:w="13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3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r>
      <w:tr>
        <w:trPr>
          <w:trHeight w:val="250"/>
        </w:trPr>
        <w:tc>
          <w:tcPr>
            <w:tcW w:w="478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1,713,702</w:t>
            </w:r>
          </w:p>
        </w:tc>
        <w:tc>
          <w:tcPr>
            <w:tcW w:w="280" w:type="dxa"/>
            <w:vAlign w:val="bottom"/>
          </w:tcPr>
          <w:p>
            <w:pPr>
              <w:spacing w:after="0"/>
              <w:rPr>
                <w:sz w:val="21"/>
                <w:szCs w:val="21"/>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14.11</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280" w:type="dxa"/>
            <w:vAlign w:val="bottom"/>
          </w:tcPr>
          <w:p>
            <w:pPr>
              <w:spacing w:after="0"/>
              <w:rPr>
                <w:sz w:val="21"/>
                <w:szCs w:val="21"/>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8.25</w:t>
            </w:r>
          </w:p>
        </w:tc>
        <w:tc>
          <w:tcPr>
            <w:tcW w:w="280" w:type="dxa"/>
            <w:vAlign w:val="bottom"/>
          </w:tcPr>
          <w:p>
            <w:pPr>
              <w:spacing w:after="0"/>
              <w:rPr>
                <w:sz w:val="21"/>
                <w:szCs w:val="21"/>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6,010</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36"/>
        </w:trPr>
        <w:tc>
          <w:tcPr>
            <w:tcW w:w="4780" w:type="dxa"/>
            <w:vAlign w:val="bottom"/>
          </w:tcPr>
          <w:p>
            <w:pPr>
              <w:spacing w:after="0"/>
              <w:rPr>
                <w:sz w:val="24"/>
                <w:szCs w:val="24"/>
                <w:color w:val="auto"/>
              </w:rPr>
            </w:pPr>
          </w:p>
        </w:tc>
        <w:tc>
          <w:tcPr>
            <w:tcW w:w="1280" w:type="dxa"/>
            <w:vAlign w:val="bottom"/>
            <w:gridSpan w:val="2"/>
          </w:tcPr>
          <w:p>
            <w:pPr>
              <w:ind w:left="760"/>
              <w:spacing w:after="0"/>
              <w:rPr>
                <w:sz w:val="20"/>
                <w:szCs w:val="20"/>
                <w:color w:val="auto"/>
              </w:rPr>
            </w:pPr>
            <w:r>
              <w:rPr>
                <w:rFonts w:ascii="Arial" w:cs="Arial" w:eastAsia="Arial" w:hAnsi="Arial"/>
                <w:sz w:val="19"/>
                <w:szCs w:val="19"/>
                <w:color w:val="auto"/>
              </w:rPr>
              <w:t>F-48</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4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82" w:name="page183"/>
    <w:bookmarkEnd w:id="182"/>
    <w:p>
      <w:pPr>
        <w:ind w:left="360"/>
        <w:spacing w:after="0"/>
        <w:rPr>
          <w:sz w:val="20"/>
          <w:szCs w:val="20"/>
          <w:color w:val="auto"/>
        </w:rPr>
      </w:pPr>
      <w:r>
        <w:rPr>
          <w:rFonts w:ascii="Arial" w:cs="Arial" w:eastAsia="Arial" w:hAnsi="Arial"/>
          <w:sz w:val="19"/>
          <w:szCs w:val="19"/>
          <w:color w:val="auto"/>
        </w:rPr>
        <w:t>As of December 31, 2016, 578,105 SARs have vested but not been exercised.</w:t>
      </w:r>
    </w:p>
    <w:p>
      <w:pPr>
        <w:spacing w:after="0" w:line="119"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On April 1, 2015 and April 1, 2016, GasLog Partners granted to its executives, Restricted Common Units (“RCUs”) and Performance Common Units (“PCUs”) in accordance with its 2015 Long-Term Incentive Plan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aforementioned awards are presented in the following table:</w:t>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6"/>
                <w:szCs w:val="16"/>
                <w:b w:val="1"/>
                <w:bCs w:val="1"/>
                <w:color w:val="auto"/>
                <w:w w:val="92"/>
              </w:rPr>
              <w:t>Fair value at</w:t>
            </w:r>
          </w:p>
        </w:tc>
      </w:tr>
      <w:tr>
        <w:trPr>
          <w:trHeight w:val="199"/>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Awards</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7"/>
                <w:szCs w:val="17"/>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Grant date</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grant date</w:t>
            </w:r>
          </w:p>
        </w:tc>
      </w:tr>
      <w:tr>
        <w:trPr>
          <w:trHeight w:val="237"/>
        </w:trPr>
        <w:tc>
          <w:tcPr>
            <w:tcW w:w="6200" w:type="dxa"/>
            <w:vAlign w:val="bottom"/>
            <w:shd w:val="clear" w:color="auto" w:fill="E5FFFF"/>
          </w:tcPr>
          <w:p>
            <w:pPr>
              <w:spacing w:after="0"/>
              <w:rPr>
                <w:sz w:val="20"/>
                <w:szCs w:val="20"/>
                <w:color w:val="auto"/>
              </w:rPr>
            </w:pPr>
            <w:r>
              <w:rPr>
                <w:rFonts w:ascii="Arial" w:cs="Arial" w:eastAsia="Arial" w:hAnsi="Arial"/>
                <w:sz w:val="19"/>
                <w:szCs w:val="19"/>
                <w:color w:val="auto"/>
              </w:rPr>
              <w:t>RCUs</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16,999</w:t>
            </w:r>
          </w:p>
        </w:tc>
        <w:tc>
          <w:tcPr>
            <w:tcW w:w="300" w:type="dxa"/>
            <w:vAlign w:val="bottom"/>
            <w:shd w:val="clear" w:color="auto" w:fill="E5FFFF"/>
          </w:tcPr>
          <w:p>
            <w:pPr>
              <w:spacing w:after="0"/>
              <w:rPr>
                <w:sz w:val="20"/>
                <w:szCs w:val="20"/>
                <w:color w:val="auto"/>
              </w:rPr>
            </w:pPr>
          </w:p>
        </w:tc>
        <w:tc>
          <w:tcPr>
            <w:tcW w:w="1440" w:type="dxa"/>
            <w:vAlign w:val="bottom"/>
            <w:shd w:val="clear" w:color="auto" w:fill="E5FFFF"/>
          </w:tcPr>
          <w:p>
            <w:pPr>
              <w:ind w:left="360"/>
              <w:spacing w:after="0"/>
              <w:rPr>
                <w:sz w:val="20"/>
                <w:szCs w:val="20"/>
                <w:color w:val="auto"/>
              </w:rPr>
            </w:pPr>
            <w:r>
              <w:rPr>
                <w:rFonts w:ascii="Arial" w:cs="Arial" w:eastAsia="Arial" w:hAnsi="Arial"/>
                <w:sz w:val="19"/>
                <w:szCs w:val="19"/>
                <w:color w:val="auto"/>
                <w:w w:val="99"/>
              </w:rPr>
              <w:t>April 1, 2015</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24.12</w:t>
            </w:r>
          </w:p>
        </w:tc>
      </w:tr>
      <w:tr>
        <w:trPr>
          <w:trHeight w:val="243"/>
        </w:trPr>
        <w:tc>
          <w:tcPr>
            <w:tcW w:w="6200" w:type="dxa"/>
            <w:vAlign w:val="bottom"/>
          </w:tcPr>
          <w:p>
            <w:pPr>
              <w:spacing w:after="0"/>
              <w:rPr>
                <w:sz w:val="20"/>
                <w:szCs w:val="20"/>
                <w:color w:val="auto"/>
              </w:rPr>
            </w:pPr>
            <w:r>
              <w:rPr>
                <w:rFonts w:ascii="Arial" w:cs="Arial" w:eastAsia="Arial" w:hAnsi="Arial"/>
                <w:sz w:val="19"/>
                <w:szCs w:val="19"/>
                <w:color w:val="auto"/>
              </w:rPr>
              <w:t>PCUs</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16,999</w:t>
            </w:r>
          </w:p>
        </w:tc>
        <w:tc>
          <w:tcPr>
            <w:tcW w:w="300" w:type="dxa"/>
            <w:vAlign w:val="bottom"/>
          </w:tcPr>
          <w:p>
            <w:pPr>
              <w:spacing w:after="0"/>
              <w:rPr>
                <w:sz w:val="21"/>
                <w:szCs w:val="21"/>
                <w:color w:val="auto"/>
              </w:rPr>
            </w:pPr>
          </w:p>
        </w:tc>
        <w:tc>
          <w:tcPr>
            <w:tcW w:w="1440" w:type="dxa"/>
            <w:vAlign w:val="bottom"/>
          </w:tcPr>
          <w:p>
            <w:pPr>
              <w:ind w:left="360"/>
              <w:spacing w:after="0"/>
              <w:rPr>
                <w:sz w:val="20"/>
                <w:szCs w:val="20"/>
                <w:color w:val="auto"/>
              </w:rPr>
            </w:pPr>
            <w:r>
              <w:rPr>
                <w:rFonts w:ascii="Arial" w:cs="Arial" w:eastAsia="Arial" w:hAnsi="Arial"/>
                <w:sz w:val="19"/>
                <w:szCs w:val="19"/>
                <w:color w:val="auto"/>
                <w:w w:val="99"/>
              </w:rPr>
              <w:t>April 1, 2015</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29"/>
              <w:spacing w:after="0"/>
              <w:rPr>
                <w:sz w:val="20"/>
                <w:szCs w:val="20"/>
                <w:color w:val="auto"/>
              </w:rPr>
            </w:pPr>
            <w:r>
              <w:rPr>
                <w:rFonts w:ascii="Arial" w:cs="Arial" w:eastAsia="Arial" w:hAnsi="Arial"/>
                <w:sz w:val="19"/>
                <w:szCs w:val="19"/>
                <w:color w:val="auto"/>
              </w:rPr>
              <w:t>24.12</w:t>
            </w:r>
          </w:p>
        </w:tc>
      </w:tr>
      <w:tr>
        <w:trPr>
          <w:trHeight w:val="243"/>
        </w:trPr>
        <w:tc>
          <w:tcPr>
            <w:tcW w:w="6200" w:type="dxa"/>
            <w:vAlign w:val="bottom"/>
            <w:shd w:val="clear" w:color="auto" w:fill="E5FFFF"/>
          </w:tcPr>
          <w:p>
            <w:pPr>
              <w:spacing w:after="0"/>
              <w:rPr>
                <w:sz w:val="20"/>
                <w:szCs w:val="20"/>
                <w:color w:val="auto"/>
              </w:rPr>
            </w:pPr>
            <w:r>
              <w:rPr>
                <w:rFonts w:ascii="Arial" w:cs="Arial" w:eastAsia="Arial" w:hAnsi="Arial"/>
                <w:sz w:val="19"/>
                <w:szCs w:val="19"/>
                <w:color w:val="auto"/>
              </w:rPr>
              <w:t>RCUs</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24,925</w:t>
            </w:r>
          </w:p>
        </w:tc>
        <w:tc>
          <w:tcPr>
            <w:tcW w:w="300" w:type="dxa"/>
            <w:vAlign w:val="bottom"/>
            <w:shd w:val="clear" w:color="auto" w:fill="E5FFFF"/>
          </w:tcPr>
          <w:p>
            <w:pPr>
              <w:spacing w:after="0"/>
              <w:rPr>
                <w:sz w:val="21"/>
                <w:szCs w:val="21"/>
                <w:color w:val="auto"/>
              </w:rPr>
            </w:pPr>
          </w:p>
        </w:tc>
        <w:tc>
          <w:tcPr>
            <w:tcW w:w="1440" w:type="dxa"/>
            <w:vAlign w:val="bottom"/>
            <w:shd w:val="clear" w:color="auto" w:fill="E5FFFF"/>
          </w:tcPr>
          <w:p>
            <w:pPr>
              <w:ind w:left="360"/>
              <w:spacing w:after="0"/>
              <w:rPr>
                <w:sz w:val="20"/>
                <w:szCs w:val="20"/>
                <w:color w:val="auto"/>
              </w:rPr>
            </w:pPr>
            <w:r>
              <w:rPr>
                <w:rFonts w:ascii="Arial" w:cs="Arial" w:eastAsia="Arial" w:hAnsi="Arial"/>
                <w:sz w:val="19"/>
                <w:szCs w:val="19"/>
                <w:color w:val="auto"/>
                <w:w w:val="99"/>
              </w:rPr>
              <w:t>April 1, 2016</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16.45</w:t>
            </w:r>
          </w:p>
        </w:tc>
      </w:tr>
      <w:tr>
        <w:trPr>
          <w:trHeight w:val="247"/>
        </w:trPr>
        <w:tc>
          <w:tcPr>
            <w:tcW w:w="6200" w:type="dxa"/>
            <w:vAlign w:val="bottom"/>
          </w:tcPr>
          <w:p>
            <w:pPr>
              <w:spacing w:after="0"/>
              <w:rPr>
                <w:sz w:val="20"/>
                <w:szCs w:val="20"/>
                <w:color w:val="auto"/>
              </w:rPr>
            </w:pPr>
            <w:r>
              <w:rPr>
                <w:rFonts w:ascii="Arial" w:cs="Arial" w:eastAsia="Arial" w:hAnsi="Arial"/>
                <w:sz w:val="19"/>
                <w:szCs w:val="19"/>
                <w:color w:val="auto"/>
              </w:rPr>
              <w:t>PCUs</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24,925</w:t>
            </w:r>
          </w:p>
        </w:tc>
        <w:tc>
          <w:tcPr>
            <w:tcW w:w="300" w:type="dxa"/>
            <w:vAlign w:val="bottom"/>
          </w:tcPr>
          <w:p>
            <w:pPr>
              <w:spacing w:after="0"/>
              <w:rPr>
                <w:sz w:val="21"/>
                <w:szCs w:val="21"/>
                <w:color w:val="auto"/>
              </w:rPr>
            </w:pPr>
          </w:p>
        </w:tc>
        <w:tc>
          <w:tcPr>
            <w:tcW w:w="1440" w:type="dxa"/>
            <w:vAlign w:val="bottom"/>
          </w:tcPr>
          <w:p>
            <w:pPr>
              <w:ind w:left="360"/>
              <w:spacing w:after="0"/>
              <w:rPr>
                <w:sz w:val="20"/>
                <w:szCs w:val="20"/>
                <w:color w:val="auto"/>
              </w:rPr>
            </w:pPr>
            <w:r>
              <w:rPr>
                <w:rFonts w:ascii="Arial" w:cs="Arial" w:eastAsia="Arial" w:hAnsi="Arial"/>
                <w:sz w:val="19"/>
                <w:szCs w:val="19"/>
                <w:color w:val="auto"/>
                <w:w w:val="99"/>
              </w:rPr>
              <w:t>April 1, 2016</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29"/>
              <w:spacing w:after="0"/>
              <w:rPr>
                <w:sz w:val="20"/>
                <w:szCs w:val="20"/>
                <w:color w:val="auto"/>
              </w:rPr>
            </w:pPr>
            <w:r>
              <w:rPr>
                <w:rFonts w:ascii="Arial" w:cs="Arial" w:eastAsia="Arial" w:hAnsi="Arial"/>
                <w:sz w:val="19"/>
                <w:szCs w:val="19"/>
                <w:color w:val="auto"/>
              </w:rPr>
              <w:t>16.45</w:t>
            </w:r>
          </w:p>
        </w:tc>
      </w:tr>
    </w:tbl>
    <w:p>
      <w:pPr>
        <w:spacing w:after="0" w:line="91"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fair value of the RCUs and PCUs granted in 2015 and 2016 was determined by using the grant date closing price of $24.12 and $16.45 per common unit, respectively, and was not further adjusted since the holders are entitled to cash distribution.</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Movement in RCUs and PCUs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summary of RCUs and PCUs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6"/>
        </w:trPr>
        <w:tc>
          <w:tcPr>
            <w:tcW w:w="5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tcPr>
          <w:p>
            <w:pPr>
              <w:jc w:val="right"/>
              <w:ind w:right="6"/>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average</w:t>
            </w:r>
          </w:p>
        </w:tc>
        <w:tc>
          <w:tcPr>
            <w:tcW w:w="300" w:type="dxa"/>
            <w:vAlign w:val="bottom"/>
          </w:tcPr>
          <w:p>
            <w:pPr>
              <w:spacing w:after="0"/>
              <w:rPr>
                <w:sz w:val="15"/>
                <w:szCs w:val="15"/>
                <w:color w:val="auto"/>
              </w:rPr>
            </w:pPr>
          </w:p>
        </w:tc>
        <w:tc>
          <w:tcPr>
            <w:tcW w:w="920" w:type="dxa"/>
            <w:vAlign w:val="bottom"/>
          </w:tcPr>
          <w:p>
            <w:pPr>
              <w:jc w:val="right"/>
              <w:ind w:right="26"/>
              <w:spacing w:after="0" w:line="176" w:lineRule="exact"/>
              <w:rPr>
                <w:sz w:val="20"/>
                <w:szCs w:val="20"/>
                <w:color w:val="auto"/>
              </w:rPr>
            </w:pPr>
            <w:r>
              <w:rPr>
                <w:rFonts w:ascii="Arial" w:cs="Arial" w:eastAsia="Arial" w:hAnsi="Arial"/>
                <w:sz w:val="16"/>
                <w:szCs w:val="16"/>
                <w:b w:val="1"/>
                <w:bCs w:val="1"/>
                <w:color w:val="auto"/>
                <w:w w:val="98"/>
              </w:rPr>
              <w:t>Aggregate</w:t>
            </w:r>
          </w:p>
        </w:tc>
        <w:tc>
          <w:tcPr>
            <w:tcW w:w="520" w:type="dxa"/>
            <w:vAlign w:val="bottom"/>
          </w:tcPr>
          <w:p>
            <w:pPr>
              <w:spacing w:after="0"/>
              <w:rPr>
                <w:sz w:val="15"/>
                <w:szCs w:val="15"/>
                <w:color w:val="auto"/>
              </w:rPr>
            </w:pPr>
          </w:p>
        </w:tc>
      </w:tr>
      <w:tr>
        <w:trPr>
          <w:trHeight w:val="199"/>
        </w:trPr>
        <w:tc>
          <w:tcPr>
            <w:tcW w:w="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awards</w:t>
            </w:r>
          </w:p>
        </w:tc>
        <w:tc>
          <w:tcPr>
            <w:tcW w:w="3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contractual life</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fair value</w:t>
            </w:r>
          </w:p>
        </w:tc>
        <w:tc>
          <w:tcPr>
            <w:tcW w:w="520" w:type="dxa"/>
            <w:vAlign w:val="bottom"/>
          </w:tcPr>
          <w:p>
            <w:pPr>
              <w:spacing w:after="0"/>
              <w:rPr>
                <w:sz w:val="17"/>
                <w:szCs w:val="17"/>
                <w:color w:val="auto"/>
              </w:rPr>
            </w:pPr>
          </w:p>
        </w:tc>
      </w:tr>
      <w:tr>
        <w:trPr>
          <w:trHeight w:val="223"/>
        </w:trPr>
        <w:tc>
          <w:tcPr>
            <w:tcW w:w="500" w:type="dxa"/>
            <w:vAlign w:val="bottom"/>
          </w:tcPr>
          <w:p>
            <w:pPr>
              <w:spacing w:after="0"/>
              <w:rPr>
                <w:sz w:val="19"/>
                <w:szCs w:val="19"/>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RCUs</w:t>
            </w:r>
          </w:p>
        </w:tc>
        <w:tc>
          <w:tcPr>
            <w:tcW w:w="25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3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January 1, 2015</w:t>
            </w:r>
          </w:p>
        </w:tc>
        <w:tc>
          <w:tcPr>
            <w:tcW w:w="2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9"/>
                <w:szCs w:val="19"/>
                <w:b w:val="1"/>
                <w:bCs w:val="1"/>
                <w:color w:val="auto"/>
              </w:rPr>
              <w:t>—</w:t>
            </w:r>
          </w:p>
        </w:tc>
        <w:tc>
          <w:tcPr>
            <w:tcW w:w="300" w:type="dxa"/>
            <w:vAlign w:val="bottom"/>
          </w:tcPr>
          <w:p>
            <w:pPr>
              <w:spacing w:after="0"/>
              <w:rPr>
                <w:sz w:val="21"/>
                <w:szCs w:val="21"/>
                <w:color w:val="auto"/>
              </w:rPr>
            </w:pPr>
          </w:p>
        </w:tc>
        <w:tc>
          <w:tcPr>
            <w:tcW w:w="920" w:type="dxa"/>
            <w:vAlign w:val="bottom"/>
          </w:tcPr>
          <w:p>
            <w:pPr>
              <w:jc w:val="right"/>
              <w:ind w:right="26"/>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258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16,999</w:t>
            </w:r>
          </w:p>
        </w:tc>
        <w:tc>
          <w:tcPr>
            <w:tcW w:w="300" w:type="dxa"/>
            <w:vAlign w:val="bottom"/>
            <w:shd w:val="clear" w:color="auto" w:fill="E5FFFF"/>
          </w:tcPr>
          <w:p>
            <w:pPr>
              <w:spacing w:after="0"/>
              <w:rPr>
                <w:sz w:val="21"/>
                <w:szCs w:val="21"/>
                <w:color w:val="auto"/>
              </w:rPr>
            </w:pPr>
          </w:p>
        </w:tc>
        <w:tc>
          <w:tcPr>
            <w:tcW w:w="13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410</w:t>
            </w:r>
          </w:p>
        </w:tc>
        <w:tc>
          <w:tcPr>
            <w:tcW w:w="520" w:type="dxa"/>
            <w:vAlign w:val="bottom"/>
          </w:tcPr>
          <w:p>
            <w:pPr>
              <w:spacing w:after="0"/>
              <w:rPr>
                <w:sz w:val="21"/>
                <w:szCs w:val="21"/>
                <w:color w:val="auto"/>
              </w:rPr>
            </w:pPr>
          </w:p>
        </w:tc>
      </w:tr>
      <w:tr>
        <w:trPr>
          <w:trHeight w:val="257"/>
        </w:trPr>
        <w:tc>
          <w:tcPr>
            <w:tcW w:w="50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2015</w:t>
            </w:r>
          </w:p>
        </w:tc>
        <w:tc>
          <w:tcPr>
            <w:tcW w:w="25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16,999</w:t>
            </w:r>
          </w:p>
        </w:tc>
        <w:tc>
          <w:tcPr>
            <w:tcW w:w="300" w:type="dxa"/>
            <w:vAlign w:val="bottom"/>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b w:val="1"/>
                <w:bCs w:val="1"/>
                <w:color w:val="auto"/>
              </w:rPr>
              <w:t>2.25</w:t>
            </w:r>
          </w:p>
        </w:tc>
        <w:tc>
          <w:tcPr>
            <w:tcW w:w="300" w:type="dxa"/>
            <w:vAlign w:val="bottom"/>
          </w:tcPr>
          <w:p>
            <w:pPr>
              <w:spacing w:after="0"/>
              <w:rPr>
                <w:sz w:val="22"/>
                <w:szCs w:val="22"/>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410</w:t>
            </w:r>
          </w:p>
        </w:tc>
        <w:tc>
          <w:tcPr>
            <w:tcW w:w="520" w:type="dxa"/>
            <w:vAlign w:val="bottom"/>
          </w:tcPr>
          <w:p>
            <w:pPr>
              <w:spacing w:after="0"/>
              <w:rPr>
                <w:sz w:val="22"/>
                <w:szCs w:val="22"/>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258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24,925</w:t>
            </w:r>
          </w:p>
        </w:tc>
        <w:tc>
          <w:tcPr>
            <w:tcW w:w="300" w:type="dxa"/>
            <w:vAlign w:val="bottom"/>
            <w:shd w:val="clear" w:color="auto" w:fill="E5FFFF"/>
          </w:tcPr>
          <w:p>
            <w:pPr>
              <w:spacing w:after="0"/>
              <w:rPr>
                <w:sz w:val="21"/>
                <w:szCs w:val="21"/>
                <w:color w:val="auto"/>
              </w:rPr>
            </w:pPr>
          </w:p>
        </w:tc>
        <w:tc>
          <w:tcPr>
            <w:tcW w:w="13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410</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2016</w:t>
            </w:r>
          </w:p>
        </w:tc>
        <w:tc>
          <w:tcPr>
            <w:tcW w:w="3500" w:type="dxa"/>
            <w:vAlign w:val="bottom"/>
            <w:gridSpan w:val="2"/>
          </w:tcPr>
          <w:p>
            <w:pPr>
              <w:jc w:val="right"/>
              <w:spacing w:after="0"/>
              <w:rPr>
                <w:sz w:val="20"/>
                <w:szCs w:val="20"/>
                <w:color w:val="auto"/>
              </w:rPr>
            </w:pPr>
            <w:r>
              <w:rPr>
                <w:rFonts w:ascii="Arial" w:cs="Arial" w:eastAsia="Arial" w:hAnsi="Arial"/>
                <w:sz w:val="19"/>
                <w:szCs w:val="19"/>
                <w:b w:val="1"/>
                <w:bCs w:val="1"/>
                <w:color w:val="auto"/>
              </w:rPr>
              <w:t>41,924</w:t>
            </w:r>
          </w:p>
        </w:tc>
        <w:tc>
          <w:tcPr>
            <w:tcW w:w="1620" w:type="dxa"/>
            <w:vAlign w:val="bottom"/>
            <w:gridSpan w:val="2"/>
          </w:tcPr>
          <w:p>
            <w:pPr>
              <w:jc w:val="right"/>
              <w:ind w:right="48"/>
              <w:spacing w:after="0"/>
              <w:rPr>
                <w:sz w:val="20"/>
                <w:szCs w:val="20"/>
                <w:color w:val="auto"/>
              </w:rPr>
            </w:pPr>
            <w:r>
              <w:rPr>
                <w:rFonts w:ascii="Arial" w:cs="Arial" w:eastAsia="Arial" w:hAnsi="Arial"/>
                <w:sz w:val="19"/>
                <w:szCs w:val="19"/>
                <w:b w:val="1"/>
                <w:bCs w:val="1"/>
                <w:color w:val="auto"/>
              </w:rPr>
              <w:t>1.84</w:t>
            </w:r>
          </w:p>
        </w:tc>
        <w:tc>
          <w:tcPr>
            <w:tcW w:w="1220" w:type="dxa"/>
            <w:vAlign w:val="bottom"/>
            <w:gridSpan w:val="2"/>
          </w:tcPr>
          <w:p>
            <w:pPr>
              <w:jc w:val="right"/>
              <w:ind w:right="26"/>
              <w:spacing w:after="0"/>
              <w:rPr>
                <w:sz w:val="20"/>
                <w:szCs w:val="20"/>
                <w:color w:val="auto"/>
              </w:rPr>
            </w:pPr>
            <w:r>
              <w:rPr>
                <w:rFonts w:ascii="Arial" w:cs="Arial" w:eastAsia="Arial" w:hAnsi="Arial"/>
                <w:sz w:val="19"/>
                <w:szCs w:val="19"/>
                <w:b w:val="1"/>
                <w:bCs w:val="1"/>
                <w:color w:val="auto"/>
              </w:rPr>
              <w:t>820</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4"/>
        </w:trPr>
        <w:tc>
          <w:tcPr>
            <w:tcW w:w="500" w:type="dxa"/>
            <w:vAlign w:val="bottom"/>
          </w:tcPr>
          <w:p>
            <w:pPr>
              <w:spacing w:after="0"/>
              <w:rPr>
                <w:sz w:val="19"/>
                <w:szCs w:val="19"/>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PCUs</w:t>
            </w:r>
          </w:p>
        </w:tc>
        <w:tc>
          <w:tcPr>
            <w:tcW w:w="25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3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January 1, 2015</w:t>
            </w:r>
          </w:p>
        </w:tc>
        <w:tc>
          <w:tcPr>
            <w:tcW w:w="2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9"/>
                <w:szCs w:val="19"/>
                <w:b w:val="1"/>
                <w:bCs w:val="1"/>
                <w:color w:val="auto"/>
              </w:rPr>
              <w:t>—</w:t>
            </w:r>
          </w:p>
        </w:tc>
        <w:tc>
          <w:tcPr>
            <w:tcW w:w="300" w:type="dxa"/>
            <w:vAlign w:val="bottom"/>
          </w:tcPr>
          <w:p>
            <w:pPr>
              <w:spacing w:after="0"/>
              <w:rPr>
                <w:sz w:val="21"/>
                <w:szCs w:val="21"/>
                <w:color w:val="auto"/>
              </w:rPr>
            </w:pPr>
          </w:p>
        </w:tc>
        <w:tc>
          <w:tcPr>
            <w:tcW w:w="920" w:type="dxa"/>
            <w:vAlign w:val="bottom"/>
          </w:tcPr>
          <w:p>
            <w:pPr>
              <w:jc w:val="right"/>
              <w:ind w:right="26"/>
              <w:spacing w:after="0"/>
              <w:rPr>
                <w:sz w:val="20"/>
                <w:szCs w:val="20"/>
                <w:color w:val="auto"/>
              </w:rPr>
            </w:pPr>
            <w:r>
              <w:rPr>
                <w:rFonts w:ascii="Arial" w:cs="Arial" w:eastAsia="Arial" w:hAnsi="Arial"/>
                <w:sz w:val="19"/>
                <w:szCs w:val="19"/>
                <w:b w:val="1"/>
                <w:bCs w:val="1"/>
                <w:color w:val="auto"/>
              </w:rPr>
              <w:t>—</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258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16,999</w:t>
            </w:r>
          </w:p>
        </w:tc>
        <w:tc>
          <w:tcPr>
            <w:tcW w:w="300" w:type="dxa"/>
            <w:vAlign w:val="bottom"/>
            <w:shd w:val="clear" w:color="auto" w:fill="E5FFFF"/>
          </w:tcPr>
          <w:p>
            <w:pPr>
              <w:spacing w:after="0"/>
              <w:rPr>
                <w:sz w:val="21"/>
                <w:szCs w:val="21"/>
                <w:color w:val="auto"/>
              </w:rPr>
            </w:pPr>
          </w:p>
        </w:tc>
        <w:tc>
          <w:tcPr>
            <w:tcW w:w="13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410</w:t>
            </w:r>
          </w:p>
        </w:tc>
        <w:tc>
          <w:tcPr>
            <w:tcW w:w="520" w:type="dxa"/>
            <w:vAlign w:val="bottom"/>
          </w:tcPr>
          <w:p>
            <w:pPr>
              <w:spacing w:after="0"/>
              <w:rPr>
                <w:sz w:val="21"/>
                <w:szCs w:val="21"/>
                <w:color w:val="auto"/>
              </w:rPr>
            </w:pPr>
          </w:p>
        </w:tc>
      </w:tr>
      <w:tr>
        <w:trPr>
          <w:trHeight w:val="257"/>
        </w:trPr>
        <w:tc>
          <w:tcPr>
            <w:tcW w:w="50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2015</w:t>
            </w:r>
          </w:p>
        </w:tc>
        <w:tc>
          <w:tcPr>
            <w:tcW w:w="25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16,999</w:t>
            </w:r>
          </w:p>
        </w:tc>
        <w:tc>
          <w:tcPr>
            <w:tcW w:w="300" w:type="dxa"/>
            <w:vAlign w:val="bottom"/>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b w:val="1"/>
                <w:bCs w:val="1"/>
                <w:color w:val="auto"/>
              </w:rPr>
              <w:t>2.25</w:t>
            </w:r>
          </w:p>
        </w:tc>
        <w:tc>
          <w:tcPr>
            <w:tcW w:w="300" w:type="dxa"/>
            <w:vAlign w:val="bottom"/>
          </w:tcPr>
          <w:p>
            <w:pPr>
              <w:spacing w:after="0"/>
              <w:rPr>
                <w:sz w:val="22"/>
                <w:szCs w:val="22"/>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410</w:t>
            </w:r>
          </w:p>
        </w:tc>
        <w:tc>
          <w:tcPr>
            <w:tcW w:w="520" w:type="dxa"/>
            <w:vAlign w:val="bottom"/>
          </w:tcPr>
          <w:p>
            <w:pPr>
              <w:spacing w:after="0"/>
              <w:rPr>
                <w:sz w:val="22"/>
                <w:szCs w:val="22"/>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9"/>
                <w:szCs w:val="19"/>
                <w:color w:val="auto"/>
              </w:rPr>
              <w:t>Granted during the year</w:t>
            </w:r>
          </w:p>
        </w:tc>
        <w:tc>
          <w:tcPr>
            <w:tcW w:w="258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24,925</w:t>
            </w:r>
          </w:p>
        </w:tc>
        <w:tc>
          <w:tcPr>
            <w:tcW w:w="300" w:type="dxa"/>
            <w:vAlign w:val="bottom"/>
            <w:shd w:val="clear" w:color="auto" w:fill="E5FFFF"/>
          </w:tcPr>
          <w:p>
            <w:pPr>
              <w:spacing w:after="0"/>
              <w:rPr>
                <w:sz w:val="21"/>
                <w:szCs w:val="21"/>
                <w:color w:val="auto"/>
              </w:rPr>
            </w:pPr>
          </w:p>
        </w:tc>
        <w:tc>
          <w:tcPr>
            <w:tcW w:w="13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410</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9"/>
                <w:szCs w:val="19"/>
                <w:b w:val="1"/>
                <w:bCs w:val="1"/>
                <w:color w:val="auto"/>
              </w:rPr>
              <w:t>Outstanding as of December 31, 2016</w:t>
            </w:r>
          </w:p>
        </w:tc>
        <w:tc>
          <w:tcPr>
            <w:tcW w:w="25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41,924</w:t>
            </w:r>
          </w:p>
        </w:tc>
        <w:tc>
          <w:tcPr>
            <w:tcW w:w="300" w:type="dxa"/>
            <w:vAlign w:val="bottom"/>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b w:val="1"/>
                <w:bCs w:val="1"/>
                <w:color w:val="auto"/>
              </w:rPr>
              <w:t>1.94</w:t>
            </w:r>
          </w:p>
        </w:tc>
        <w:tc>
          <w:tcPr>
            <w:tcW w:w="300" w:type="dxa"/>
            <w:vAlign w:val="bottom"/>
          </w:tcPr>
          <w:p>
            <w:pPr>
              <w:spacing w:after="0"/>
              <w:rPr>
                <w:sz w:val="21"/>
                <w:szCs w:val="21"/>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820</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500" w:type="dxa"/>
            <w:vAlign w:val="bottom"/>
            <w:gridSpan w:val="2"/>
          </w:tcPr>
          <w:p>
            <w:pPr>
              <w:jc w:val="right"/>
              <w:ind w:right="2066"/>
              <w:spacing w:after="0"/>
              <w:rPr>
                <w:sz w:val="20"/>
                <w:szCs w:val="20"/>
                <w:color w:val="auto"/>
              </w:rPr>
            </w:pPr>
            <w:r>
              <w:rPr>
                <w:rFonts w:ascii="Arial" w:cs="Arial" w:eastAsia="Arial" w:hAnsi="Arial"/>
                <w:sz w:val="19"/>
                <w:szCs w:val="19"/>
                <w:color w:val="auto"/>
              </w:rPr>
              <w:t>F-49</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83" w:name="page184"/>
    <w:bookmarkEnd w:id="183"/>
    <w:p>
      <w:pPr>
        <w:ind w:right="40" w:firstLine="357"/>
        <w:spacing w:after="0" w:line="267" w:lineRule="auto"/>
        <w:rPr>
          <w:sz w:val="20"/>
          <w:szCs w:val="20"/>
          <w:color w:val="auto"/>
        </w:rPr>
      </w:pPr>
      <w:r>
        <w:rPr>
          <w:rFonts w:ascii="Arial" w:cs="Arial" w:eastAsia="Arial" w:hAnsi="Arial"/>
          <w:sz w:val="19"/>
          <w:szCs w:val="19"/>
          <w:color w:val="auto"/>
        </w:rPr>
        <w:t>The total expense recognized in respect of share-based compensation for the year ended December 31, 2016 was $3,869 (December 31, 2015: $2,872 and December 31, 2014: $1,856). The total accrued cash distribution as of December 31, 2016 is $353 (December 31, 2015: $81) and is included under “Other non-current liabilities”.</w:t>
      </w:r>
    </w:p>
    <w:p>
      <w:pPr>
        <w:spacing w:after="0" w:line="278" w:lineRule="exact"/>
        <w:rPr>
          <w:sz w:val="20"/>
          <w:szCs w:val="20"/>
          <w:color w:val="auto"/>
        </w:rPr>
      </w:pPr>
    </w:p>
    <w:p>
      <w:pPr>
        <w:ind w:left="300" w:hanging="292"/>
        <w:spacing w:after="0"/>
        <w:tabs>
          <w:tab w:leader="none" w:pos="300"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Commitments</w:t>
      </w:r>
    </w:p>
    <w:p>
      <w:pPr>
        <w:spacing w:after="0" w:line="125" w:lineRule="exact"/>
        <w:rPr>
          <w:rFonts w:ascii="Arial" w:cs="Arial" w:eastAsia="Arial" w:hAnsi="Arial"/>
          <w:sz w:val="19"/>
          <w:szCs w:val="19"/>
          <w:b w:val="1"/>
          <w:bCs w:val="1"/>
          <w:color w:val="auto"/>
        </w:rPr>
      </w:pPr>
    </w:p>
    <w:p>
      <w:pPr>
        <w:ind w:left="620" w:hanging="255"/>
        <w:spacing w:after="0"/>
        <w:tabs>
          <w:tab w:leader="none" w:pos="62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On December 31, 2016 the Group had the following commitments as lessee relating to buildings under operating leases:</w:t>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800" w:type="dxa"/>
            <w:vAlign w:val="bottom"/>
          </w:tcPr>
          <w:p>
            <w:pPr>
              <w:jc w:val="right"/>
              <w:ind w:right="148"/>
              <w:spacing w:after="0"/>
              <w:rPr>
                <w:sz w:val="20"/>
                <w:szCs w:val="20"/>
                <w:color w:val="auto"/>
              </w:rPr>
            </w:pPr>
            <w:r>
              <w:rPr>
                <w:rFonts w:ascii="Arial" w:cs="Arial" w:eastAsia="Arial" w:hAnsi="Arial"/>
                <w:sz w:val="16"/>
                <w:szCs w:val="16"/>
                <w:b w:val="1"/>
                <w:bCs w:val="1"/>
                <w:color w:val="auto"/>
              </w:rPr>
              <w:t>As of December 31,</w:t>
            </w:r>
          </w:p>
        </w:tc>
      </w:tr>
      <w:tr>
        <w:trPr>
          <w:trHeight w:val="199"/>
        </w:trPr>
        <w:tc>
          <w:tcPr>
            <w:tcW w:w="8600" w:type="dxa"/>
            <w:vAlign w:val="bottom"/>
          </w:tcPr>
          <w:p>
            <w:pPr>
              <w:spacing w:after="0"/>
              <w:rPr>
                <w:sz w:val="17"/>
                <w:szCs w:val="17"/>
                <w:color w:val="auto"/>
              </w:rPr>
            </w:pPr>
          </w:p>
        </w:tc>
        <w:tc>
          <w:tcPr>
            <w:tcW w:w="1800" w:type="dxa"/>
            <w:vAlign w:val="bottom"/>
            <w:tcBorders>
              <w:bottom w:val="single" w:sz="8" w:color="auto"/>
            </w:tcBorders>
          </w:tcPr>
          <w:p>
            <w:pPr>
              <w:jc w:val="right"/>
              <w:ind w:right="648"/>
              <w:spacing w:after="0"/>
              <w:rPr>
                <w:sz w:val="20"/>
                <w:szCs w:val="20"/>
                <w:color w:val="auto"/>
              </w:rPr>
            </w:pPr>
            <w:r>
              <w:rPr>
                <w:rFonts w:ascii="Arial" w:cs="Arial" w:eastAsia="Arial" w:hAnsi="Arial"/>
                <w:sz w:val="16"/>
                <w:szCs w:val="16"/>
                <w:b w:val="1"/>
                <w:bCs w:val="1"/>
                <w:color w:val="auto"/>
              </w:rPr>
              <w:t>2016</w:t>
            </w:r>
          </w:p>
        </w:tc>
      </w:tr>
      <w:tr>
        <w:trPr>
          <w:trHeight w:val="237"/>
        </w:trPr>
        <w:tc>
          <w:tcPr>
            <w:tcW w:w="860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180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1,586</w:t>
            </w:r>
          </w:p>
        </w:tc>
      </w:tr>
      <w:tr>
        <w:trPr>
          <w:trHeight w:val="243"/>
        </w:trPr>
        <w:tc>
          <w:tcPr>
            <w:tcW w:w="860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1800" w:type="dxa"/>
            <w:vAlign w:val="bottom"/>
          </w:tcPr>
          <w:p>
            <w:pPr>
              <w:jc w:val="right"/>
              <w:ind w:right="88"/>
              <w:spacing w:after="0"/>
              <w:rPr>
                <w:sz w:val="20"/>
                <w:szCs w:val="20"/>
                <w:color w:val="auto"/>
              </w:rPr>
            </w:pPr>
            <w:r>
              <w:rPr>
                <w:rFonts w:ascii="Arial" w:cs="Arial" w:eastAsia="Arial" w:hAnsi="Arial"/>
                <w:sz w:val="19"/>
                <w:szCs w:val="19"/>
                <w:color w:val="auto"/>
              </w:rPr>
              <w:t>1,632</w:t>
            </w:r>
          </w:p>
        </w:tc>
      </w:tr>
      <w:tr>
        <w:trPr>
          <w:trHeight w:val="243"/>
        </w:trPr>
        <w:tc>
          <w:tcPr>
            <w:tcW w:w="8600" w:type="dxa"/>
            <w:vAlign w:val="bottom"/>
            <w:shd w:val="clear" w:color="auto" w:fill="E5FFFF"/>
          </w:tcPr>
          <w:p>
            <w:pPr>
              <w:spacing w:after="0"/>
              <w:rPr>
                <w:sz w:val="20"/>
                <w:szCs w:val="20"/>
                <w:color w:val="auto"/>
              </w:rPr>
            </w:pPr>
            <w:r>
              <w:rPr>
                <w:rFonts w:ascii="Arial" w:cs="Arial" w:eastAsia="Arial" w:hAnsi="Arial"/>
                <w:sz w:val="19"/>
                <w:szCs w:val="19"/>
                <w:color w:val="auto"/>
              </w:rPr>
              <w:t>Later than three years and not later than five years</w:t>
            </w:r>
          </w:p>
        </w:tc>
        <w:tc>
          <w:tcPr>
            <w:tcW w:w="180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670</w:t>
            </w:r>
          </w:p>
        </w:tc>
      </w:tr>
      <w:tr>
        <w:trPr>
          <w:trHeight w:val="250"/>
        </w:trPr>
        <w:tc>
          <w:tcPr>
            <w:tcW w:w="8600" w:type="dxa"/>
            <w:vAlign w:val="bottom"/>
          </w:tcPr>
          <w:p>
            <w:pPr>
              <w:spacing w:after="0"/>
              <w:rPr>
                <w:sz w:val="20"/>
                <w:szCs w:val="20"/>
                <w:color w:val="auto"/>
              </w:rPr>
            </w:pPr>
            <w:r>
              <w:rPr>
                <w:rFonts w:ascii="Arial" w:cs="Arial" w:eastAsia="Arial" w:hAnsi="Arial"/>
                <w:sz w:val="19"/>
                <w:szCs w:val="19"/>
                <w:color w:val="auto"/>
              </w:rPr>
              <w:t>More than five years</w:t>
            </w:r>
          </w:p>
        </w:tc>
        <w:tc>
          <w:tcPr>
            <w:tcW w:w="1800" w:type="dxa"/>
            <w:vAlign w:val="bottom"/>
            <w:tcBorders>
              <w:bottom w:val="single" w:sz="8" w:color="auto"/>
            </w:tcBorders>
          </w:tcPr>
          <w:p>
            <w:pPr>
              <w:jc w:val="right"/>
              <w:ind w:right="88"/>
              <w:spacing w:after="0"/>
              <w:rPr>
                <w:sz w:val="20"/>
                <w:szCs w:val="20"/>
                <w:color w:val="auto"/>
              </w:rPr>
            </w:pPr>
            <w:r>
              <w:rPr>
                <w:rFonts w:ascii="Arial" w:cs="Arial" w:eastAsia="Arial" w:hAnsi="Arial"/>
                <w:sz w:val="19"/>
                <w:szCs w:val="19"/>
                <w:color w:val="auto"/>
              </w:rPr>
              <w:t>367</w:t>
            </w:r>
          </w:p>
        </w:tc>
      </w:tr>
      <w:tr>
        <w:trPr>
          <w:trHeight w:val="243"/>
        </w:trPr>
        <w:tc>
          <w:tcPr>
            <w:tcW w:w="8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operating lease commitment</w:t>
            </w:r>
          </w:p>
        </w:tc>
        <w:tc>
          <w:tcPr>
            <w:tcW w:w="1800" w:type="dxa"/>
            <w:vAlign w:val="bottom"/>
            <w:tcBorders>
              <w:bottom w:val="single" w:sz="8" w:color="auto"/>
            </w:tcBorders>
            <w:shd w:val="clear" w:color="auto" w:fill="E5FFFF"/>
          </w:tcPr>
          <w:p>
            <w:pPr>
              <w:jc w:val="right"/>
              <w:ind w:right="88"/>
              <w:spacing w:after="0"/>
              <w:rPr>
                <w:sz w:val="20"/>
                <w:szCs w:val="20"/>
                <w:color w:val="auto"/>
              </w:rPr>
            </w:pPr>
            <w:r>
              <w:rPr>
                <w:rFonts w:ascii="Arial" w:cs="Arial" w:eastAsia="Arial" w:hAnsi="Arial"/>
                <w:sz w:val="19"/>
                <w:szCs w:val="19"/>
                <w:b w:val="1"/>
                <w:bCs w:val="1"/>
                <w:color w:val="auto"/>
              </w:rPr>
              <w:t>4,255</w:t>
            </w:r>
          </w:p>
        </w:tc>
      </w:tr>
      <w:tr>
        <w:trPr>
          <w:trHeight w:val="20"/>
        </w:trPr>
        <w:tc>
          <w:tcPr>
            <w:tcW w:w="8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rental expense relating to operating leases for the year ended December 31, 2016 was $1,527 (December 31, 2015: $1,493 and December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31, 2014: $1,081).</w:t>
      </w:r>
    </w:p>
    <w:p>
      <w:pPr>
        <w:spacing w:after="0" w:line="90" w:lineRule="exact"/>
        <w:rPr>
          <w:sz w:val="20"/>
          <w:szCs w:val="20"/>
          <w:color w:val="auto"/>
        </w:rPr>
      </w:pPr>
    </w:p>
    <w:p>
      <w:pPr>
        <w:ind w:right="660" w:firstLine="365"/>
        <w:spacing w:after="0" w:line="261" w:lineRule="auto"/>
        <w:tabs>
          <w:tab w:leader="none" w:pos="63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Commitments relating to the vessels under construction (Note 6) on December 31, 2016 payable to Samsung and Hyundai were as follows:</w:t>
      </w:r>
    </w:p>
    <w:tbl>
      <w:tblPr>
        <w:tblLayout w:type="fixed"/>
        <w:tblInd w:w="500" w:type="dxa"/>
        <w:tblCellMar>
          <w:top w:w="0" w:type="dxa"/>
          <w:left w:w="0" w:type="dxa"/>
          <w:bottom w:w="0" w:type="dxa"/>
          <w:right w:w="0" w:type="dxa"/>
        </w:tblCellMar>
      </w:tblPr>
      <w:tr>
        <w:trPr>
          <w:trHeight w:val="176"/>
        </w:trPr>
        <w:tc>
          <w:tcPr>
            <w:tcW w:w="8600" w:type="dxa"/>
            <w:vAlign w:val="bottom"/>
          </w:tcPr>
          <w:p>
            <w:pPr>
              <w:spacing w:after="0"/>
              <w:rPr>
                <w:sz w:val="15"/>
                <w:szCs w:val="15"/>
                <w:color w:val="auto"/>
              </w:rPr>
            </w:pPr>
          </w:p>
        </w:tc>
        <w:tc>
          <w:tcPr>
            <w:tcW w:w="1800" w:type="dxa"/>
            <w:vAlign w:val="bottom"/>
          </w:tcPr>
          <w:p>
            <w:pPr>
              <w:jc w:val="right"/>
              <w:ind w:right="150"/>
              <w:spacing w:after="0" w:line="176" w:lineRule="exact"/>
              <w:rPr>
                <w:sz w:val="20"/>
                <w:szCs w:val="20"/>
                <w:color w:val="auto"/>
              </w:rPr>
            </w:pPr>
            <w:r>
              <w:rPr>
                <w:rFonts w:ascii="Arial" w:cs="Arial" w:eastAsia="Arial" w:hAnsi="Arial"/>
                <w:sz w:val="16"/>
                <w:szCs w:val="16"/>
                <w:b w:val="1"/>
                <w:bCs w:val="1"/>
                <w:color w:val="auto"/>
              </w:rPr>
              <w:t>As of December 31,</w:t>
            </w:r>
          </w:p>
        </w:tc>
      </w:tr>
      <w:tr>
        <w:trPr>
          <w:trHeight w:val="199"/>
        </w:trPr>
        <w:tc>
          <w:tcPr>
            <w:tcW w:w="8600" w:type="dxa"/>
            <w:vAlign w:val="bottom"/>
          </w:tcPr>
          <w:p>
            <w:pPr>
              <w:spacing w:after="0"/>
              <w:rPr>
                <w:sz w:val="17"/>
                <w:szCs w:val="17"/>
                <w:color w:val="auto"/>
              </w:rPr>
            </w:pPr>
          </w:p>
        </w:tc>
        <w:tc>
          <w:tcPr>
            <w:tcW w:w="180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2016</w:t>
            </w:r>
          </w:p>
        </w:tc>
      </w:tr>
      <w:tr>
        <w:trPr>
          <w:trHeight w:val="237"/>
        </w:trPr>
        <w:tc>
          <w:tcPr>
            <w:tcW w:w="860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180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63,656</w:t>
            </w:r>
          </w:p>
        </w:tc>
      </w:tr>
      <w:tr>
        <w:trPr>
          <w:trHeight w:val="250"/>
        </w:trPr>
        <w:tc>
          <w:tcPr>
            <w:tcW w:w="860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9"/>
                <w:szCs w:val="19"/>
                <w:color w:val="auto"/>
              </w:rPr>
              <w:t>883,276</w:t>
            </w:r>
          </w:p>
        </w:tc>
      </w:tr>
      <w:tr>
        <w:trPr>
          <w:trHeight w:val="243"/>
        </w:trPr>
        <w:tc>
          <w:tcPr>
            <w:tcW w:w="8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vessel construction commitment</w:t>
            </w:r>
          </w:p>
        </w:tc>
        <w:tc>
          <w:tcPr>
            <w:tcW w:w="180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b w:val="1"/>
                <w:bCs w:val="1"/>
                <w:color w:val="auto"/>
              </w:rPr>
              <w:t>946,932</w:t>
            </w:r>
          </w:p>
        </w:tc>
      </w:tr>
      <w:tr>
        <w:trPr>
          <w:trHeight w:val="20"/>
        </w:trPr>
        <w:tc>
          <w:tcPr>
            <w:tcW w:w="8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GasLog has issued performance guarantees in favor of Samsung and Hyundai for the outstanding commitments relating to the vessels under construction.</w:t>
      </w:r>
    </w:p>
    <w:p>
      <w:pPr>
        <w:spacing w:after="0" w:line="52"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Also, based on an agreement entered into by GAS-twenty two Ltd. and GAS-twenty three Ltd. with MSL on March 8, 2016, the first two entities declared their options with Samsung to install reliquefaction plants on board the vessels. MSL agreed to reimburse 50% of such cost per vessel, resulting in an aggregate commitment to pay $3,200 per vessel to GasLog after the installation has been completed. In the case that the reliquefaction plants do not fulfill specified enhanced performance criteria during operation as set forth in the relevant agreement, GasLog will refund the reimbursed amounts to MSL in the form of a daily compensation amount per vessel.</w:t>
      </w:r>
    </w:p>
    <w:p>
      <w:pPr>
        <w:spacing w:after="0" w:line="62" w:lineRule="exact"/>
        <w:rPr>
          <w:sz w:val="20"/>
          <w:szCs w:val="20"/>
          <w:color w:val="auto"/>
        </w:rPr>
      </w:pPr>
    </w:p>
    <w:p>
      <w:pPr>
        <w:ind w:right="100" w:firstLine="365"/>
        <w:spacing w:after="0" w:line="288" w:lineRule="auto"/>
        <w:tabs>
          <w:tab w:leader="none" w:pos="62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Future gross minimum revenues receivable upon collection of hire under non-cancellable time charter agreements for vessels in operation as of December 31, 2016 are as follows (30 off-hire days are assumed when each vessel will undergo scheduled dry-docking; in addition early delivery of the vessels by the charterers or any exercise of the charterers’ options to extend the terms of the charters are not accounted for):</w:t>
      </w:r>
    </w:p>
    <w:tbl>
      <w:tblPr>
        <w:tblLayout w:type="fixed"/>
        <w:tblInd w:w="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00" w:type="dxa"/>
            <w:vAlign w:val="bottom"/>
          </w:tcPr>
          <w:p>
            <w:pPr>
              <w:jc w:val="right"/>
              <w:ind w:right="152"/>
              <w:spacing w:after="0" w:line="177" w:lineRule="exact"/>
              <w:rPr>
                <w:sz w:val="20"/>
                <w:szCs w:val="20"/>
                <w:color w:val="auto"/>
              </w:rPr>
            </w:pPr>
            <w:r>
              <w:rPr>
                <w:rFonts w:ascii="Arial" w:cs="Arial" w:eastAsia="Arial" w:hAnsi="Arial"/>
                <w:sz w:val="16"/>
                <w:szCs w:val="16"/>
                <w:b w:val="1"/>
                <w:bCs w:val="1"/>
                <w:color w:val="auto"/>
              </w:rPr>
              <w:t>As of December 31,</w:t>
            </w:r>
          </w:p>
        </w:tc>
        <w:tc>
          <w:tcPr>
            <w:tcW w:w="520" w:type="dxa"/>
            <w:vAlign w:val="bottom"/>
          </w:tcPr>
          <w:p>
            <w:pPr>
              <w:spacing w:after="0"/>
              <w:rPr>
                <w:sz w:val="15"/>
                <w:szCs w:val="15"/>
                <w:color w:val="auto"/>
              </w:rPr>
            </w:pPr>
          </w:p>
        </w:tc>
      </w:tr>
      <w:tr>
        <w:trPr>
          <w:trHeight w:val="199"/>
        </w:trPr>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7"/>
                <w:szCs w:val="17"/>
                <w:color w:val="auto"/>
              </w:rPr>
            </w:pPr>
          </w:p>
        </w:tc>
      </w:tr>
      <w:tr>
        <w:trPr>
          <w:trHeight w:val="237"/>
        </w:trPr>
        <w:tc>
          <w:tcPr>
            <w:tcW w:w="500" w:type="dxa"/>
            <w:vAlign w:val="bottom"/>
          </w:tcPr>
          <w:p>
            <w:pPr>
              <w:spacing w:after="0"/>
              <w:rPr>
                <w:sz w:val="20"/>
                <w:szCs w:val="20"/>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Not later than one year</w:t>
            </w:r>
          </w:p>
        </w:tc>
        <w:tc>
          <w:tcPr>
            <w:tcW w:w="594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474,696</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9"/>
                <w:szCs w:val="19"/>
                <w:color w:val="auto"/>
              </w:rPr>
              <w:t>Later than one year and not later than three years</w:t>
            </w:r>
          </w:p>
        </w:tc>
        <w:tc>
          <w:tcPr>
            <w:tcW w:w="5940" w:type="dxa"/>
            <w:vAlign w:val="bottom"/>
            <w:gridSpan w:val="2"/>
          </w:tcPr>
          <w:p>
            <w:pPr>
              <w:jc w:val="right"/>
              <w:ind w:right="12"/>
              <w:spacing w:after="0"/>
              <w:rPr>
                <w:sz w:val="20"/>
                <w:szCs w:val="20"/>
                <w:color w:val="auto"/>
              </w:rPr>
            </w:pPr>
            <w:r>
              <w:rPr>
                <w:rFonts w:ascii="Arial" w:cs="Arial" w:eastAsia="Arial" w:hAnsi="Arial"/>
                <w:sz w:val="19"/>
                <w:szCs w:val="19"/>
                <w:color w:val="auto"/>
              </w:rPr>
              <w:t>816,019</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9"/>
                <w:szCs w:val="19"/>
                <w:color w:val="auto"/>
              </w:rPr>
              <w:t>Later than three years and not later than five years</w:t>
            </w:r>
          </w:p>
        </w:tc>
        <w:tc>
          <w:tcPr>
            <w:tcW w:w="594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491,612</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9"/>
                <w:szCs w:val="19"/>
                <w:color w:val="auto"/>
              </w:rPr>
              <w:t>Later than five years</w:t>
            </w:r>
          </w:p>
        </w:tc>
        <w:tc>
          <w:tcPr>
            <w:tcW w:w="4140" w:type="dxa"/>
            <w:vAlign w:val="bottom"/>
          </w:tcPr>
          <w:p>
            <w:pPr>
              <w:spacing w:after="0"/>
              <w:rPr>
                <w:sz w:val="21"/>
                <w:szCs w:val="21"/>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9"/>
                <w:szCs w:val="19"/>
                <w:color w:val="auto"/>
              </w:rPr>
              <w:t>568,203</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future gross minimum charter hire</w:t>
            </w:r>
          </w:p>
        </w:tc>
        <w:tc>
          <w:tcPr>
            <w:tcW w:w="4140" w:type="dxa"/>
            <w:vAlign w:val="bottom"/>
            <w:shd w:val="clear" w:color="auto" w:fill="E5FFFF"/>
          </w:tcPr>
          <w:p>
            <w:pPr>
              <w:spacing w:after="0"/>
              <w:rPr>
                <w:sz w:val="21"/>
                <w:szCs w:val="21"/>
                <w:color w:val="auto"/>
              </w:rPr>
            </w:pPr>
          </w:p>
        </w:tc>
        <w:tc>
          <w:tcPr>
            <w:tcW w:w="18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9"/>
                <w:szCs w:val="19"/>
                <w:b w:val="1"/>
                <w:bCs w:val="1"/>
                <w:color w:val="auto"/>
              </w:rPr>
              <w:t>2,350,530</w:t>
            </w: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940" w:type="dxa"/>
            <w:vAlign w:val="bottom"/>
            <w:gridSpan w:val="2"/>
          </w:tcPr>
          <w:p>
            <w:pPr>
              <w:jc w:val="right"/>
              <w:ind w:right="4912"/>
              <w:spacing w:after="0"/>
              <w:rPr>
                <w:sz w:val="20"/>
                <w:szCs w:val="20"/>
                <w:color w:val="auto"/>
              </w:rPr>
            </w:pPr>
            <w:r>
              <w:rPr>
                <w:rFonts w:ascii="Arial" w:cs="Arial" w:eastAsia="Arial" w:hAnsi="Arial"/>
                <w:sz w:val="19"/>
                <w:szCs w:val="19"/>
                <w:color w:val="auto"/>
              </w:rPr>
              <w:t>F-50</w:t>
            </w:r>
          </w:p>
        </w:tc>
        <w:tc>
          <w:tcPr>
            <w:tcW w:w="520" w:type="dxa"/>
            <w:vAlign w:val="bottom"/>
          </w:tcPr>
          <w:p>
            <w:pPr>
              <w:spacing w:after="0"/>
              <w:rPr>
                <w:sz w:val="24"/>
                <w:szCs w:val="24"/>
                <w:color w:val="auto"/>
              </w:rPr>
            </w:pPr>
          </w:p>
        </w:tc>
      </w:tr>
      <w:tr>
        <w:trPr>
          <w:trHeight w:val="222"/>
        </w:trPr>
        <w:tc>
          <w:tcPr>
            <w:tcW w:w="5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84" w:name="page185"/>
    <w:bookmarkEnd w:id="184"/>
    <w:p>
      <w:pPr>
        <w:ind w:left="360"/>
        <w:spacing w:after="0"/>
        <w:rPr>
          <w:sz w:val="20"/>
          <w:szCs w:val="20"/>
          <w:color w:val="auto"/>
        </w:rPr>
      </w:pPr>
      <w:r>
        <w:rPr>
          <w:rFonts w:ascii="Arial" w:cs="Arial" w:eastAsia="Arial" w:hAnsi="Arial"/>
          <w:sz w:val="18"/>
          <w:szCs w:val="18"/>
          <w:color w:val="auto"/>
        </w:rPr>
        <w:t>Future gross minimum lease revenues disclosed in the above table excludes the revenues of the vessels that are under construction as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December 31, 2016 (Note 6). For these vessels, the following charter party agreements have been signed:</w:t>
      </w:r>
    </w:p>
    <w:p>
      <w:pPr>
        <w:spacing w:after="0" w:line="90" w:lineRule="exact"/>
        <w:rPr>
          <w:sz w:val="20"/>
          <w:szCs w:val="20"/>
          <w:color w:val="auto"/>
        </w:rPr>
      </w:pPr>
    </w:p>
    <w:p>
      <w:pPr>
        <w:ind w:left="540" w:right="20" w:hanging="168"/>
        <w:spacing w:after="0" w:line="267" w:lineRule="auto"/>
        <w:tabs>
          <w:tab w:leader="none" w:pos="5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April 2015, GAS-twenty two Ltd., GAS-twenty three Ltd. and GAS-twenty four Ltd. signed time charter agreements with MSL for the employment of the respective owned vessels for average initial terms of approximately 9.5 years, commencing between mid-2018 and mid-2019.</w:t>
      </w:r>
    </w:p>
    <w:p>
      <w:pPr>
        <w:spacing w:after="0" w:line="54"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July 2016, GAS-twenty five Ltd. signed a time charter agreement with Total Gas &amp; Power Chartering Limited for the employment of its owned vessel for a period of seven years, commencing mid-2018.</w:t>
      </w:r>
    </w:p>
    <w:p>
      <w:pPr>
        <w:spacing w:after="0" w:line="38" w:lineRule="exact"/>
        <w:rPr>
          <w:rFonts w:ascii="Arial" w:cs="Arial" w:eastAsia="Arial" w:hAnsi="Arial"/>
          <w:sz w:val="19"/>
          <w:szCs w:val="19"/>
          <w:color w:val="auto"/>
        </w:rPr>
      </w:pPr>
    </w:p>
    <w:p>
      <w:pPr>
        <w:ind w:left="540" w:right="220" w:hanging="168"/>
        <w:spacing w:after="0" w:line="283" w:lineRule="auto"/>
        <w:tabs>
          <w:tab w:leader="none" w:pos="5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October 2016, GAS-twenty eight Ltd. signed a time charter agreement with Pioneer Shipping Limited, a subsidiary of Centrica plc for the employment of its owned vessel for a period of seven years, commencing mid-2019.</w:t>
      </w:r>
    </w:p>
    <w:p>
      <w:pPr>
        <w:spacing w:after="0" w:line="52" w:lineRule="exact"/>
        <w:rPr>
          <w:sz w:val="20"/>
          <w:szCs w:val="20"/>
          <w:color w:val="auto"/>
        </w:rPr>
      </w:pPr>
    </w:p>
    <w:p>
      <w:pPr>
        <w:ind w:right="40" w:firstLine="365"/>
        <w:spacing w:after="0" w:line="313" w:lineRule="auto"/>
        <w:tabs>
          <w:tab w:leader="none" w:pos="63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Related to the acquisition of the six vessels from a subsidiary of MSL in 2014 and another two vessels in 2015, the Group is committed to purchase depot spares from MSL with an aggregate value of $8,000, of which depot spares with value $660 have been purchased and paid as of December 31, 2016. The remaining spares should be acquired before the end of the initial term of the charter party agreements.</w:t>
      </w:r>
    </w:p>
    <w:p>
      <w:pPr>
        <w:spacing w:after="0" w:line="32" w:lineRule="exact"/>
        <w:rPr>
          <w:rFonts w:ascii="Arial" w:cs="Arial" w:eastAsia="Arial" w:hAnsi="Arial"/>
          <w:sz w:val="17"/>
          <w:szCs w:val="17"/>
          <w:color w:val="auto"/>
        </w:rPr>
      </w:pPr>
    </w:p>
    <w:p>
      <w:pPr>
        <w:jc w:val="both"/>
        <w:ind w:right="160" w:firstLine="365"/>
        <w:spacing w:after="0" w:line="281" w:lineRule="auto"/>
        <w:tabs>
          <w:tab w:leader="none" w:pos="6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and/or modifications of existing vessels as agreed between the parties. As of December 31, 2016, the outstanding commitment is $1,312.</w:t>
      </w:r>
    </w:p>
    <w:p>
      <w:pPr>
        <w:spacing w:after="0" w:line="43" w:lineRule="exact"/>
        <w:rPr>
          <w:rFonts w:ascii="Arial" w:cs="Arial" w:eastAsia="Arial" w:hAnsi="Arial"/>
          <w:sz w:val="18"/>
          <w:szCs w:val="18"/>
          <w:color w:val="auto"/>
        </w:rPr>
      </w:pPr>
    </w:p>
    <w:p>
      <w:pPr>
        <w:ind w:right="40" w:firstLine="365"/>
        <w:spacing w:after="0" w:line="277" w:lineRule="auto"/>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arrangement whereby it has access to all long lead items (“LLIs”) necessary for the conversion of a GasLog LNG carrier vessel into a floating storage and regasification unit (“FSRU”), such conversion work to be undertaken by Keppel Shipyard Limited.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discounted price of 85% of the original cost.</w:t>
      </w:r>
    </w:p>
    <w:p>
      <w:pPr>
        <w:spacing w:after="0" w:line="61" w:lineRule="exact"/>
        <w:rPr>
          <w:rFonts w:ascii="Arial" w:cs="Arial" w:eastAsia="Arial" w:hAnsi="Arial"/>
          <w:sz w:val="18"/>
          <w:szCs w:val="18"/>
          <w:color w:val="auto"/>
        </w:rPr>
      </w:pPr>
    </w:p>
    <w:p>
      <w:pPr>
        <w:ind w:left="640" w:hanging="275"/>
        <w:spacing w:after="0"/>
        <w:tabs>
          <w:tab w:leader="none" w:pos="6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Other Guarantees: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2016, GasLog LNG Services Ltd. has provided bank guarantees as follows:</w:t>
      </w:r>
    </w:p>
    <w:p>
      <w:pPr>
        <w:spacing w:after="0" w:line="106" w:lineRule="exact"/>
        <w:rPr>
          <w:sz w:val="20"/>
          <w:szCs w:val="20"/>
          <w:color w:val="auto"/>
        </w:rPr>
      </w:pPr>
    </w:p>
    <w:p>
      <w:pPr>
        <w:ind w:left="540" w:hanging="168"/>
        <w:spacing w:after="0"/>
        <w:tabs>
          <w:tab w:leader="none" w:pos="5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Up to $1,250 to third parties relating to the satisfactory performance of its ship management activities;</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Bank guarantee of $10 to the Greek Ministry of Finance relating to the satisfactory performance of the obligations arising under Greek laws 89/1967, 378/1968 as amended by law 814/1978.</w:t>
      </w:r>
    </w:p>
    <w:p>
      <w:pPr>
        <w:spacing w:after="0" w:line="262" w:lineRule="exact"/>
        <w:rPr>
          <w:rFonts w:ascii="Arial" w:cs="Arial" w:eastAsia="Arial" w:hAnsi="Arial"/>
          <w:sz w:val="19"/>
          <w:szCs w:val="19"/>
          <w:color w:val="auto"/>
        </w:rPr>
      </w:pPr>
    </w:p>
    <w:p>
      <w:pPr>
        <w:ind w:left="300" w:hanging="292"/>
        <w:spacing w:after="0"/>
        <w:tabs>
          <w:tab w:leader="none" w:pos="300"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w:t>
      </w:r>
    </w:p>
    <w:p>
      <w:pPr>
        <w:spacing w:after="0" w:line="125"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8" w:right="27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b w:val="1"/>
          <w:bCs w:val="1"/>
          <w:i w:val="1"/>
          <w:iCs w:val="1"/>
          <w:color w:val="auto"/>
        </w:rPr>
        <w:t>Market risk</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Group is subject to market risks relating to changes in interest rates because it has floating rate debt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increases in interest rates could adversely affect the Group’s operating margins,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2016, the Group has economically hedged 37.77% of its variable rate interest exposure relating to its existing loan facilities and the Bonds by swapping the variable rate to a fixed rate (December 31, 2015: 43.61% and December 31, 2014: 53.90%).</w:t>
      </w:r>
    </w:p>
    <w:p>
      <w:pPr>
        <w:spacing w:after="0" w:line="63"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The aggregate principal amount of our outstanding floating rate debt as of December 31, 2016 was $1,695,302. As an indication of the extent of our sensitivity to interest rate changes, an increase in LIBOR by 10 basis points would increase the interest expense on the un-hedged portion of the Group’s loans by approximately $1,433 (December 31, 2015: $1,315 and December 31, 2014: $678).</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Interest rate sensitivity analysis: </w:t>
      </w:r>
      <w:r>
        <w:rPr>
          <w:rFonts w:ascii="Arial" w:cs="Arial" w:eastAsia="Arial" w:hAnsi="Arial"/>
          <w:sz w:val="17"/>
          <w:szCs w:val="17"/>
          <w:color w:val="auto"/>
        </w:rPr>
        <w:t>The fair value of the interest rate swaps as of December 31, 2016 was estimated as a net asset of $1,796</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net liability of $16,561). The effective movement in the fair value of the interest rate swaps designated as cash flow hedging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instruments (Note 25) amounting to $4,922 loss (December 31, 2015: $979 and December 31, 2014: $6,515) was recognized directly in equity.</w:t>
      </w:r>
    </w:p>
    <w:p>
      <w:pPr>
        <w:spacing w:after="0" w:line="115" w:lineRule="exact"/>
        <w:rPr>
          <w:sz w:val="20"/>
          <w:szCs w:val="20"/>
          <w:color w:val="auto"/>
        </w:rPr>
      </w:pPr>
    </w:p>
    <w:p>
      <w:pPr>
        <w:ind w:right="40" w:firstLine="357"/>
        <w:spacing w:after="0" w:line="294" w:lineRule="auto"/>
        <w:rPr>
          <w:sz w:val="20"/>
          <w:szCs w:val="20"/>
          <w:color w:val="auto"/>
        </w:rPr>
      </w:pPr>
      <w:r>
        <w:rPr>
          <w:rFonts w:ascii="Arial" w:cs="Arial" w:eastAsia="Arial" w:hAnsi="Arial"/>
          <w:sz w:val="17"/>
          <w:szCs w:val="17"/>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2016, if interest rates had increased or decreased by 10 basis points with all other variables held constant, the positive/(negative) impact, respectively, on the fair value of the interest rate and cross currency swaps would have amounted to $4,526 (December 31, 2015: $3,349 and December 31, 2014: $4,405). This amount would have affected other comprehensive income by $499 (December 31, 2015: $1,483 and December 31, 2014: $2,192) and the loss on swaps by $4,027 (December 31, 2015: $1,866 and December 31, 2014: $2,213).</w:t>
      </w:r>
    </w:p>
    <w:p>
      <w:pPr>
        <w:spacing w:after="0" w:line="35" w:lineRule="exact"/>
        <w:rPr>
          <w:sz w:val="20"/>
          <w:szCs w:val="20"/>
          <w:color w:val="auto"/>
        </w:rPr>
      </w:pPr>
    </w:p>
    <w:p>
      <w:pPr>
        <w:jc w:val="both"/>
        <w:ind w:right="440" w:firstLine="357"/>
        <w:spacing w:after="0" w:line="267" w:lineRule="auto"/>
        <w:rPr>
          <w:sz w:val="20"/>
          <w:szCs w:val="20"/>
          <w:color w:val="auto"/>
        </w:rPr>
      </w:pPr>
      <w:r>
        <w:rPr>
          <w:rFonts w:ascii="Arial" w:cs="Arial" w:eastAsia="Arial" w:hAnsi="Arial"/>
          <w:sz w:val="19"/>
          <w:szCs w:val="19"/>
          <w:b w:val="1"/>
          <w:bCs w:val="1"/>
          <w:i w:val="1"/>
          <w:iCs w:val="1"/>
          <w:color w:val="auto"/>
        </w:rPr>
        <w:t xml:space="preserve">Other price risk: </w:t>
      </w:r>
      <w:r>
        <w:rPr>
          <w:rFonts w:ascii="Arial" w:cs="Arial" w:eastAsia="Arial" w:hAnsi="Arial"/>
          <w:sz w:val="19"/>
          <w:szCs w:val="19"/>
          <w:color w:val="auto"/>
        </w:rPr>
        <w:t>The decrease in the fair value of Egypt LNG Shipping Ltd., in response to unfavorable market conditions resulting in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decrease in charter rates and vessel values, could negatively impact the value of the Group’s investment in associate. Therefore, management might conclude that impairment is necessary in the future.</w:t>
      </w:r>
    </w:p>
    <w:p>
      <w:pPr>
        <w:spacing w:after="0" w:line="68" w:lineRule="exact"/>
        <w:rPr>
          <w:sz w:val="20"/>
          <w:szCs w:val="20"/>
          <w:color w:val="auto"/>
        </w:rPr>
      </w:pPr>
    </w:p>
    <w:p>
      <w:pPr>
        <w:ind w:right="140" w:firstLine="357"/>
        <w:spacing w:after="0" w:line="257" w:lineRule="auto"/>
        <w:rPr>
          <w:sz w:val="20"/>
          <w:szCs w:val="20"/>
          <w:color w:val="auto"/>
        </w:rPr>
      </w:pPr>
      <w:r>
        <w:rPr>
          <w:rFonts w:ascii="Arial" w:cs="Arial" w:eastAsia="Arial" w:hAnsi="Arial"/>
          <w:sz w:val="19"/>
          <w:szCs w:val="19"/>
          <w:b w:val="1"/>
          <w:bCs w:val="1"/>
          <w:i w:val="1"/>
          <w:iCs w:val="1"/>
          <w:color w:val="auto"/>
        </w:rPr>
        <w:t xml:space="preserve">Currency risk: </w:t>
      </w:r>
      <w:r>
        <w:rPr>
          <w:rFonts w:ascii="Arial" w:cs="Arial" w:eastAsia="Arial" w:hAnsi="Arial"/>
          <w:sz w:val="19"/>
          <w:szCs w:val="19"/>
          <w:color w:val="auto"/>
        </w:rPr>
        <w:t>Currency risk is the risk that the value of financial instruments will fluctuate due to changes in foreign exchange rates.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Euros (“EUR”). Specifically, for the year ended December 31, 2016, approximately $85,777 of the operating and administrative expenses were denominated in EUR (December 31, 2015: $78,131 and December 31, 2014: $68,928). As of December 31, 2016, approximately $12,799 of the Group’s outstanding trade payables and accruals were denominated in EUR (December 31, 2015: $17,454).</w:t>
      </w:r>
    </w:p>
    <w:p>
      <w:pPr>
        <w:spacing w:after="0" w:line="77"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The Group has entered into cross currency swaps (Note 25) to hedge its currency exposure from the Bonds and forward foreign exchange contracts to hedge its currency exposure from payments in EUR and GBP. In addition, management monitors the exchange rate fluctuations on a continuous basis. As an indication of the extent of the Group’s sensitivity to changes in exchange rate, a 10% increase in the average EUR/USD exchange rate would have decreased the Group’s profit and cash flows during the year ended December 31, 2016 by $8,578, based upon its expenses during the year (December 31, 2015: $7,813 and December 31, 2014: $6,893).</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b w:val="1"/>
          <w:bCs w:val="1"/>
          <w:i w:val="1"/>
          <w:iCs w:val="1"/>
          <w:color w:val="auto"/>
        </w:rPr>
        <w:t>Liquidity risk</w:t>
      </w:r>
    </w:p>
    <w:p>
      <w:pPr>
        <w:spacing w:after="0" w:line="119" w:lineRule="exact"/>
        <w:rPr>
          <w:sz w:val="20"/>
          <w:szCs w:val="20"/>
          <w:color w:val="auto"/>
        </w:rPr>
      </w:pPr>
    </w:p>
    <w:p>
      <w:pPr>
        <w:ind w:right="240" w:firstLine="357"/>
        <w:spacing w:after="0" w:line="281"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 The Group is not significantly exposed to liquidity risk resulting from the commitments under the vessel construction contracts as bank facilities have been contracted to meet the obligations.</w:t>
      </w:r>
    </w:p>
    <w:p>
      <w:pPr>
        <w:spacing w:after="0" w:line="57"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 includes both interest and principal cash flows. Variable future interest payments were determined based on an average LIBOR plus the margins applicable to the Group’s loans at the end of each year presented.</w:t>
      </w: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88"/>
              </w:rPr>
              <w:t>Weighted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average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effective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46"/>
              <w:spacing w:after="0" w:line="176" w:lineRule="exact"/>
              <w:rPr>
                <w:sz w:val="20"/>
                <w:szCs w:val="20"/>
                <w:color w:val="auto"/>
              </w:rPr>
            </w:pPr>
            <w:r>
              <w:rPr>
                <w:rFonts w:ascii="Arial" w:cs="Arial" w:eastAsia="Arial" w:hAnsi="Arial"/>
                <w:sz w:val="16"/>
                <w:szCs w:val="16"/>
                <w:b w:val="1"/>
                <w:bCs w:val="1"/>
                <w:color w:val="auto"/>
              </w:rPr>
              <w:t>Less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interest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66"/>
              <w:spacing w:after="0" w:line="176" w:lineRule="exact"/>
              <w:rPr>
                <w:sz w:val="20"/>
                <w:szCs w:val="20"/>
                <w:color w:val="auto"/>
              </w:rPr>
            </w:pPr>
            <w:r>
              <w:rPr>
                <w:rFonts w:ascii="Arial" w:cs="Arial" w:eastAsia="Arial" w:hAnsi="Arial"/>
                <w:sz w:val="16"/>
                <w:szCs w:val="16"/>
                <w:b w:val="1"/>
                <w:bCs w:val="1"/>
                <w:color w:val="auto"/>
                <w:w w:val="97"/>
              </w:rPr>
              <w:t>than 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rate</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4"/>
              </w:rPr>
              <w:t>month</w:t>
            </w:r>
          </w:p>
        </w:tc>
        <w:tc>
          <w:tcPr>
            <w:tcW w:w="28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w w:val="96"/>
              </w:rPr>
              <w:t>1-3 months</w:t>
            </w: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w w:val="97"/>
              </w:rPr>
              <w:t>3-12 months</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1-5 years</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5+ years</w:t>
            </w: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Total</w:t>
            </w:r>
          </w:p>
        </w:tc>
      </w:tr>
      <w:tr>
        <w:trPr>
          <w:trHeight w:val="223"/>
        </w:trPr>
        <w:tc>
          <w:tcPr>
            <w:tcW w:w="20" w:type="dxa"/>
            <w:vAlign w:val="bottom"/>
          </w:tcPr>
          <w:p>
            <w:pPr>
              <w:spacing w:after="0"/>
              <w:rPr>
                <w:sz w:val="19"/>
                <w:szCs w:val="19"/>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December 31, 2015</w:t>
            </w:r>
          </w:p>
        </w:tc>
        <w:tc>
          <w:tcPr>
            <w:tcW w:w="8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6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Trade and other accounts payable</w:t>
            </w:r>
          </w:p>
        </w:tc>
        <w:tc>
          <w:tcPr>
            <w:tcW w:w="82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99"/>
              </w:rPr>
              <w:t>11,877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322</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192</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12,391</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Amounts due to related parties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163</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163</w:t>
            </w: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Other payables and accruals*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7,584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28,370</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971</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36,925</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non-current liabilities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518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760</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1,278</w:t>
            </w: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Variable interest loans</w:t>
            </w:r>
          </w:p>
        </w:tc>
        <w:tc>
          <w:tcPr>
            <w:tcW w:w="820" w:type="dxa"/>
            <w:vAlign w:val="bottom"/>
          </w:tcPr>
          <w:p>
            <w:pPr>
              <w:jc w:val="right"/>
              <w:spacing w:after="0"/>
              <w:rPr>
                <w:sz w:val="20"/>
                <w:szCs w:val="20"/>
                <w:color w:val="auto"/>
              </w:rPr>
            </w:pPr>
            <w:r>
              <w:rPr>
                <w:rFonts w:ascii="Arial" w:cs="Arial" w:eastAsia="Arial" w:hAnsi="Arial"/>
                <w:sz w:val="19"/>
                <w:szCs w:val="19"/>
                <w:color w:val="auto"/>
              </w:rPr>
              <w:t>2.97%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7,223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68,141</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624,498</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1,467,432</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297,551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2,464,845</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Bonds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2,763</w:t>
            </w:r>
          </w:p>
        </w:tc>
        <w:tc>
          <w:tcPr>
            <w:tcW w:w="280" w:type="dxa"/>
            <w:vAlign w:val="bottom"/>
            <w:shd w:val="clear" w:color="auto" w:fill="E5FFFF"/>
          </w:tcPr>
          <w:p>
            <w:pPr>
              <w:spacing w:after="0"/>
              <w:rPr>
                <w:sz w:val="21"/>
                <w:szCs w:val="21"/>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8,480</w:t>
            </w:r>
          </w:p>
        </w:tc>
        <w:tc>
          <w:tcPr>
            <w:tcW w:w="280" w:type="dxa"/>
            <w:vAlign w:val="bottom"/>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130,717</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141,960</w:t>
            </w:r>
          </w:p>
        </w:tc>
      </w:tr>
      <w:tr>
        <w:trPr>
          <w:trHeight w:val="250"/>
        </w:trPr>
        <w:tc>
          <w:tcPr>
            <w:tcW w:w="3460" w:type="dxa"/>
            <w:vAlign w:val="bottom"/>
            <w:gridSpan w:val="3"/>
          </w:tcPr>
          <w:p>
            <w:pPr>
              <w:spacing w:after="0"/>
              <w:rPr>
                <w:sz w:val="20"/>
                <w:szCs w:val="20"/>
                <w:color w:val="auto"/>
              </w:rPr>
            </w:pPr>
            <w:r>
              <w:rPr>
                <w:rFonts w:ascii="Arial" w:cs="Arial" w:eastAsia="Arial" w:hAnsi="Arial"/>
                <w:sz w:val="19"/>
                <w:szCs w:val="19"/>
                <w:b w:val="1"/>
                <w:bCs w:val="1"/>
                <w:color w:val="auto"/>
              </w:rPr>
              <w:t>Total</w:t>
            </w:r>
          </w:p>
        </w:tc>
        <w:tc>
          <w:tcPr>
            <w:tcW w:w="82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auto"/>
                <w:w w:val="99"/>
              </w:rPr>
              <w:t>26,847</w:t>
            </w:r>
          </w:p>
        </w:tc>
        <w:tc>
          <w:tcPr>
            <w:tcW w:w="500" w:type="dxa"/>
            <w:vAlign w:val="bottom"/>
            <w:gridSpan w:val="2"/>
          </w:tcPr>
          <w:p>
            <w:pPr>
              <w:jc w:val="right"/>
              <w:ind w:right="41"/>
              <w:spacing w:after="0"/>
              <w:rPr>
                <w:sz w:val="20"/>
                <w:szCs w:val="20"/>
                <w:color w:val="auto"/>
              </w:rPr>
            </w:pPr>
            <w:r>
              <w:rPr>
                <w:rFonts w:ascii="Arial" w:cs="Arial" w:eastAsia="Arial" w:hAnsi="Arial"/>
                <w:sz w:val="19"/>
                <w:szCs w:val="19"/>
                <w:b w:val="1"/>
                <w:bCs w:val="1"/>
                <w:color w:val="auto"/>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99,596</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auto"/>
              </w:rPr>
              <w:t>634,141</w:t>
            </w: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auto"/>
              </w:rPr>
              <w:t>1,598,667</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298,311</w:t>
            </w:r>
          </w:p>
        </w:tc>
        <w:tc>
          <w:tcPr>
            <w:tcW w:w="1180" w:type="dxa"/>
            <w:vAlign w:val="bottom"/>
            <w:gridSpan w:val="2"/>
          </w:tcPr>
          <w:p>
            <w:pPr>
              <w:jc w:val="right"/>
              <w:spacing w:after="0"/>
              <w:rPr>
                <w:sz w:val="20"/>
                <w:szCs w:val="20"/>
                <w:color w:val="auto"/>
              </w:rPr>
            </w:pPr>
            <w:r>
              <w:rPr>
                <w:rFonts w:ascii="Arial" w:cs="Arial" w:eastAsia="Arial" w:hAnsi="Arial"/>
                <w:sz w:val="19"/>
                <w:szCs w:val="19"/>
                <w:b w:val="1"/>
                <w:bCs w:val="1"/>
                <w:color w:val="auto"/>
              </w:rPr>
              <w:t>2,657,562</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December 31, 2016</w:t>
            </w:r>
          </w:p>
        </w:tc>
        <w:tc>
          <w:tcPr>
            <w:tcW w:w="8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6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Trade and other accounts payable</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7,189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66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7,255</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Amounts due to related parties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105</w:t>
            </w: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Other payables and accruals*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9"/>
              </w:rPr>
              <w:t>27,703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26,130</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2,031</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55,864</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non-current liabilities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1,129</w:t>
            </w:r>
          </w:p>
        </w:tc>
      </w:tr>
      <w:tr>
        <w:trPr>
          <w:trHeight w:val="243"/>
        </w:trPr>
        <w:tc>
          <w:tcPr>
            <w:tcW w:w="3460" w:type="dxa"/>
            <w:vAlign w:val="bottom"/>
            <w:gridSpan w:val="3"/>
          </w:tcPr>
          <w:p>
            <w:pPr>
              <w:spacing w:after="0"/>
              <w:rPr>
                <w:sz w:val="20"/>
                <w:szCs w:val="20"/>
                <w:color w:val="auto"/>
              </w:rPr>
            </w:pPr>
            <w:r>
              <w:rPr>
                <w:rFonts w:ascii="Arial" w:cs="Arial" w:eastAsia="Arial" w:hAnsi="Arial"/>
                <w:sz w:val="19"/>
                <w:szCs w:val="19"/>
                <w:color w:val="auto"/>
              </w:rPr>
              <w:t>Variable interest loans</w:t>
            </w:r>
          </w:p>
        </w:tc>
        <w:tc>
          <w:tcPr>
            <w:tcW w:w="820" w:type="dxa"/>
            <w:vAlign w:val="bottom"/>
          </w:tcPr>
          <w:p>
            <w:pPr>
              <w:jc w:val="right"/>
              <w:spacing w:after="0"/>
              <w:rPr>
                <w:sz w:val="20"/>
                <w:szCs w:val="20"/>
                <w:color w:val="auto"/>
              </w:rPr>
            </w:pPr>
            <w:r>
              <w:rPr>
                <w:rFonts w:ascii="Arial" w:cs="Arial" w:eastAsia="Arial" w:hAnsi="Arial"/>
                <w:sz w:val="19"/>
                <w:szCs w:val="19"/>
                <w:color w:val="auto"/>
              </w:rPr>
              <w:t>3.33%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9"/>
              </w:rPr>
              <w:t>35,884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21,063</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158,831</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2,231,522</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454,020</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2,901,320</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Bonds</w:t>
            </w:r>
          </w:p>
        </w:tc>
        <w:tc>
          <w:tcPr>
            <w:tcW w:w="8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2,233</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9,025</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164,255</w:t>
            </w:r>
          </w:p>
        </w:tc>
        <w:tc>
          <w:tcPr>
            <w:tcW w:w="2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175,513</w:t>
            </w:r>
          </w:p>
        </w:tc>
      </w:tr>
      <w:tr>
        <w:trPr>
          <w:trHeight w:val="250"/>
        </w:trPr>
        <w:tc>
          <w:tcPr>
            <w:tcW w:w="3460" w:type="dxa"/>
            <w:vAlign w:val="bottom"/>
            <w:gridSpan w:val="3"/>
          </w:tcPr>
          <w:p>
            <w:pPr>
              <w:spacing w:after="0"/>
              <w:rPr>
                <w:sz w:val="20"/>
                <w:szCs w:val="20"/>
                <w:color w:val="auto"/>
              </w:rPr>
            </w:pPr>
            <w:r>
              <w:rPr>
                <w:rFonts w:ascii="Arial" w:cs="Arial" w:eastAsia="Arial" w:hAnsi="Arial"/>
                <w:sz w:val="19"/>
                <w:szCs w:val="19"/>
                <w:color w:val="auto"/>
              </w:rPr>
              <w:t>Finance lease liability</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2,885</w:t>
            </w:r>
          </w:p>
        </w:tc>
        <w:tc>
          <w:tcPr>
            <w:tcW w:w="2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13,448</w:t>
            </w: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71,443</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253,240</w:t>
            </w: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342,532</w:t>
            </w:r>
          </w:p>
        </w:tc>
      </w:tr>
      <w:tr>
        <w:trPr>
          <w:trHeight w:val="243"/>
        </w:trPr>
        <w:tc>
          <w:tcPr>
            <w:tcW w:w="20" w:type="dxa"/>
            <w:vAlign w:val="bottom"/>
          </w:tcPr>
          <w:p>
            <w:pPr>
              <w:spacing w:after="0"/>
              <w:rPr>
                <w:sz w:val="21"/>
                <w:szCs w:val="21"/>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8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b w:val="1"/>
                <w:bCs w:val="1"/>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9"/>
              </w:rPr>
              <w:t>72,397</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52,311</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183,401</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2,467,573</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708,036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3,483,718</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Excludes Unearned revenue as it is not a financial liability.</w:t>
      </w:r>
    </w:p>
    <w:p>
      <w:pPr>
        <w:spacing w:after="0" w:line="106"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5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87" w:name="page188"/>
    <w:bookmarkEnd w:id="187"/>
    <w:p>
      <w:pPr>
        <w:ind w:right="40"/>
        <w:spacing w:after="0" w:line="283" w:lineRule="auto"/>
        <w:rPr>
          <w:sz w:val="20"/>
          <w:szCs w:val="20"/>
          <w:color w:val="auto"/>
        </w:rPr>
      </w:pPr>
      <w:r>
        <w:rPr>
          <w:rFonts w:ascii="Arial" w:cs="Arial" w:eastAsia="Arial" w:hAnsi="Arial"/>
          <w:sz w:val="19"/>
          <w:szCs w:val="19"/>
          <w:color w:val="auto"/>
        </w:rPr>
        <w:t>interest rates as illustrated by the yield curves existing at the end of the reporting period. The undiscounted contractual cash flows are based on the contractual maturities of the derivatives.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6"/>
                <w:szCs w:val="16"/>
                <w:b w:val="1"/>
                <w:bCs w:val="1"/>
                <w:color w:val="auto"/>
              </w:rPr>
              <w:t>Less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than 1</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month</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98"/>
              </w:rPr>
              <w:t>1-3 months</w:t>
            </w:r>
          </w:p>
        </w:tc>
        <w:tc>
          <w:tcPr>
            <w:tcW w:w="300" w:type="dxa"/>
            <w:vAlign w:val="bottom"/>
          </w:tcPr>
          <w:p>
            <w:pPr>
              <w:spacing w:after="0"/>
              <w:rPr>
                <w:sz w:val="17"/>
                <w:szCs w:val="17"/>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b w:val="1"/>
                <w:bCs w:val="1"/>
                <w:color w:val="auto"/>
                <w:w w:val="99"/>
              </w:rPr>
              <w:t>3-12 months</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w w:val="95"/>
              </w:rPr>
              <w:t>1-5 years</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96"/>
              </w:rPr>
              <w:t>5+ years</w:t>
            </w:r>
          </w:p>
        </w:tc>
        <w:tc>
          <w:tcPr>
            <w:tcW w:w="300" w:type="dxa"/>
            <w:vAlign w:val="bottom"/>
          </w:tcPr>
          <w:p>
            <w:pPr>
              <w:spacing w:after="0"/>
              <w:rPr>
                <w:sz w:val="17"/>
                <w:szCs w:val="17"/>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Total</w:t>
            </w:r>
          </w:p>
        </w:tc>
      </w:tr>
      <w:tr>
        <w:trPr>
          <w:trHeight w:val="223"/>
        </w:trPr>
        <w:tc>
          <w:tcPr>
            <w:tcW w:w="20" w:type="dxa"/>
            <w:vAlign w:val="bottom"/>
          </w:tcPr>
          <w:p>
            <w:pPr>
              <w:spacing w:after="0"/>
              <w:rPr>
                <w:sz w:val="19"/>
                <w:szCs w:val="19"/>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December 31, 2015</w:t>
            </w:r>
          </w:p>
        </w:tc>
        <w:tc>
          <w:tcPr>
            <w:tcW w:w="5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9"/>
                <w:szCs w:val="19"/>
                <w:color w:val="auto"/>
              </w:rPr>
              <w:t>Interest rate swaps</w:t>
            </w:r>
          </w:p>
        </w:tc>
        <w:tc>
          <w:tcPr>
            <w:tcW w:w="560" w:type="dxa"/>
            <w:vAlign w:val="bottom"/>
          </w:tcPr>
          <w:p>
            <w:pPr>
              <w:jc w:val="right"/>
              <w:spacing w:after="0"/>
              <w:rPr>
                <w:sz w:val="20"/>
                <w:szCs w:val="20"/>
                <w:color w:val="auto"/>
              </w:rPr>
            </w:pPr>
            <w:r>
              <w:rPr>
                <w:rFonts w:ascii="Arial" w:cs="Arial" w:eastAsia="Arial" w:hAnsi="Arial"/>
                <w:sz w:val="19"/>
                <w:szCs w:val="19"/>
                <w:color w:val="auto"/>
              </w:rPr>
              <w:t>152</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2,266</w:t>
            </w:r>
          </w:p>
        </w:tc>
        <w:tc>
          <w:tcPr>
            <w:tcW w:w="1380" w:type="dxa"/>
            <w:vAlign w:val="bottom"/>
            <w:gridSpan w:val="2"/>
          </w:tcPr>
          <w:p>
            <w:pPr>
              <w:jc w:val="right"/>
              <w:ind w:right="29"/>
              <w:spacing w:after="0"/>
              <w:rPr>
                <w:sz w:val="20"/>
                <w:szCs w:val="20"/>
                <w:color w:val="auto"/>
              </w:rPr>
            </w:pPr>
            <w:r>
              <w:rPr>
                <w:rFonts w:ascii="Arial" w:cs="Arial" w:eastAsia="Arial" w:hAnsi="Arial"/>
                <w:sz w:val="19"/>
                <w:szCs w:val="19"/>
                <w:color w:val="auto"/>
              </w:rPr>
              <w:t>7,053</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7,355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(47)</w:t>
            </w:r>
          </w:p>
        </w:tc>
        <w:tc>
          <w:tcPr>
            <w:tcW w:w="1020" w:type="dxa"/>
            <w:vAlign w:val="bottom"/>
            <w:gridSpan w:val="2"/>
          </w:tcPr>
          <w:p>
            <w:pPr>
              <w:jc w:val="right"/>
              <w:ind w:right="9"/>
              <w:spacing w:after="0"/>
              <w:rPr>
                <w:sz w:val="20"/>
                <w:szCs w:val="20"/>
                <w:color w:val="auto"/>
              </w:rPr>
            </w:pPr>
            <w:r>
              <w:rPr>
                <w:rFonts w:ascii="Arial" w:cs="Arial" w:eastAsia="Arial" w:hAnsi="Arial"/>
                <w:sz w:val="19"/>
                <w:szCs w:val="19"/>
                <w:color w:val="auto"/>
              </w:rPr>
              <w:t>16,779</w:t>
            </w:r>
          </w:p>
        </w:tc>
      </w:tr>
      <w:tr>
        <w:trPr>
          <w:trHeight w:val="243"/>
        </w:trPr>
        <w:tc>
          <w:tcPr>
            <w:tcW w:w="20" w:type="dxa"/>
            <w:vAlign w:val="bottom"/>
          </w:tcPr>
          <w:p>
            <w:pPr>
              <w:spacing w:after="0"/>
              <w:rPr>
                <w:sz w:val="21"/>
                <w:szCs w:val="21"/>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Cross currency swaps</w:t>
            </w: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883</w:t>
            </w:r>
          </w:p>
        </w:tc>
        <w:tc>
          <w:tcPr>
            <w:tcW w:w="300" w:type="dxa"/>
            <w:vAlign w:val="bottom"/>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9"/>
                <w:szCs w:val="19"/>
                <w:color w:val="auto"/>
              </w:rPr>
              <w:t>3,102</w:t>
            </w: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53,960</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57,945</w:t>
            </w:r>
          </w:p>
        </w:tc>
      </w:tr>
      <w:tr>
        <w:trPr>
          <w:trHeight w:val="250"/>
        </w:trPr>
        <w:tc>
          <w:tcPr>
            <w:tcW w:w="5080" w:type="dxa"/>
            <w:vAlign w:val="bottom"/>
            <w:gridSpan w:val="2"/>
          </w:tcPr>
          <w:p>
            <w:pPr>
              <w:spacing w:after="0"/>
              <w:rPr>
                <w:sz w:val="20"/>
                <w:szCs w:val="20"/>
                <w:color w:val="auto"/>
              </w:rPr>
            </w:pPr>
            <w:r>
              <w:rPr>
                <w:rFonts w:ascii="Arial" w:cs="Arial" w:eastAsia="Arial" w:hAnsi="Arial"/>
                <w:sz w:val="19"/>
                <w:szCs w:val="19"/>
                <w:b w:val="1"/>
                <w:bCs w:val="1"/>
                <w:color w:val="auto"/>
              </w:rPr>
              <w:t>Total</w:t>
            </w:r>
          </w:p>
        </w:tc>
        <w:tc>
          <w:tcPr>
            <w:tcW w:w="560" w:type="dxa"/>
            <w:vAlign w:val="bottom"/>
          </w:tcPr>
          <w:p>
            <w:pPr>
              <w:jc w:val="right"/>
              <w:spacing w:after="0"/>
              <w:rPr>
                <w:sz w:val="20"/>
                <w:szCs w:val="20"/>
                <w:color w:val="auto"/>
              </w:rPr>
            </w:pPr>
            <w:r>
              <w:rPr>
                <w:rFonts w:ascii="Arial" w:cs="Arial" w:eastAsia="Arial" w:hAnsi="Arial"/>
                <w:sz w:val="19"/>
                <w:szCs w:val="19"/>
                <w:b w:val="1"/>
                <w:bCs w:val="1"/>
                <w:color w:val="auto"/>
              </w:rPr>
              <w:t>152</w:t>
            </w: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3,149</w:t>
            </w:r>
          </w:p>
        </w:tc>
        <w:tc>
          <w:tcPr>
            <w:tcW w:w="1380" w:type="dxa"/>
            <w:vAlign w:val="bottom"/>
            <w:gridSpan w:val="2"/>
          </w:tcPr>
          <w:p>
            <w:pPr>
              <w:jc w:val="right"/>
              <w:ind w:right="29"/>
              <w:spacing w:after="0"/>
              <w:rPr>
                <w:sz w:val="20"/>
                <w:szCs w:val="20"/>
                <w:color w:val="auto"/>
              </w:rPr>
            </w:pPr>
            <w:r>
              <w:rPr>
                <w:rFonts w:ascii="Arial" w:cs="Arial" w:eastAsia="Arial" w:hAnsi="Arial"/>
                <w:sz w:val="19"/>
                <w:szCs w:val="19"/>
                <w:b w:val="1"/>
                <w:bCs w:val="1"/>
                <w:color w:val="auto"/>
              </w:rPr>
              <w:t>10,155</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61,315</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auto"/>
              </w:rPr>
              <w:t>(47)</w:t>
            </w:r>
          </w:p>
        </w:tc>
        <w:tc>
          <w:tcPr>
            <w:tcW w:w="1020" w:type="dxa"/>
            <w:vAlign w:val="bottom"/>
            <w:gridSpan w:val="2"/>
          </w:tcPr>
          <w:p>
            <w:pPr>
              <w:jc w:val="right"/>
              <w:ind w:right="9"/>
              <w:spacing w:after="0"/>
              <w:rPr>
                <w:sz w:val="20"/>
                <w:szCs w:val="20"/>
                <w:color w:val="auto"/>
              </w:rPr>
            </w:pPr>
            <w:r>
              <w:rPr>
                <w:rFonts w:ascii="Arial" w:cs="Arial" w:eastAsia="Arial" w:hAnsi="Arial"/>
                <w:sz w:val="19"/>
                <w:szCs w:val="19"/>
                <w:b w:val="1"/>
                <w:bCs w:val="1"/>
                <w:color w:val="auto"/>
              </w:rPr>
              <w:t>74,724</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December 31, 2016</w:t>
            </w:r>
          </w:p>
        </w:tc>
        <w:tc>
          <w:tcPr>
            <w:tcW w:w="5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9"/>
                <w:szCs w:val="19"/>
                <w:color w:val="auto"/>
              </w:rPr>
              <w:t>Interest rate swaps</w:t>
            </w:r>
          </w:p>
        </w:tc>
        <w:tc>
          <w:tcPr>
            <w:tcW w:w="560" w:type="dxa"/>
            <w:vAlign w:val="bottom"/>
          </w:tcPr>
          <w:p>
            <w:pPr>
              <w:jc w:val="right"/>
              <w:spacing w:after="0"/>
              <w:rPr>
                <w:sz w:val="20"/>
                <w:szCs w:val="20"/>
                <w:color w:val="auto"/>
              </w:rPr>
            </w:pPr>
            <w:r>
              <w:rPr>
                <w:rFonts w:ascii="Arial" w:cs="Arial" w:eastAsia="Arial" w:hAnsi="Arial"/>
                <w:sz w:val="19"/>
                <w:szCs w:val="19"/>
                <w:color w:val="auto"/>
              </w:rPr>
              <w:t>73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gridSpan w:val="2"/>
          </w:tcPr>
          <w:p>
            <w:pPr>
              <w:jc w:val="right"/>
              <w:ind w:right="29"/>
              <w:spacing w:after="0"/>
              <w:rPr>
                <w:sz w:val="20"/>
                <w:szCs w:val="20"/>
                <w:color w:val="auto"/>
              </w:rPr>
            </w:pPr>
            <w:r>
              <w:rPr>
                <w:rFonts w:ascii="Arial" w:cs="Arial" w:eastAsia="Arial" w:hAnsi="Arial"/>
                <w:sz w:val="19"/>
                <w:szCs w:val="19"/>
                <w:color w:val="auto"/>
              </w:rPr>
              <w:t>5,010</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(5,707)</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(1,754)</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(2,378)</w:t>
            </w:r>
          </w:p>
        </w:tc>
      </w:tr>
      <w:tr>
        <w:trPr>
          <w:trHeight w:val="243"/>
        </w:trPr>
        <w:tc>
          <w:tcPr>
            <w:tcW w:w="20" w:type="dxa"/>
            <w:vAlign w:val="bottom"/>
          </w:tcPr>
          <w:p>
            <w:pPr>
              <w:spacing w:after="0"/>
              <w:rPr>
                <w:sz w:val="21"/>
                <w:szCs w:val="21"/>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Cross currency swaps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348</w:t>
            </w:r>
          </w:p>
        </w:tc>
        <w:tc>
          <w:tcPr>
            <w:tcW w:w="1380" w:type="dxa"/>
            <w:vAlign w:val="bottom"/>
            <w:gridSpan w:val="2"/>
            <w:shd w:val="clear" w:color="auto" w:fill="E5FFFF"/>
          </w:tcPr>
          <w:p>
            <w:pPr>
              <w:jc w:val="right"/>
              <w:ind w:right="29"/>
              <w:spacing w:after="0"/>
              <w:rPr>
                <w:sz w:val="20"/>
                <w:szCs w:val="20"/>
                <w:color w:val="auto"/>
              </w:rPr>
            </w:pPr>
            <w:r>
              <w:rPr>
                <w:rFonts w:ascii="Arial" w:cs="Arial" w:eastAsia="Arial" w:hAnsi="Arial"/>
                <w:sz w:val="19"/>
                <w:szCs w:val="19"/>
                <w:color w:val="auto"/>
              </w:rPr>
              <w:t>1,370</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23,073</w:t>
            </w:r>
          </w:p>
        </w:tc>
        <w:tc>
          <w:tcPr>
            <w:tcW w:w="30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24,791</w:t>
            </w:r>
          </w:p>
        </w:tc>
      </w:tr>
      <w:tr>
        <w:trPr>
          <w:trHeight w:val="250"/>
        </w:trPr>
        <w:tc>
          <w:tcPr>
            <w:tcW w:w="5080" w:type="dxa"/>
            <w:vAlign w:val="bottom"/>
            <w:gridSpan w:val="2"/>
          </w:tcPr>
          <w:p>
            <w:pPr>
              <w:spacing w:after="0"/>
              <w:rPr>
                <w:sz w:val="20"/>
                <w:szCs w:val="20"/>
                <w:color w:val="auto"/>
              </w:rPr>
            </w:pPr>
            <w:r>
              <w:rPr>
                <w:rFonts w:ascii="Arial" w:cs="Arial" w:eastAsia="Arial" w:hAnsi="Arial"/>
                <w:sz w:val="19"/>
                <w:szCs w:val="19"/>
                <w:color w:val="auto"/>
              </w:rPr>
              <w:t>Forward foreign exchange contracts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3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(299)</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w:t>
            </w:r>
          </w:p>
        </w:tc>
      </w:tr>
      <w:tr>
        <w:trPr>
          <w:trHeight w:val="243"/>
        </w:trPr>
        <w:tc>
          <w:tcPr>
            <w:tcW w:w="20" w:type="dxa"/>
            <w:vAlign w:val="bottom"/>
          </w:tcPr>
          <w:p>
            <w:pPr>
              <w:spacing w:after="0"/>
              <w:rPr>
                <w:sz w:val="21"/>
                <w:szCs w:val="21"/>
                <w:color w:val="auto"/>
              </w:rPr>
            </w:pPr>
          </w:p>
        </w:tc>
        <w:tc>
          <w:tcPr>
            <w:tcW w:w="50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100</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492</w:t>
            </w:r>
          </w:p>
        </w:tc>
        <w:tc>
          <w:tcPr>
            <w:tcW w:w="1380" w:type="dxa"/>
            <w:vAlign w:val="bottom"/>
            <w:gridSpan w:val="2"/>
            <w:shd w:val="clear" w:color="auto" w:fill="E5FFFF"/>
          </w:tcPr>
          <w:p>
            <w:pPr>
              <w:jc w:val="right"/>
              <w:ind w:right="29"/>
              <w:spacing w:after="0"/>
              <w:rPr>
                <w:sz w:val="20"/>
                <w:szCs w:val="20"/>
                <w:color w:val="auto"/>
              </w:rPr>
            </w:pPr>
            <w:r>
              <w:rPr>
                <w:rFonts w:ascii="Arial" w:cs="Arial" w:eastAsia="Arial" w:hAnsi="Arial"/>
                <w:sz w:val="19"/>
                <w:szCs w:val="19"/>
                <w:b w:val="1"/>
                <w:bCs w:val="1"/>
                <w:color w:val="auto"/>
              </w:rPr>
              <w:t>6,081</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17,366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(1,754)</w:t>
            </w:r>
          </w:p>
        </w:tc>
        <w:tc>
          <w:tcPr>
            <w:tcW w:w="102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b w:val="1"/>
                <w:bCs w:val="1"/>
                <w:color w:val="auto"/>
              </w:rPr>
              <w:t>22,285</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risk</w:t>
      </w:r>
    </w:p>
    <w:p>
      <w:pPr>
        <w:spacing w:after="0" w:line="119" w:lineRule="exact"/>
        <w:rPr>
          <w:sz w:val="20"/>
          <w:szCs w:val="20"/>
          <w:color w:val="auto"/>
        </w:rPr>
      </w:pPr>
    </w:p>
    <w:p>
      <w:pPr>
        <w:jc w:val="both"/>
        <w:ind w:right="80" w:firstLine="357"/>
        <w:spacing w:after="0" w:line="258" w:lineRule="auto"/>
        <w:rPr>
          <w:sz w:val="20"/>
          <w:szCs w:val="20"/>
          <w:color w:val="auto"/>
        </w:rPr>
      </w:pPr>
      <w:r>
        <w:rPr>
          <w:rFonts w:ascii="Arial" w:cs="Arial" w:eastAsia="Arial" w:hAnsi="Arial"/>
          <w:sz w:val="19"/>
          <w:szCs w:val="19"/>
          <w:color w:val="auto"/>
        </w:rPr>
        <w:t>Credit risk is the risk that a counterparty will fail to discharge its obligations and cause a financial loss. The Group is exposed to credit risk in the event of non-performance by any of its counterparties. To limit this risk, the Group deals exclusively with financial institutions and customers with high credit ratings.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834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6"/>
                <w:szCs w:val="16"/>
                <w:b w:val="1"/>
                <w:bCs w:val="1"/>
                <w:color w:val="auto"/>
              </w:rPr>
              <w:t>As of December 31,</w:t>
            </w:r>
          </w:p>
        </w:tc>
      </w:tr>
      <w:tr>
        <w:trPr>
          <w:trHeight w:val="169"/>
        </w:trPr>
        <w:tc>
          <w:tcPr>
            <w:tcW w:w="834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Cash and cash equivalents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302,988</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227,024</w:t>
            </w:r>
          </w:p>
        </w:tc>
      </w:tr>
      <w:tr>
        <w:trPr>
          <w:trHeight w:val="243"/>
        </w:trPr>
        <w:tc>
          <w:tcPr>
            <w:tcW w:w="8340" w:type="dxa"/>
            <w:vAlign w:val="bottom"/>
          </w:tcPr>
          <w:p>
            <w:pPr>
              <w:spacing w:after="0"/>
              <w:rPr>
                <w:sz w:val="20"/>
                <w:szCs w:val="20"/>
                <w:color w:val="auto"/>
              </w:rPr>
            </w:pPr>
            <w:r>
              <w:rPr>
                <w:rFonts w:ascii="Arial" w:cs="Arial" w:eastAsia="Arial" w:hAnsi="Arial"/>
                <w:sz w:val="19"/>
                <w:szCs w:val="19"/>
                <w:color w:val="auto"/>
              </w:rPr>
              <w:t>Short-term investments</w:t>
            </w:r>
          </w:p>
        </w:tc>
        <w:tc>
          <w:tcPr>
            <w:tcW w:w="860" w:type="dxa"/>
            <w:vAlign w:val="bottom"/>
          </w:tcPr>
          <w:p>
            <w:pPr>
              <w:jc w:val="right"/>
              <w:spacing w:after="0"/>
              <w:rPr>
                <w:sz w:val="20"/>
                <w:szCs w:val="20"/>
                <w:color w:val="auto"/>
              </w:rPr>
            </w:pPr>
            <w:r>
              <w:rPr>
                <w:rFonts w:ascii="Arial" w:cs="Arial" w:eastAsia="Arial" w:hAnsi="Arial"/>
                <w:sz w:val="19"/>
                <w:szCs w:val="19"/>
                <w:color w:val="auto"/>
              </w:rPr>
              <w:t>6,000</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18,000</w:t>
            </w: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Trade and other receivables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16,079</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9,256</w:t>
            </w:r>
          </w:p>
        </w:tc>
      </w:tr>
      <w:tr>
        <w:trPr>
          <w:trHeight w:val="243"/>
        </w:trPr>
        <w:tc>
          <w:tcPr>
            <w:tcW w:w="8340" w:type="dxa"/>
            <w:vAlign w:val="bottom"/>
          </w:tcPr>
          <w:p>
            <w:pPr>
              <w:spacing w:after="0"/>
              <w:rPr>
                <w:sz w:val="20"/>
                <w:szCs w:val="20"/>
                <w:color w:val="auto"/>
              </w:rPr>
            </w:pPr>
            <w:r>
              <w:rPr>
                <w:rFonts w:ascii="Arial" w:cs="Arial" w:eastAsia="Arial" w:hAnsi="Arial"/>
                <w:sz w:val="19"/>
                <w:szCs w:val="19"/>
                <w:color w:val="auto"/>
              </w:rPr>
              <w:t>Dividends receivable and other amounts due from related parties</w:t>
            </w:r>
          </w:p>
        </w:tc>
        <w:tc>
          <w:tcPr>
            <w:tcW w:w="860" w:type="dxa"/>
            <w:vAlign w:val="bottom"/>
          </w:tcPr>
          <w:p>
            <w:pPr>
              <w:jc w:val="right"/>
              <w:spacing w:after="0"/>
              <w:rPr>
                <w:sz w:val="20"/>
                <w:szCs w:val="20"/>
                <w:color w:val="auto"/>
              </w:rPr>
            </w:pPr>
            <w:r>
              <w:rPr>
                <w:rFonts w:ascii="Arial" w:cs="Arial" w:eastAsia="Arial" w:hAnsi="Arial"/>
                <w:sz w:val="19"/>
                <w:szCs w:val="19"/>
                <w:color w:val="auto"/>
              </w:rPr>
              <w:t>1,345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3,065</w:t>
            </w: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Restricted cash</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62,718</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42</w:t>
            </w:r>
          </w:p>
        </w:tc>
      </w:tr>
      <w:tr>
        <w:trPr>
          <w:trHeight w:val="247"/>
        </w:trPr>
        <w:tc>
          <w:tcPr>
            <w:tcW w:w="8340" w:type="dxa"/>
            <w:vAlign w:val="bottom"/>
          </w:tcPr>
          <w:p>
            <w:pPr>
              <w:spacing w:after="0"/>
              <w:rPr>
                <w:sz w:val="20"/>
                <w:szCs w:val="20"/>
                <w:color w:val="auto"/>
              </w:rPr>
            </w:pPr>
            <w:r>
              <w:rPr>
                <w:rFonts w:ascii="Arial" w:cs="Arial" w:eastAsia="Arial" w:hAnsi="Arial"/>
                <w:sz w:val="19"/>
                <w:szCs w:val="19"/>
                <w:color w:val="auto"/>
              </w:rPr>
              <w:t>Derivative financial instruments</w:t>
            </w:r>
          </w:p>
        </w:tc>
        <w:tc>
          <w:tcPr>
            <w:tcW w:w="860" w:type="dxa"/>
            <w:vAlign w:val="bottom"/>
          </w:tcPr>
          <w:p>
            <w:pPr>
              <w:jc w:val="right"/>
              <w:spacing w:after="0"/>
              <w:rPr>
                <w:sz w:val="20"/>
                <w:szCs w:val="20"/>
                <w:color w:val="auto"/>
              </w:rPr>
            </w:pPr>
            <w:r>
              <w:rPr>
                <w:rFonts w:ascii="Arial" w:cs="Arial" w:eastAsia="Arial" w:hAnsi="Arial"/>
                <w:sz w:val="19"/>
                <w:szCs w:val="19"/>
                <w:color w:val="auto"/>
              </w:rPr>
              <w:t>61</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7,938</w:t>
            </w:r>
          </w:p>
        </w:tc>
      </w:tr>
    </w:tbl>
    <w:p>
      <w:pPr>
        <w:spacing w:after="0" w:line="91"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For the year ended December 31, 2016, 95.0% of the Group’s revenue was earned from Royal Dutch Shell plc (“Shell”). For the year ended December 31, 2015, 83.1% of the Group’s revenue was earned from BG Group and 11.8% from Shell and for the year ended December 31, 2014, 80.1% of the Group’s revenue was earned from BG Group and 11.7% from Shell and accounts receivable were not collateralized; however, management believes that the credit risk is partially offset by the creditworthiness of the Group’s counterparties. BG Group was acquired by Shell on February 15, 2016. This acquisition does not impact the contractual obligations under the existing charter party agreements. The Group did not experience significant credit losses on its accounts receivable portfolio during the three years ended December 31, 2016.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42"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credit risk on liquid funds and derivative financial instruments is limited because the counterparties are banks with high credit ratings assigned by international credit-rating agencies.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24. Capital Risk Management</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88" w:name="page189"/>
    <w:bookmarkEnd w:id="188"/>
    <w:p>
      <w:pPr>
        <w:ind w:firstLine="357"/>
        <w:spacing w:after="0" w:line="261" w:lineRule="auto"/>
        <w:rPr>
          <w:sz w:val="20"/>
          <w:szCs w:val="20"/>
          <w:color w:val="auto"/>
        </w:rPr>
      </w:pPr>
      <w:r>
        <w:rPr>
          <w:rFonts w:ascii="Arial" w:cs="Arial" w:eastAsia="Arial" w:hAnsi="Arial"/>
          <w:sz w:val="19"/>
          <w:szCs w:val="19"/>
          <w:color w:val="auto"/>
        </w:rPr>
        <w:t>The Group monitors capital using a gearing ratio, which is total debt divided by total equity plus total debt. The gearing ratio is calculated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500" w:type="dxa"/>
            <w:vAlign w:val="bottom"/>
            <w:tcBorders>
              <w:bottom w:val="single" w:sz="8" w:color="auto"/>
            </w:tcBorders>
            <w:gridSpan w:val="9"/>
          </w:tcPr>
          <w:p>
            <w:pPr>
              <w:jc w:val="right"/>
              <w:ind w:right="50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29"/>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03"/>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Borrowings, current portion</w:t>
            </w:r>
          </w:p>
        </w:tc>
        <w:tc>
          <w:tcPr>
            <w:tcW w:w="1020" w:type="dxa"/>
            <w:vAlign w:val="bottom"/>
            <w:gridSpan w:val="2"/>
            <w:shd w:val="clear" w:color="auto" w:fill="E5FFFF"/>
          </w:tcPr>
          <w:p>
            <w:pPr>
              <w:jc w:val="right"/>
              <w:ind w:right="29"/>
              <w:spacing w:after="0"/>
              <w:rPr>
                <w:sz w:val="20"/>
                <w:szCs w:val="20"/>
                <w:color w:val="auto"/>
              </w:rPr>
            </w:pPr>
            <w:r>
              <w:rPr>
                <w:rFonts w:ascii="Arial" w:cs="Arial" w:eastAsia="Arial" w:hAnsi="Arial"/>
                <w:sz w:val="19"/>
                <w:szCs w:val="19"/>
                <w:color w:val="auto"/>
              </w:rPr>
              <w:t>636,987</w:t>
            </w:r>
          </w:p>
        </w:tc>
        <w:tc>
          <w:tcPr>
            <w:tcW w:w="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60" w:type="dxa"/>
            <w:vAlign w:val="bottom"/>
            <w:gridSpan w:val="3"/>
            <w:shd w:val="clear" w:color="auto" w:fill="E5FFFF"/>
          </w:tcPr>
          <w:p>
            <w:pPr>
              <w:jc w:val="right"/>
              <w:ind w:right="123"/>
              <w:spacing w:after="0"/>
              <w:rPr>
                <w:sz w:val="20"/>
                <w:szCs w:val="20"/>
                <w:color w:val="auto"/>
              </w:rPr>
            </w:pPr>
            <w:r>
              <w:rPr>
                <w:rFonts w:ascii="Arial" w:cs="Arial" w:eastAsia="Arial" w:hAnsi="Arial"/>
                <w:sz w:val="19"/>
                <w:szCs w:val="19"/>
                <w:color w:val="auto"/>
              </w:rPr>
              <w:t>147,448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Borrowings, non-current portion</w:t>
            </w:r>
          </w:p>
        </w:tc>
        <w:tc>
          <w:tcPr>
            <w:tcW w:w="1020" w:type="dxa"/>
            <w:vAlign w:val="bottom"/>
            <w:gridSpan w:val="2"/>
          </w:tcPr>
          <w:p>
            <w:pPr>
              <w:jc w:val="right"/>
              <w:ind w:right="29"/>
              <w:spacing w:after="0"/>
              <w:rPr>
                <w:sz w:val="20"/>
                <w:szCs w:val="20"/>
                <w:color w:val="auto"/>
              </w:rPr>
            </w:pPr>
            <w:r>
              <w:rPr>
                <w:rFonts w:ascii="Arial" w:cs="Arial" w:eastAsia="Arial" w:hAnsi="Arial"/>
                <w:sz w:val="19"/>
                <w:szCs w:val="19"/>
                <w:color w:val="auto"/>
              </w:rPr>
              <w:t>1,737,500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right"/>
              <w:ind w:right="123"/>
              <w:spacing w:after="0"/>
              <w:rPr>
                <w:sz w:val="20"/>
                <w:szCs w:val="20"/>
                <w:color w:val="auto"/>
              </w:rPr>
            </w:pPr>
            <w:r>
              <w:rPr>
                <w:rFonts w:ascii="Arial" w:cs="Arial" w:eastAsia="Arial" w:hAnsi="Arial"/>
                <w:sz w:val="19"/>
                <w:szCs w:val="19"/>
                <w:color w:val="auto"/>
                <w:w w:val="96"/>
              </w:rPr>
              <w:t>2,504,578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current portion</w:t>
            </w:r>
          </w:p>
        </w:tc>
        <w:tc>
          <w:tcPr>
            <w:tcW w:w="68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ind w:right="540"/>
              <w:spacing w:after="0"/>
              <w:rPr>
                <w:sz w:val="20"/>
                <w:szCs w:val="20"/>
                <w:color w:val="auto"/>
              </w:rPr>
            </w:pPr>
            <w:r>
              <w:rPr>
                <w:rFonts w:ascii="Arial" w:cs="Arial" w:eastAsia="Arial" w:hAnsi="Arial"/>
                <w:sz w:val="19"/>
                <w:szCs w:val="19"/>
                <w:color w:val="auto"/>
              </w:rPr>
              <w:t>—</w:t>
            </w:r>
          </w:p>
        </w:tc>
        <w:tc>
          <w:tcPr>
            <w:tcW w:w="1060" w:type="dxa"/>
            <w:vAlign w:val="bottom"/>
            <w:gridSpan w:val="3"/>
            <w:shd w:val="clear" w:color="auto" w:fill="E5FFFF"/>
          </w:tcPr>
          <w:p>
            <w:pPr>
              <w:jc w:val="right"/>
              <w:ind w:right="123"/>
              <w:spacing w:after="0"/>
              <w:rPr>
                <w:sz w:val="20"/>
                <w:szCs w:val="20"/>
                <w:color w:val="auto"/>
              </w:rPr>
            </w:pPr>
            <w:r>
              <w:rPr>
                <w:rFonts w:ascii="Arial" w:cs="Arial" w:eastAsia="Arial" w:hAnsi="Arial"/>
                <w:sz w:val="19"/>
                <w:szCs w:val="19"/>
                <w:color w:val="auto"/>
              </w:rPr>
              <w:t>5,946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Finance lease liability, non-current portion</w:t>
            </w:r>
          </w:p>
        </w:tc>
        <w:tc>
          <w:tcPr>
            <w:tcW w:w="680" w:type="dxa"/>
            <w:vAlign w:val="bottom"/>
          </w:tcPr>
          <w:p>
            <w:pPr>
              <w:spacing w:after="0"/>
              <w:rPr>
                <w:sz w:val="21"/>
                <w:szCs w:val="21"/>
                <w:color w:val="auto"/>
              </w:rPr>
            </w:pPr>
          </w:p>
        </w:tc>
        <w:tc>
          <w:tcPr>
            <w:tcW w:w="760" w:type="dxa"/>
            <w:vAlign w:val="bottom"/>
            <w:gridSpan w:val="5"/>
          </w:tcPr>
          <w:p>
            <w:pPr>
              <w:jc w:val="right"/>
              <w:ind w:right="540"/>
              <w:spacing w:after="0"/>
              <w:rPr>
                <w:sz w:val="20"/>
                <w:szCs w:val="20"/>
                <w:color w:val="auto"/>
              </w:rPr>
            </w:pPr>
            <w:r>
              <w:rPr>
                <w:rFonts w:ascii="Arial" w:cs="Arial" w:eastAsia="Arial" w:hAnsi="Arial"/>
                <w:sz w:val="19"/>
                <w:szCs w:val="19"/>
                <w:color w:val="auto"/>
              </w:rPr>
              <w:t>—</w:t>
            </w:r>
          </w:p>
        </w:tc>
        <w:tc>
          <w:tcPr>
            <w:tcW w:w="1060" w:type="dxa"/>
            <w:vAlign w:val="bottom"/>
            <w:gridSpan w:val="3"/>
          </w:tcPr>
          <w:p>
            <w:pPr>
              <w:jc w:val="right"/>
              <w:ind w:right="123"/>
              <w:spacing w:after="0"/>
              <w:rPr>
                <w:sz w:val="20"/>
                <w:szCs w:val="20"/>
                <w:color w:val="auto"/>
              </w:rPr>
            </w:pPr>
            <w:r>
              <w:rPr>
                <w:rFonts w:ascii="Arial" w:cs="Arial" w:eastAsia="Arial" w:hAnsi="Arial"/>
                <w:sz w:val="19"/>
                <w:szCs w:val="19"/>
                <w:color w:val="auto"/>
              </w:rPr>
              <w:t>214,455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debt</w:t>
            </w:r>
          </w:p>
        </w:tc>
        <w:tc>
          <w:tcPr>
            <w:tcW w:w="1020" w:type="dxa"/>
            <w:vAlign w:val="bottom"/>
            <w:tcBorders>
              <w:top w:val="single" w:sz="8" w:color="auto"/>
            </w:tcBorders>
            <w:gridSpan w:val="2"/>
            <w:shd w:val="clear" w:color="auto" w:fill="E5FFFF"/>
          </w:tcPr>
          <w:p>
            <w:pPr>
              <w:jc w:val="right"/>
              <w:ind w:right="29"/>
              <w:spacing w:after="0"/>
              <w:rPr>
                <w:sz w:val="20"/>
                <w:szCs w:val="20"/>
                <w:color w:val="auto"/>
              </w:rPr>
            </w:pPr>
            <w:r>
              <w:rPr>
                <w:rFonts w:ascii="Arial" w:cs="Arial" w:eastAsia="Arial" w:hAnsi="Arial"/>
                <w:sz w:val="19"/>
                <w:szCs w:val="19"/>
                <w:b w:val="1"/>
                <w:bCs w:val="1"/>
                <w:color w:val="auto"/>
              </w:rPr>
              <w:t>2,374,487</w:t>
            </w:r>
          </w:p>
        </w:tc>
        <w:tc>
          <w:tcPr>
            <w:tcW w:w="60" w:type="dxa"/>
            <w:vAlign w:val="bottom"/>
            <w:tcBorders>
              <w:top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tcBorders>
              <w:top w:val="single" w:sz="8" w:color="auto"/>
            </w:tcBorders>
            <w:shd w:val="clear" w:color="auto" w:fill="E5FFFF"/>
          </w:tcPr>
          <w:p>
            <w:pPr>
              <w:spacing w:after="0"/>
              <w:rPr>
                <w:sz w:val="21"/>
                <w:szCs w:val="21"/>
                <w:color w:val="auto"/>
              </w:rPr>
            </w:pPr>
          </w:p>
        </w:tc>
        <w:tc>
          <w:tcPr>
            <w:tcW w:w="20" w:type="dxa"/>
            <w:vAlign w:val="bottom"/>
            <w:tcBorders>
              <w:top w:val="single" w:sz="8" w:color="auto"/>
            </w:tcBorders>
            <w:shd w:val="clear" w:color="auto" w:fill="E5FFFF"/>
          </w:tcPr>
          <w:p>
            <w:pPr>
              <w:spacing w:after="0"/>
              <w:rPr>
                <w:sz w:val="21"/>
                <w:szCs w:val="21"/>
                <w:color w:val="auto"/>
              </w:rPr>
            </w:pPr>
          </w:p>
        </w:tc>
        <w:tc>
          <w:tcPr>
            <w:tcW w:w="1060" w:type="dxa"/>
            <w:vAlign w:val="bottom"/>
            <w:tcBorders>
              <w:top w:val="single" w:sz="8" w:color="auto"/>
            </w:tcBorders>
            <w:gridSpan w:val="3"/>
            <w:shd w:val="clear" w:color="auto" w:fill="E5FFFF"/>
          </w:tcPr>
          <w:p>
            <w:pPr>
              <w:jc w:val="right"/>
              <w:ind w:right="123"/>
              <w:spacing w:after="0"/>
              <w:rPr>
                <w:sz w:val="20"/>
                <w:szCs w:val="20"/>
                <w:color w:val="auto"/>
              </w:rPr>
            </w:pPr>
            <w:r>
              <w:rPr>
                <w:rFonts w:ascii="Arial" w:cs="Arial" w:eastAsia="Arial" w:hAnsi="Arial"/>
                <w:sz w:val="19"/>
                <w:szCs w:val="19"/>
                <w:b w:val="1"/>
                <w:bCs w:val="1"/>
                <w:color w:val="auto"/>
                <w:w w:val="96"/>
              </w:rPr>
              <w:t>2,872,427</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b w:val="1"/>
                <w:bCs w:val="1"/>
                <w:color w:val="auto"/>
              </w:rPr>
              <w:t>Total equity</w:t>
            </w:r>
          </w:p>
        </w:tc>
        <w:tc>
          <w:tcPr>
            <w:tcW w:w="10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9"/>
                <w:szCs w:val="19"/>
                <w:b w:val="1"/>
                <w:bCs w:val="1"/>
                <w:color w:val="auto"/>
              </w:rPr>
              <w:t>1,507,920</w:t>
            </w:r>
          </w:p>
        </w:tc>
        <w:tc>
          <w:tcPr>
            <w:tcW w:w="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9"/>
                <w:szCs w:val="19"/>
                <w:b w:val="1"/>
                <w:bCs w:val="1"/>
                <w:color w:val="auto"/>
                <w:w w:val="96"/>
              </w:rPr>
              <w:t>1,509,682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debt and equity</w:t>
            </w:r>
          </w:p>
        </w:tc>
        <w:tc>
          <w:tcPr>
            <w:tcW w:w="1020" w:type="dxa"/>
            <w:vAlign w:val="bottom"/>
            <w:tcBorders>
              <w:bottom w:val="single" w:sz="8" w:color="auto"/>
            </w:tcBorders>
            <w:gridSpan w:val="2"/>
            <w:shd w:val="clear" w:color="auto" w:fill="E5FFFF"/>
          </w:tcPr>
          <w:p>
            <w:pPr>
              <w:jc w:val="right"/>
              <w:ind w:right="29"/>
              <w:spacing w:after="0"/>
              <w:rPr>
                <w:sz w:val="20"/>
                <w:szCs w:val="20"/>
                <w:color w:val="auto"/>
              </w:rPr>
            </w:pPr>
            <w:r>
              <w:rPr>
                <w:rFonts w:ascii="Arial" w:cs="Arial" w:eastAsia="Arial" w:hAnsi="Arial"/>
                <w:sz w:val="19"/>
                <w:szCs w:val="19"/>
                <w:b w:val="1"/>
                <w:bCs w:val="1"/>
                <w:color w:val="auto"/>
              </w:rPr>
              <w:t>3,882,407</w:t>
            </w:r>
          </w:p>
        </w:tc>
        <w:tc>
          <w:tcPr>
            <w:tcW w:w="6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060" w:type="dxa"/>
            <w:vAlign w:val="bottom"/>
            <w:tcBorders>
              <w:bottom w:val="single" w:sz="8" w:color="auto"/>
            </w:tcBorders>
            <w:gridSpan w:val="3"/>
            <w:shd w:val="clear" w:color="auto" w:fill="E5FFFF"/>
          </w:tcPr>
          <w:p>
            <w:pPr>
              <w:jc w:val="right"/>
              <w:ind w:right="123"/>
              <w:spacing w:after="0"/>
              <w:rPr>
                <w:sz w:val="20"/>
                <w:szCs w:val="20"/>
                <w:color w:val="auto"/>
              </w:rPr>
            </w:pPr>
            <w:r>
              <w:rPr>
                <w:rFonts w:ascii="Arial" w:cs="Arial" w:eastAsia="Arial" w:hAnsi="Arial"/>
                <w:sz w:val="19"/>
                <w:szCs w:val="19"/>
                <w:b w:val="1"/>
                <w:bCs w:val="1"/>
                <w:color w:val="auto"/>
                <w:w w:val="96"/>
              </w:rPr>
              <w:t>4,382,109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9"/>
                <w:szCs w:val="19"/>
                <w:b w:val="1"/>
                <w:bCs w:val="1"/>
                <w:color w:val="auto"/>
              </w:rPr>
              <w:t>Gearing ratio</w:t>
            </w:r>
          </w:p>
        </w:tc>
        <w:tc>
          <w:tcPr>
            <w:tcW w:w="1080" w:type="dxa"/>
            <w:vAlign w:val="bottom"/>
            <w:gridSpan w:val="3"/>
          </w:tcPr>
          <w:p>
            <w:pPr>
              <w:jc w:val="right"/>
              <w:spacing w:after="0"/>
              <w:rPr>
                <w:sz w:val="20"/>
                <w:szCs w:val="20"/>
                <w:color w:val="auto"/>
              </w:rPr>
            </w:pPr>
            <w:r>
              <w:rPr>
                <w:rFonts w:ascii="Arial" w:cs="Arial" w:eastAsia="Arial" w:hAnsi="Arial"/>
                <w:sz w:val="19"/>
                <w:szCs w:val="19"/>
                <w:b w:val="1"/>
                <w:bCs w:val="1"/>
                <w:color w:val="auto"/>
              </w:rPr>
              <w:t>61.16</w:t>
            </w: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b w:val="1"/>
                <w:bCs w:val="1"/>
                <w:color w:val="auto"/>
              </w:rPr>
              <w:t>65.55%</w:t>
            </w:r>
          </w:p>
        </w:tc>
        <w:tc>
          <w:tcPr>
            <w:tcW w:w="0" w:type="dxa"/>
            <w:vAlign w:val="bottom"/>
          </w:tcPr>
          <w:p>
            <w:pPr>
              <w:spacing w:after="0"/>
              <w:rPr>
                <w:sz w:val="1"/>
                <w:szCs w:val="1"/>
                <w:color w:val="auto"/>
              </w:rPr>
            </w:pPr>
          </w:p>
        </w:tc>
      </w:tr>
      <w:tr>
        <w:trPr>
          <w:trHeight w:val="554"/>
        </w:trPr>
        <w:tc>
          <w:tcPr>
            <w:tcW w:w="8400" w:type="dxa"/>
            <w:vAlign w:val="bottom"/>
            <w:gridSpan w:val="2"/>
          </w:tcPr>
          <w:p>
            <w:pPr>
              <w:spacing w:after="0"/>
              <w:rPr>
                <w:sz w:val="20"/>
                <w:szCs w:val="20"/>
                <w:color w:val="auto"/>
              </w:rPr>
            </w:pPr>
            <w:r>
              <w:rPr>
                <w:rFonts w:ascii="Arial" w:cs="Arial" w:eastAsia="Arial" w:hAnsi="Arial"/>
                <w:sz w:val="19"/>
                <w:szCs w:val="19"/>
                <w:b w:val="1"/>
                <w:bCs w:val="1"/>
                <w:color w:val="auto"/>
              </w:rPr>
              <w:t>25. Derivative Financial Instruments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0" w:type="dxa"/>
            <w:vAlign w:val="bottom"/>
            <w:gridSpan w:val="2"/>
          </w:tcPr>
          <w:p>
            <w:pPr>
              <w:ind w:left="360"/>
              <w:spacing w:after="0"/>
              <w:rPr>
                <w:sz w:val="20"/>
                <w:szCs w:val="20"/>
                <w:color w:val="auto"/>
              </w:rPr>
            </w:pPr>
            <w:r>
              <w:rPr>
                <w:rFonts w:ascii="Arial" w:cs="Arial" w:eastAsia="Arial" w:hAnsi="Arial"/>
                <w:sz w:val="19"/>
                <w:szCs w:val="19"/>
                <w:color w:val="auto"/>
              </w:rPr>
              <w:t>The fair value of the derivative assets is as follows: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3"/>
          </w:tcPr>
          <w:p>
            <w:pPr>
              <w:jc w:val="right"/>
              <w:ind w:right="40"/>
              <w:spacing w:after="0" w:line="169" w:lineRule="exact"/>
              <w:rPr>
                <w:sz w:val="20"/>
                <w:szCs w:val="20"/>
                <w:color w:val="auto"/>
              </w:rPr>
            </w:pPr>
            <w:r>
              <w:rPr>
                <w:rFonts w:ascii="Arial" w:cs="Arial" w:eastAsia="Arial" w:hAnsi="Arial"/>
                <w:sz w:val="16"/>
                <w:szCs w:val="16"/>
                <w:b w:val="1"/>
                <w:bCs w:val="1"/>
                <w:color w:val="auto"/>
                <w:w w:val="95"/>
              </w:rPr>
              <w:t>2015</w:t>
            </w:r>
          </w:p>
        </w:tc>
        <w:tc>
          <w:tcPr>
            <w:tcW w:w="20" w:type="dxa"/>
            <w:vAlign w:val="bottom"/>
          </w:tcPr>
          <w:p>
            <w:pPr>
              <w:spacing w:after="0"/>
              <w:rPr>
                <w:sz w:val="14"/>
                <w:szCs w:val="14"/>
                <w:color w:val="auto"/>
              </w:rPr>
            </w:pPr>
          </w:p>
        </w:tc>
        <w:tc>
          <w:tcPr>
            <w:tcW w:w="1060" w:type="dxa"/>
            <w:vAlign w:val="bottom"/>
            <w:gridSpan w:val="3"/>
          </w:tcPr>
          <w:p>
            <w:pPr>
              <w:jc w:val="right"/>
              <w:ind w:right="103"/>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Derivative assets carried at fair value through profit or loss (FVTPL)</w:t>
            </w:r>
          </w:p>
        </w:tc>
        <w:tc>
          <w:tcPr>
            <w:tcW w:w="6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280" w:type="dxa"/>
            <w:vAlign w:val="bottom"/>
            <w:tcBorders>
              <w:top w:val="single" w:sz="8" w:color="auto"/>
            </w:tcBorders>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720" w:type="dxa"/>
            <w:vAlign w:val="bottom"/>
            <w:tcBorders>
              <w:top w:val="single" w:sz="8" w:color="auto"/>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Interest rate swaps</w:t>
            </w:r>
          </w:p>
        </w:tc>
        <w:tc>
          <w:tcPr>
            <w:tcW w:w="1420" w:type="dxa"/>
            <w:vAlign w:val="bottom"/>
            <w:gridSpan w:val="5"/>
          </w:tcPr>
          <w:p>
            <w:pPr>
              <w:jc w:val="right"/>
              <w:ind w:right="40"/>
              <w:spacing w:after="0"/>
              <w:rPr>
                <w:sz w:val="20"/>
                <w:szCs w:val="20"/>
                <w:color w:val="auto"/>
              </w:rPr>
            </w:pPr>
            <w:r>
              <w:rPr>
                <w:rFonts w:ascii="Arial" w:cs="Arial" w:eastAsia="Arial" w:hAnsi="Arial"/>
                <w:sz w:val="19"/>
                <w:szCs w:val="19"/>
                <w:color w:val="auto"/>
              </w:rPr>
              <w:t>61</w:t>
            </w:r>
          </w:p>
        </w:tc>
        <w:tc>
          <w:tcPr>
            <w:tcW w:w="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7,856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Forward foreign exchange contracts</w:t>
            </w:r>
          </w:p>
        </w:tc>
        <w:tc>
          <w:tcPr>
            <w:tcW w:w="6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360" w:type="dxa"/>
            <w:vAlign w:val="bottom"/>
            <w:tcBorders>
              <w:bottom w:val="single" w:sz="8" w:color="auto"/>
            </w:tcBorders>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1420" w:type="dxa"/>
            <w:vAlign w:val="bottom"/>
            <w:gridSpan w:val="5"/>
          </w:tcPr>
          <w:p>
            <w:pPr>
              <w:jc w:val="right"/>
              <w:ind w:right="40"/>
              <w:spacing w:after="0"/>
              <w:rPr>
                <w:sz w:val="20"/>
                <w:szCs w:val="20"/>
                <w:color w:val="auto"/>
              </w:rPr>
            </w:pPr>
            <w:r>
              <w:rPr>
                <w:rFonts w:ascii="Arial" w:cs="Arial" w:eastAsia="Arial" w:hAnsi="Arial"/>
                <w:sz w:val="19"/>
                <w:szCs w:val="19"/>
                <w:b w:val="1"/>
                <w:bCs w:val="1"/>
                <w:color w:val="auto"/>
              </w:rPr>
              <w:t>61</w:t>
            </w:r>
          </w:p>
        </w:tc>
        <w:tc>
          <w:tcPr>
            <w:tcW w:w="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b w:val="1"/>
                <w:bCs w:val="1"/>
                <w:color w:val="auto"/>
              </w:rPr>
              <w:t>7,938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Derivative financial instruments, current assets</w:t>
            </w:r>
          </w:p>
        </w:tc>
        <w:tc>
          <w:tcPr>
            <w:tcW w:w="6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6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Derivative financial instruments, non-current assets</w:t>
            </w:r>
          </w:p>
        </w:tc>
        <w:tc>
          <w:tcPr>
            <w:tcW w:w="1020" w:type="dxa"/>
            <w:vAlign w:val="bottom"/>
            <w:gridSpan w:val="2"/>
          </w:tcPr>
          <w:p>
            <w:pPr>
              <w:spacing w:after="0"/>
              <w:rPr>
                <w:sz w:val="21"/>
                <w:szCs w:val="21"/>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9"/>
                <w:szCs w:val="19"/>
                <w:color w:val="auto"/>
              </w:rPr>
              <w:t>61</w:t>
            </w:r>
          </w:p>
        </w:tc>
        <w:tc>
          <w:tcPr>
            <w:tcW w:w="20" w:type="dxa"/>
            <w:vAlign w:val="bottom"/>
            <w:tcBorders>
              <w:bottom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7,856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142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b w:val="1"/>
                <w:bCs w:val="1"/>
                <w:color w:val="auto"/>
              </w:rPr>
              <w:t>61</w:t>
            </w:r>
          </w:p>
        </w:tc>
        <w:tc>
          <w:tcPr>
            <w:tcW w:w="2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b w:val="1"/>
                <w:bCs w:val="1"/>
                <w:color w:val="auto"/>
              </w:rPr>
              <w:t>7,938</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360"/>
              <w:spacing w:after="0"/>
              <w:rPr>
                <w:sz w:val="20"/>
                <w:szCs w:val="20"/>
                <w:color w:val="auto"/>
              </w:rPr>
            </w:pPr>
            <w:r>
              <w:rPr>
                <w:rFonts w:ascii="Arial" w:cs="Arial" w:eastAsia="Arial" w:hAnsi="Arial"/>
                <w:sz w:val="19"/>
                <w:szCs w:val="19"/>
                <w:color w:val="auto"/>
              </w:rPr>
              <w:t>The fair value of the derivative liabilities is as follows:</w:t>
            </w: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4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8"/>
            <w:vMerge w:val="restart"/>
          </w:tcPr>
          <w:p>
            <w:pPr>
              <w:jc w:val="right"/>
              <w:ind w:right="14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Borders>
              <w:bottom w:val="single" w:sz="8" w:color="auto"/>
            </w:tcBorders>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3"/>
          </w:tcPr>
          <w:p>
            <w:pPr>
              <w:jc w:val="right"/>
              <w:ind w:right="49"/>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123"/>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w w:val="98"/>
              </w:rPr>
              <w:t>Derivative liabilities designated and effective as hedging instruments carried at fair value</w:t>
            </w:r>
          </w:p>
        </w:tc>
        <w:tc>
          <w:tcPr>
            <w:tcW w:w="680" w:type="dxa"/>
            <w:vAlign w:val="bottom"/>
            <w:shd w:val="clear" w:color="auto" w:fill="E5FFFF"/>
          </w:tcPr>
          <w:p>
            <w:pPr>
              <w:spacing w:after="0"/>
              <w:rPr>
                <w:sz w:val="19"/>
                <w:szCs w:val="19"/>
                <w:color w:val="auto"/>
              </w:rPr>
            </w:pPr>
          </w:p>
        </w:tc>
        <w:tc>
          <w:tcPr>
            <w:tcW w:w="340" w:type="dxa"/>
            <w:vAlign w:val="bottom"/>
            <w:tcBorders>
              <w:top w:val="single" w:sz="8" w:color="auto"/>
            </w:tcBorders>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280" w:type="dxa"/>
            <w:vAlign w:val="bottom"/>
            <w:tcBorders>
              <w:top w:val="single" w:sz="8" w:color="auto"/>
            </w:tcBorders>
            <w:shd w:val="clear" w:color="auto" w:fill="E5FFFF"/>
          </w:tcPr>
          <w:p>
            <w:pPr>
              <w:spacing w:after="0"/>
              <w:rPr>
                <w:sz w:val="19"/>
                <w:szCs w:val="19"/>
                <w:color w:val="auto"/>
              </w:rPr>
            </w:pPr>
          </w:p>
        </w:tc>
        <w:tc>
          <w:tcPr>
            <w:tcW w:w="60" w:type="dxa"/>
            <w:vAlign w:val="bottom"/>
            <w:tcBorders>
              <w:top w:val="single" w:sz="8" w:color="auto"/>
            </w:tcBorders>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40" w:type="dxa"/>
            <w:vAlign w:val="bottom"/>
            <w:tcBorders>
              <w:top w:val="single" w:sz="8" w:color="auto"/>
            </w:tcBorders>
            <w:shd w:val="clear" w:color="auto" w:fill="E5FFFF"/>
          </w:tcPr>
          <w:p>
            <w:pPr>
              <w:spacing w:after="0"/>
              <w:rPr>
                <w:sz w:val="19"/>
                <w:szCs w:val="19"/>
                <w:color w:val="auto"/>
              </w:rPr>
            </w:pPr>
          </w:p>
        </w:tc>
        <w:tc>
          <w:tcPr>
            <w:tcW w:w="720" w:type="dxa"/>
            <w:vAlign w:val="bottom"/>
            <w:tcBorders>
              <w:top w:val="single" w:sz="8" w:color="auto"/>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Interest rate swaps</w:t>
            </w:r>
          </w:p>
        </w:tc>
        <w:tc>
          <w:tcPr>
            <w:tcW w:w="1420" w:type="dxa"/>
            <w:vAlign w:val="bottom"/>
            <w:gridSpan w:val="5"/>
          </w:tcPr>
          <w:p>
            <w:pPr>
              <w:jc w:val="right"/>
              <w:ind w:right="40"/>
              <w:spacing w:after="0"/>
              <w:rPr>
                <w:sz w:val="20"/>
                <w:szCs w:val="20"/>
                <w:color w:val="auto"/>
              </w:rPr>
            </w:pPr>
            <w:r>
              <w:rPr>
                <w:rFonts w:ascii="Arial" w:cs="Arial" w:eastAsia="Arial" w:hAnsi="Arial"/>
                <w:sz w:val="19"/>
                <w:szCs w:val="19"/>
                <w:color w:val="auto"/>
              </w:rPr>
              <w:t>8,410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Cross currency swaps</w:t>
            </w:r>
          </w:p>
        </w:tc>
        <w:tc>
          <w:tcPr>
            <w:tcW w:w="142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color w:val="auto"/>
              </w:rPr>
              <w:t>56,152</w:t>
            </w:r>
          </w:p>
        </w:tc>
        <w:tc>
          <w:tcPr>
            <w:tcW w:w="2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24,279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9"/>
                <w:szCs w:val="19"/>
                <w:b w:val="1"/>
                <w:bCs w:val="1"/>
                <w:color w:val="auto"/>
              </w:rPr>
              <w:t>Derivative liabilities carried at fair value through profit or loss (FVTPL)</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Interest rate swaps</w:t>
            </w:r>
          </w:p>
        </w:tc>
        <w:tc>
          <w:tcPr>
            <w:tcW w:w="680" w:type="dxa"/>
            <w:vAlign w:val="bottom"/>
            <w:shd w:val="clear" w:color="auto" w:fill="E5FFFF"/>
          </w:tcPr>
          <w:p>
            <w:pPr>
              <w:spacing w:after="0"/>
              <w:rPr>
                <w:sz w:val="21"/>
                <w:szCs w:val="21"/>
                <w:color w:val="auto"/>
              </w:rPr>
            </w:pPr>
          </w:p>
        </w:tc>
        <w:tc>
          <w:tcPr>
            <w:tcW w:w="740" w:type="dxa"/>
            <w:vAlign w:val="bottom"/>
            <w:tcBorders>
              <w:bottom w:val="single" w:sz="8" w:color="auto"/>
            </w:tcBorders>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8,212</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6,060</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1420" w:type="dxa"/>
            <w:vAlign w:val="bottom"/>
            <w:gridSpan w:val="5"/>
          </w:tcPr>
          <w:p>
            <w:pPr>
              <w:jc w:val="right"/>
              <w:ind w:right="40"/>
              <w:spacing w:after="0"/>
              <w:rPr>
                <w:sz w:val="20"/>
                <w:szCs w:val="20"/>
                <w:color w:val="auto"/>
              </w:rPr>
            </w:pPr>
            <w:r>
              <w:rPr>
                <w:rFonts w:ascii="Arial" w:cs="Arial" w:eastAsia="Arial" w:hAnsi="Arial"/>
                <w:sz w:val="19"/>
                <w:szCs w:val="19"/>
                <w:b w:val="1"/>
                <w:bCs w:val="1"/>
                <w:color w:val="auto"/>
              </w:rPr>
              <w:t>72,774</w:t>
            </w:r>
          </w:p>
        </w:tc>
        <w:tc>
          <w:tcPr>
            <w:tcW w:w="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b w:val="1"/>
                <w:bCs w:val="1"/>
                <w:color w:val="auto"/>
              </w:rPr>
              <w:t>30,339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color w:val="auto"/>
              </w:rPr>
              <w:t>Derivative financial instruments, current liability</w:t>
            </w:r>
          </w:p>
        </w:tc>
        <w:tc>
          <w:tcPr>
            <w:tcW w:w="142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color w:val="auto"/>
              </w:rPr>
              <w:t>14,243</w:t>
            </w:r>
          </w:p>
        </w:tc>
        <w:tc>
          <w:tcPr>
            <w:tcW w:w="20" w:type="dxa"/>
            <w:vAlign w:val="bottom"/>
            <w:shd w:val="clear" w:color="auto" w:fill="E5FFFF"/>
          </w:tcPr>
          <w:p>
            <w:pPr>
              <w:spacing w:after="0"/>
              <w:rPr>
                <w:sz w:val="20"/>
                <w:szCs w:val="20"/>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7,854</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9"/>
                <w:szCs w:val="19"/>
                <w:color w:val="auto"/>
              </w:rPr>
              <w:t>Derivative financial instruments, non-current liability</w:t>
            </w:r>
          </w:p>
        </w:tc>
        <w:tc>
          <w:tcPr>
            <w:tcW w:w="680" w:type="dxa"/>
            <w:vAlign w:val="bottom"/>
          </w:tcPr>
          <w:p>
            <w:pPr>
              <w:spacing w:after="0"/>
              <w:rPr>
                <w:sz w:val="21"/>
                <w:szCs w:val="21"/>
                <w:color w:val="auto"/>
              </w:rPr>
            </w:pPr>
          </w:p>
        </w:tc>
        <w:tc>
          <w:tcPr>
            <w:tcW w:w="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9"/>
                <w:szCs w:val="19"/>
                <w:color w:val="auto"/>
              </w:rPr>
              <w:t>58,531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22,485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142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b w:val="1"/>
                <w:bCs w:val="1"/>
                <w:color w:val="auto"/>
              </w:rPr>
              <w:t>72,774</w:t>
            </w:r>
          </w:p>
        </w:tc>
        <w:tc>
          <w:tcPr>
            <w:tcW w:w="20" w:type="dxa"/>
            <w:vAlign w:val="bottom"/>
            <w:shd w:val="clear" w:color="auto" w:fill="E5FFFF"/>
          </w:tcPr>
          <w:p>
            <w:pPr>
              <w:spacing w:after="0"/>
              <w:rPr>
                <w:sz w:val="21"/>
                <w:szCs w:val="21"/>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b w:val="1"/>
                <w:bCs w:val="1"/>
                <w:color w:val="auto"/>
              </w:rPr>
              <w:t>30,339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swap agreements</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three-month U.S. dollar LIBOR, and the Group effects quarterly payments to the bank on the notional amount at the respective fixed rates.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78" w:right="37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b w:val="1"/>
          <w:bCs w:val="1"/>
          <w:i w:val="1"/>
          <w:iCs w:val="1"/>
          <w:color w:val="auto"/>
        </w:rPr>
        <w:t>Interest rate swaps designated as cash flow hedging instruments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principal terms of the interest rate swaps designated as cash flow hedging instruments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Trade</w:t>
            </w:r>
          </w:p>
        </w:tc>
        <w:tc>
          <w:tcPr>
            <w:tcW w:w="260" w:type="dxa"/>
            <w:vAlign w:val="bottom"/>
          </w:tcPr>
          <w:p>
            <w:pPr>
              <w:spacing w:after="0"/>
              <w:rPr>
                <w:sz w:val="14"/>
                <w:szCs w:val="14"/>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Effective</w:t>
            </w:r>
          </w:p>
        </w:tc>
        <w:tc>
          <w:tcPr>
            <w:tcW w:w="280" w:type="dxa"/>
            <w:vAlign w:val="bottom"/>
          </w:tcPr>
          <w:p>
            <w:pPr>
              <w:spacing w:after="0"/>
              <w:rPr>
                <w:sz w:val="14"/>
                <w:szCs w:val="14"/>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Original Termination</w:t>
            </w:r>
          </w:p>
        </w:tc>
        <w:tc>
          <w:tcPr>
            <w:tcW w:w="28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Fixed Interest</w:t>
            </w: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9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840" w:type="dxa"/>
            <w:vAlign w:val="bottom"/>
          </w:tcPr>
          <w:p>
            <w:pPr>
              <w:spacing w:after="0" w:line="121"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Subsidiary</w:t>
            </w:r>
          </w:p>
        </w:tc>
        <w:tc>
          <w:tcPr>
            <w:tcW w:w="280" w:type="dxa"/>
            <w:vAlign w:val="bottom"/>
          </w:tcPr>
          <w:p>
            <w:pPr>
              <w:spacing w:after="0"/>
              <w:rPr>
                <w:sz w:val="14"/>
                <w:szCs w:val="14"/>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Counterparty</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GAS-six Ltd.</w:t>
            </w:r>
            <w:r>
              <w:rPr>
                <w:rFonts w:ascii="Arial" w:cs="Arial" w:eastAsia="Arial" w:hAnsi="Arial"/>
                <w:sz w:val="8"/>
                <w:szCs w:val="8"/>
                <w:color w:val="auto"/>
              </w:rPr>
              <w:t>(1)</w:t>
            </w:r>
          </w:p>
        </w:tc>
        <w:tc>
          <w:tcPr>
            <w:tcW w:w="2340" w:type="dxa"/>
            <w:vAlign w:val="bottom"/>
            <w:gridSpan w:val="2"/>
            <w:shd w:val="clear" w:color="auto" w:fill="E5FFFF"/>
          </w:tcPr>
          <w:p>
            <w:pPr>
              <w:ind w:left="280"/>
              <w:spacing w:after="0"/>
              <w:rPr>
                <w:sz w:val="20"/>
                <w:szCs w:val="20"/>
                <w:color w:val="auto"/>
              </w:rPr>
            </w:pPr>
            <w:r>
              <w:rPr>
                <w:rFonts w:ascii="Arial" w:cs="Arial" w:eastAsia="Arial" w:hAnsi="Arial"/>
                <w:sz w:val="16"/>
                <w:szCs w:val="16"/>
                <w:color w:val="auto"/>
              </w:rPr>
              <w:t>Nordea Bank Finland</w:t>
            </w:r>
          </w:p>
        </w:tc>
        <w:tc>
          <w:tcPr>
            <w:tcW w:w="260" w:type="dxa"/>
            <w:vAlign w:val="bottom"/>
            <w:shd w:val="clear" w:color="auto" w:fill="E5FFFF"/>
          </w:tcPr>
          <w:p>
            <w:pPr>
              <w:spacing w:after="0"/>
              <w:rPr>
                <w:sz w:val="20"/>
                <w:szCs w:val="20"/>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Nov 2011</w:t>
            </w:r>
          </w:p>
        </w:tc>
        <w:tc>
          <w:tcPr>
            <w:tcW w:w="260" w:type="dxa"/>
            <w:vAlign w:val="bottom"/>
            <w:shd w:val="clear" w:color="auto" w:fill="E5FFFF"/>
          </w:tcPr>
          <w:p>
            <w:pPr>
              <w:spacing w:after="0"/>
              <w:rPr>
                <w:sz w:val="20"/>
                <w:szCs w:val="20"/>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July 2013</w:t>
            </w:r>
          </w:p>
        </w:tc>
        <w:tc>
          <w:tcPr>
            <w:tcW w:w="280" w:type="dxa"/>
            <w:vAlign w:val="bottom"/>
            <w:shd w:val="clear" w:color="auto" w:fill="E5FFFF"/>
          </w:tcPr>
          <w:p>
            <w:pPr>
              <w:spacing w:after="0"/>
              <w:rPr>
                <w:sz w:val="20"/>
                <w:szCs w:val="20"/>
                <w:color w:val="auto"/>
              </w:rPr>
            </w:pPr>
          </w:p>
        </w:tc>
        <w:tc>
          <w:tcPr>
            <w:tcW w:w="152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July 2018</w:t>
            </w:r>
          </w:p>
        </w:tc>
        <w:tc>
          <w:tcPr>
            <w:tcW w:w="166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2.04%</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65,074</w:t>
            </w:r>
          </w:p>
        </w:tc>
        <w:tc>
          <w:tcPr>
            <w:tcW w:w="20" w:type="dxa"/>
            <w:vAlign w:val="bottom"/>
            <w:shd w:val="clear" w:color="auto" w:fill="E5FFFF"/>
          </w:tcPr>
          <w:p>
            <w:pPr>
              <w:spacing w:after="0"/>
              <w:rPr>
                <w:sz w:val="20"/>
                <w:szCs w:val="20"/>
                <w:color w:val="auto"/>
              </w:rPr>
            </w:pPr>
          </w:p>
        </w:tc>
        <w:tc>
          <w:tcPr>
            <w:tcW w:w="840" w:type="dxa"/>
            <w:vAlign w:val="bottom"/>
            <w:shd w:val="clear" w:color="auto" w:fill="E5FF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2"/>
          </w:tcPr>
          <w:p>
            <w:pPr>
              <w:ind w:left="280"/>
              <w:spacing w:after="0" w:line="156" w:lineRule="exact"/>
              <w:rPr>
                <w:sz w:val="20"/>
                <w:szCs w:val="20"/>
                <w:color w:val="auto"/>
              </w:rPr>
            </w:pPr>
            <w:r>
              <w:rPr>
                <w:rFonts w:ascii="Arial" w:cs="Arial" w:eastAsia="Arial" w:hAnsi="Arial"/>
                <w:sz w:val="16"/>
                <w:szCs w:val="16"/>
                <w:color w:val="auto"/>
              </w:rPr>
              <w:t>Commonwealth Bank</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560" w:type="dxa"/>
            <w:vAlign w:val="bottom"/>
            <w:gridSpan w:val="2"/>
          </w:tcPr>
          <w:p>
            <w:pPr>
              <w:spacing w:after="0"/>
              <w:rPr>
                <w:sz w:val="20"/>
                <w:szCs w:val="20"/>
                <w:color w:val="auto"/>
              </w:rPr>
            </w:pPr>
            <w:r>
              <w:rPr>
                <w:rFonts w:ascii="Arial" w:cs="Arial" w:eastAsia="Arial" w:hAnsi="Arial"/>
                <w:sz w:val="16"/>
                <w:szCs w:val="16"/>
                <w:color w:val="auto"/>
              </w:rPr>
              <w:t>GAS-nine Ltd.</w:t>
            </w:r>
            <w:r>
              <w:rPr>
                <w:rFonts w:ascii="Arial" w:cs="Arial" w:eastAsia="Arial" w:hAnsi="Arial"/>
                <w:sz w:val="8"/>
                <w:szCs w:val="8"/>
                <w:color w:val="auto"/>
              </w:rPr>
              <w:t>(1)</w:t>
            </w:r>
          </w:p>
        </w:tc>
        <w:tc>
          <w:tcPr>
            <w:tcW w:w="2340" w:type="dxa"/>
            <w:vAlign w:val="bottom"/>
            <w:gridSpan w:val="2"/>
          </w:tcPr>
          <w:p>
            <w:pPr>
              <w:ind w:left="280"/>
              <w:spacing w:after="0"/>
              <w:rPr>
                <w:sz w:val="20"/>
                <w:szCs w:val="20"/>
                <w:color w:val="auto"/>
              </w:rPr>
            </w:pPr>
            <w:r>
              <w:rPr>
                <w:rFonts w:ascii="Arial" w:cs="Arial" w:eastAsia="Arial" w:hAnsi="Arial"/>
                <w:sz w:val="16"/>
                <w:szCs w:val="16"/>
                <w:color w:val="auto"/>
              </w:rPr>
              <w:t>of Australia (“CBA”)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Dec 2014</w:t>
            </w:r>
          </w:p>
        </w:tc>
        <w:tc>
          <w:tcPr>
            <w:tcW w:w="280" w:type="dxa"/>
            <w:vAlign w:val="bottom"/>
          </w:tcPr>
          <w:p>
            <w:pPr>
              <w:spacing w:after="0"/>
              <w:rPr>
                <w:sz w:val="16"/>
                <w:szCs w:val="16"/>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Dec 2019</w:t>
            </w:r>
          </w:p>
        </w:tc>
        <w:tc>
          <w:tcPr>
            <w:tcW w:w="1660" w:type="dxa"/>
            <w:vAlign w:val="bottom"/>
            <w:gridSpan w:val="3"/>
          </w:tcPr>
          <w:p>
            <w:pPr>
              <w:jc w:val="right"/>
              <w:ind w:right="260"/>
              <w:spacing w:after="0"/>
              <w:rPr>
                <w:sz w:val="20"/>
                <w:szCs w:val="20"/>
                <w:color w:val="auto"/>
              </w:rPr>
            </w:pPr>
            <w:r>
              <w:rPr>
                <w:rFonts w:ascii="Arial" w:cs="Arial" w:eastAsia="Arial" w:hAnsi="Arial"/>
                <w:sz w:val="16"/>
                <w:szCs w:val="16"/>
                <w:color w:val="auto"/>
              </w:rPr>
              <w:t>2.23%</w:t>
            </w:r>
          </w:p>
        </w:tc>
        <w:tc>
          <w:tcPr>
            <w:tcW w:w="980" w:type="dxa"/>
            <w:vAlign w:val="bottom"/>
          </w:tcPr>
          <w:p>
            <w:pPr>
              <w:jc w:val="right"/>
              <w:spacing w:after="0"/>
              <w:rPr>
                <w:sz w:val="20"/>
                <w:szCs w:val="20"/>
                <w:color w:val="auto"/>
              </w:rPr>
            </w:pPr>
            <w:r>
              <w:rPr>
                <w:rFonts w:ascii="Arial" w:cs="Arial" w:eastAsia="Arial" w:hAnsi="Arial"/>
                <w:sz w:val="16"/>
                <w:szCs w:val="16"/>
                <w:color w:val="auto"/>
              </w:rPr>
              <w:t>59,024</w:t>
            </w:r>
          </w:p>
        </w:tc>
        <w:tc>
          <w:tcPr>
            <w:tcW w:w="20" w:type="dxa"/>
            <w:vAlign w:val="bottom"/>
          </w:tcPr>
          <w:p>
            <w:pPr>
              <w:spacing w:after="0"/>
              <w:rPr>
                <w:sz w:val="16"/>
                <w:szCs w:val="16"/>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GAS-nine Ltd.</w:t>
            </w:r>
            <w:r>
              <w:rPr>
                <w:rFonts w:ascii="Arial" w:cs="Arial" w:eastAsia="Arial" w:hAnsi="Arial"/>
                <w:sz w:val="8"/>
                <w:szCs w:val="8"/>
                <w:color w:val="auto"/>
              </w:rPr>
              <w:t>(1)</w:t>
            </w:r>
          </w:p>
        </w:tc>
        <w:tc>
          <w:tcPr>
            <w:tcW w:w="2340" w:type="dxa"/>
            <w:vAlign w:val="bottom"/>
            <w:gridSpan w:val="2"/>
            <w:shd w:val="clear" w:color="auto" w:fill="E5FFFF"/>
          </w:tcPr>
          <w:p>
            <w:pPr>
              <w:ind w:left="280"/>
              <w:spacing w:after="0"/>
              <w:rPr>
                <w:sz w:val="20"/>
                <w:szCs w:val="20"/>
                <w:color w:val="auto"/>
              </w:rPr>
            </w:pPr>
            <w:r>
              <w:rPr>
                <w:rFonts w:ascii="Arial" w:cs="Arial" w:eastAsia="Arial" w:hAnsi="Arial"/>
                <w:sz w:val="16"/>
                <w:szCs w:val="16"/>
                <w:color w:val="auto"/>
              </w:rPr>
              <w:t>DNB Bank ASA</w:t>
            </w: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Dec 2014</w:t>
            </w:r>
          </w:p>
        </w:tc>
        <w:tc>
          <w:tcPr>
            <w:tcW w:w="280" w:type="dxa"/>
            <w:vAlign w:val="bottom"/>
            <w:shd w:val="clear" w:color="auto" w:fill="E5FFFF"/>
          </w:tcPr>
          <w:p>
            <w:pPr>
              <w:spacing w:after="0"/>
              <w:rPr>
                <w:sz w:val="21"/>
                <w:szCs w:val="21"/>
                <w:color w:val="auto"/>
              </w:rPr>
            </w:pPr>
          </w:p>
        </w:tc>
        <w:tc>
          <w:tcPr>
            <w:tcW w:w="152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Dec 2019</w:t>
            </w:r>
          </w:p>
        </w:tc>
        <w:tc>
          <w:tcPr>
            <w:tcW w:w="166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2.24%</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59,024</w:t>
            </w:r>
          </w:p>
        </w:tc>
        <w:tc>
          <w:tcPr>
            <w:tcW w:w="20" w:type="dxa"/>
            <w:vAlign w:val="bottom"/>
            <w:shd w:val="clear" w:color="auto" w:fill="E5FFFF"/>
          </w:tcPr>
          <w:p>
            <w:pPr>
              <w:spacing w:after="0"/>
              <w:rPr>
                <w:sz w:val="21"/>
                <w:szCs w:val="21"/>
                <w:color w:val="auto"/>
              </w:rPr>
            </w:pPr>
          </w:p>
        </w:tc>
        <w:tc>
          <w:tcPr>
            <w:tcW w:w="840" w:type="dxa"/>
            <w:vAlign w:val="bottom"/>
            <w:shd w:val="clear" w:color="auto" w:fill="E5FF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2"/>
          </w:tcPr>
          <w:p>
            <w:pPr>
              <w:ind w:left="280"/>
              <w:spacing w:after="0" w:line="156" w:lineRule="exact"/>
              <w:rPr>
                <w:sz w:val="20"/>
                <w:szCs w:val="20"/>
                <w:color w:val="auto"/>
              </w:rPr>
            </w:pPr>
            <w:r>
              <w:rPr>
                <w:rFonts w:ascii="Arial" w:cs="Arial" w:eastAsia="Arial" w:hAnsi="Arial"/>
                <w:sz w:val="16"/>
                <w:szCs w:val="16"/>
                <w:color w:val="auto"/>
              </w:rPr>
              <w:t>Skandinavinska</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2"/>
          </w:tcPr>
          <w:p>
            <w:pPr>
              <w:ind w:left="280"/>
              <w:spacing w:after="0" w:line="176" w:lineRule="exact"/>
              <w:rPr>
                <w:sz w:val="20"/>
                <w:szCs w:val="20"/>
                <w:color w:val="auto"/>
              </w:rPr>
            </w:pPr>
            <w:r>
              <w:rPr>
                <w:rFonts w:ascii="Arial" w:cs="Arial" w:eastAsia="Arial" w:hAnsi="Arial"/>
                <w:sz w:val="16"/>
                <w:szCs w:val="16"/>
                <w:color w:val="auto"/>
              </w:rPr>
              <w:t>Enskilda Banken AB</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60" w:type="dxa"/>
            <w:vAlign w:val="bottom"/>
            <w:gridSpan w:val="2"/>
          </w:tcPr>
          <w:p>
            <w:pPr>
              <w:spacing w:after="0"/>
              <w:rPr>
                <w:sz w:val="20"/>
                <w:szCs w:val="20"/>
                <w:color w:val="auto"/>
              </w:rPr>
            </w:pPr>
            <w:r>
              <w:rPr>
                <w:rFonts w:ascii="Arial" w:cs="Arial" w:eastAsia="Arial" w:hAnsi="Arial"/>
                <w:sz w:val="16"/>
                <w:szCs w:val="16"/>
                <w:color w:val="auto"/>
              </w:rPr>
              <w:t>GAS-ten Ltd.</w:t>
            </w:r>
            <w:r>
              <w:rPr>
                <w:rFonts w:ascii="Arial" w:cs="Arial" w:eastAsia="Arial" w:hAnsi="Arial"/>
                <w:sz w:val="8"/>
                <w:szCs w:val="8"/>
                <w:color w:val="auto"/>
              </w:rPr>
              <w:t>(1)</w:t>
            </w:r>
          </w:p>
        </w:tc>
        <w:tc>
          <w:tcPr>
            <w:tcW w:w="2340" w:type="dxa"/>
            <w:vAlign w:val="bottom"/>
            <w:gridSpan w:val="2"/>
          </w:tcPr>
          <w:p>
            <w:pPr>
              <w:ind w:left="280"/>
              <w:spacing w:after="0"/>
              <w:rPr>
                <w:sz w:val="20"/>
                <w:szCs w:val="20"/>
                <w:color w:val="auto"/>
              </w:rPr>
            </w:pPr>
            <w:r>
              <w:rPr>
                <w:rFonts w:ascii="Arial" w:cs="Arial" w:eastAsia="Arial" w:hAnsi="Arial"/>
                <w:sz w:val="16"/>
                <w:szCs w:val="16"/>
                <w:color w:val="auto"/>
              </w:rPr>
              <w:t>(publ) (“SEB”)</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Feb 2015</w:t>
            </w:r>
          </w:p>
        </w:tc>
        <w:tc>
          <w:tcPr>
            <w:tcW w:w="280" w:type="dxa"/>
            <w:vAlign w:val="bottom"/>
          </w:tcPr>
          <w:p>
            <w:pPr>
              <w:spacing w:after="0"/>
              <w:rPr>
                <w:sz w:val="16"/>
                <w:szCs w:val="16"/>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Feb 2020</w:t>
            </w:r>
          </w:p>
        </w:tc>
        <w:tc>
          <w:tcPr>
            <w:tcW w:w="1660" w:type="dxa"/>
            <w:vAlign w:val="bottom"/>
            <w:gridSpan w:val="3"/>
          </w:tcPr>
          <w:p>
            <w:pPr>
              <w:jc w:val="right"/>
              <w:ind w:right="260"/>
              <w:spacing w:after="0"/>
              <w:rPr>
                <w:sz w:val="20"/>
                <w:szCs w:val="20"/>
                <w:color w:val="auto"/>
              </w:rPr>
            </w:pPr>
            <w:r>
              <w:rPr>
                <w:rFonts w:ascii="Arial" w:cs="Arial" w:eastAsia="Arial" w:hAnsi="Arial"/>
                <w:sz w:val="16"/>
                <w:szCs w:val="16"/>
                <w:color w:val="auto"/>
              </w:rPr>
              <w:t>2.25%</w:t>
            </w:r>
          </w:p>
        </w:tc>
        <w:tc>
          <w:tcPr>
            <w:tcW w:w="980" w:type="dxa"/>
            <w:vAlign w:val="bottom"/>
          </w:tcPr>
          <w:p>
            <w:pPr>
              <w:jc w:val="right"/>
              <w:spacing w:after="0"/>
              <w:rPr>
                <w:sz w:val="20"/>
                <w:szCs w:val="20"/>
                <w:color w:val="auto"/>
              </w:rPr>
            </w:pPr>
            <w:r>
              <w:rPr>
                <w:rFonts w:ascii="Arial" w:cs="Arial" w:eastAsia="Arial" w:hAnsi="Arial"/>
                <w:sz w:val="16"/>
                <w:szCs w:val="16"/>
                <w:color w:val="auto"/>
              </w:rPr>
              <w:t>59,893</w:t>
            </w:r>
          </w:p>
        </w:tc>
        <w:tc>
          <w:tcPr>
            <w:tcW w:w="20" w:type="dxa"/>
            <w:vAlign w:val="bottom"/>
          </w:tcPr>
          <w:p>
            <w:pPr>
              <w:spacing w:after="0"/>
              <w:rPr>
                <w:sz w:val="16"/>
                <w:szCs w:val="16"/>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GAS-ten Ltd.</w:t>
            </w:r>
            <w:r>
              <w:rPr>
                <w:rFonts w:ascii="Arial" w:cs="Arial" w:eastAsia="Arial" w:hAnsi="Arial"/>
                <w:sz w:val="8"/>
                <w:szCs w:val="8"/>
                <w:color w:val="auto"/>
              </w:rPr>
              <w:t>(1)</w:t>
            </w:r>
          </w:p>
        </w:tc>
        <w:tc>
          <w:tcPr>
            <w:tcW w:w="2340" w:type="dxa"/>
            <w:vAlign w:val="bottom"/>
            <w:gridSpan w:val="2"/>
            <w:shd w:val="clear" w:color="auto" w:fill="E5FFFF"/>
          </w:tcPr>
          <w:p>
            <w:pPr>
              <w:ind w:left="280"/>
              <w:spacing w:after="0"/>
              <w:rPr>
                <w:sz w:val="20"/>
                <w:szCs w:val="20"/>
                <w:color w:val="auto"/>
              </w:rPr>
            </w:pPr>
            <w:r>
              <w:rPr>
                <w:rFonts w:ascii="Arial" w:cs="Arial" w:eastAsia="Arial" w:hAnsi="Arial"/>
                <w:sz w:val="16"/>
                <w:szCs w:val="16"/>
                <w:color w:val="auto"/>
              </w:rPr>
              <w:t>ING Bank N.V.</w:t>
            </w: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May 2014</w:t>
            </w:r>
          </w:p>
        </w:tc>
        <w:tc>
          <w:tcPr>
            <w:tcW w:w="26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Feb 2015</w:t>
            </w:r>
          </w:p>
        </w:tc>
        <w:tc>
          <w:tcPr>
            <w:tcW w:w="280" w:type="dxa"/>
            <w:vAlign w:val="bottom"/>
            <w:shd w:val="clear" w:color="auto" w:fill="E5FFFF"/>
          </w:tcPr>
          <w:p>
            <w:pPr>
              <w:spacing w:after="0"/>
              <w:rPr>
                <w:sz w:val="21"/>
                <w:szCs w:val="21"/>
                <w:color w:val="auto"/>
              </w:rPr>
            </w:pPr>
          </w:p>
        </w:tc>
        <w:tc>
          <w:tcPr>
            <w:tcW w:w="152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Feb 2020</w:t>
            </w:r>
          </w:p>
        </w:tc>
        <w:tc>
          <w:tcPr>
            <w:tcW w:w="166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2.23%</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59,893</w:t>
            </w:r>
          </w:p>
        </w:tc>
        <w:tc>
          <w:tcPr>
            <w:tcW w:w="20" w:type="dxa"/>
            <w:vAlign w:val="bottom"/>
            <w:shd w:val="clear" w:color="auto" w:fill="E5FFFF"/>
          </w:tcPr>
          <w:p>
            <w:pPr>
              <w:spacing w:after="0"/>
              <w:rPr>
                <w:sz w:val="21"/>
                <w:szCs w:val="21"/>
                <w:color w:val="auto"/>
              </w:rPr>
            </w:pPr>
          </w:p>
        </w:tc>
        <w:tc>
          <w:tcPr>
            <w:tcW w:w="840" w:type="dxa"/>
            <w:vAlign w:val="bottom"/>
            <w:shd w:val="clear" w:color="auto" w:fill="E5FF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560" w:type="dxa"/>
            <w:vAlign w:val="bottom"/>
            <w:gridSpan w:val="2"/>
          </w:tcPr>
          <w:p>
            <w:pPr>
              <w:spacing w:after="0"/>
              <w:rPr>
                <w:sz w:val="20"/>
                <w:szCs w:val="20"/>
                <w:color w:val="auto"/>
              </w:rPr>
            </w:pPr>
            <w:r>
              <w:rPr>
                <w:rFonts w:ascii="Arial" w:cs="Arial" w:eastAsia="Arial" w:hAnsi="Arial"/>
                <w:sz w:val="16"/>
                <w:szCs w:val="16"/>
                <w:color w:val="auto"/>
              </w:rPr>
              <w:t>GAS-fifteen Ltd.</w:t>
            </w:r>
            <w:r>
              <w:rPr>
                <w:rFonts w:ascii="Arial" w:cs="Arial" w:eastAsia="Arial" w:hAnsi="Arial"/>
                <w:sz w:val="8"/>
                <w:szCs w:val="8"/>
                <w:color w:val="auto"/>
              </w:rPr>
              <w:t>(1)(2)</w:t>
            </w:r>
          </w:p>
        </w:tc>
        <w:tc>
          <w:tcPr>
            <w:tcW w:w="2340" w:type="dxa"/>
            <w:vAlign w:val="bottom"/>
            <w:gridSpan w:val="2"/>
          </w:tcPr>
          <w:p>
            <w:pPr>
              <w:ind w:left="280"/>
              <w:spacing w:after="0"/>
              <w:rPr>
                <w:sz w:val="20"/>
                <w:szCs w:val="20"/>
                <w:color w:val="auto"/>
              </w:rPr>
            </w:pPr>
            <w:r>
              <w:rPr>
                <w:rFonts w:ascii="Arial" w:cs="Arial" w:eastAsia="Arial" w:hAnsi="Arial"/>
                <w:sz w:val="16"/>
                <w:szCs w:val="16"/>
                <w:color w:val="auto"/>
              </w:rPr>
              <w:t>Citibank</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July 2014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Sept 2014</w:t>
            </w:r>
          </w:p>
        </w:tc>
        <w:tc>
          <w:tcPr>
            <w:tcW w:w="280" w:type="dxa"/>
            <w:vAlign w:val="bottom"/>
          </w:tcPr>
          <w:p>
            <w:pPr>
              <w:spacing w:after="0"/>
              <w:rPr>
                <w:sz w:val="21"/>
                <w:szCs w:val="21"/>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Sept 2018</w:t>
            </w:r>
          </w:p>
        </w:tc>
        <w:tc>
          <w:tcPr>
            <w:tcW w:w="1660" w:type="dxa"/>
            <w:vAlign w:val="bottom"/>
            <w:gridSpan w:val="3"/>
          </w:tcPr>
          <w:p>
            <w:pPr>
              <w:jc w:val="right"/>
              <w:ind w:right="260"/>
              <w:spacing w:after="0"/>
              <w:rPr>
                <w:sz w:val="20"/>
                <w:szCs w:val="20"/>
                <w:color w:val="auto"/>
              </w:rPr>
            </w:pPr>
            <w:r>
              <w:rPr>
                <w:rFonts w:ascii="Arial" w:cs="Arial" w:eastAsia="Arial" w:hAnsi="Arial"/>
                <w:sz w:val="16"/>
                <w:szCs w:val="16"/>
                <w:color w:val="auto"/>
              </w:rPr>
              <w:t>0.66%/2.89%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86,660</w:t>
            </w:r>
          </w:p>
        </w:tc>
        <w:tc>
          <w:tcPr>
            <w:tcW w:w="20" w:type="dxa"/>
            <w:vAlign w:val="bottom"/>
          </w:tcPr>
          <w:p>
            <w:pPr>
              <w:spacing w:after="0"/>
              <w:rPr>
                <w:sz w:val="21"/>
                <w:szCs w:val="21"/>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5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380" w:type="dxa"/>
            <w:vAlign w:val="bottom"/>
            <w:gridSpan w:val="2"/>
            <w:shd w:val="clear" w:color="auto" w:fill="E5FFFF"/>
          </w:tcPr>
          <w:p>
            <w:pPr>
              <w:ind w:left="76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389,568</w:t>
            </w:r>
          </w:p>
        </w:tc>
        <w:tc>
          <w:tcPr>
            <w:tcW w:w="2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ind w:left="5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80" w:right="160" w:hanging="200"/>
        <w:spacing w:after="0"/>
        <w:tabs>
          <w:tab w:leader="none" w:pos="280" w:val="left"/>
        </w:tabs>
        <w:numPr>
          <w:ilvl w:val="0"/>
          <w:numId w:val="119"/>
        </w:numPr>
        <w:rPr>
          <w:rFonts w:ascii="Arial" w:cs="Arial" w:eastAsia="Arial" w:hAnsi="Arial"/>
          <w:sz w:val="9"/>
          <w:szCs w:val="9"/>
          <w:color w:val="auto"/>
        </w:rPr>
      </w:pPr>
      <w:r>
        <w:rPr>
          <w:rFonts w:ascii="Arial" w:cs="Arial" w:eastAsia="Arial" w:hAnsi="Arial"/>
          <w:sz w:val="16"/>
          <w:szCs w:val="16"/>
          <w:color w:val="auto"/>
        </w:rPr>
        <w:t>In July 2016, the Group terminated these interest rate swap agreements associated with the six legacy facilities that were refinanced by the Legacy Facility Refinancing (Note 13) paying their fair value on that date. The cumulative loss of $12,953 from the period that hedging was effective was recycled to profit or loss during the year ended December 31, 2016.</w:t>
      </w:r>
    </w:p>
    <w:p>
      <w:pPr>
        <w:spacing w:after="0" w:line="69" w:lineRule="exact"/>
        <w:rPr>
          <w:rFonts w:ascii="Arial" w:cs="Arial" w:eastAsia="Arial" w:hAnsi="Arial"/>
          <w:sz w:val="9"/>
          <w:szCs w:val="9"/>
          <w:color w:val="auto"/>
        </w:rPr>
      </w:pPr>
    </w:p>
    <w:p>
      <w:pPr>
        <w:ind w:left="280" w:hanging="200"/>
        <w:spacing w:after="0"/>
        <w:tabs>
          <w:tab w:leader="none" w:pos="280" w:val="left"/>
        </w:tabs>
        <w:numPr>
          <w:ilvl w:val="0"/>
          <w:numId w:val="119"/>
        </w:numPr>
        <w:rPr>
          <w:rFonts w:ascii="Arial" w:cs="Arial" w:eastAsia="Arial" w:hAnsi="Arial"/>
          <w:sz w:val="9"/>
          <w:szCs w:val="9"/>
          <w:color w:val="auto"/>
        </w:rPr>
      </w:pPr>
      <w:r>
        <w:rPr>
          <w:rFonts w:ascii="Arial" w:cs="Arial" w:eastAsia="Arial" w:hAnsi="Arial"/>
          <w:sz w:val="16"/>
          <w:szCs w:val="16"/>
          <w:color w:val="auto"/>
        </w:rPr>
        <w:t>The fixed interest rate was agreed at 0.66% until September 2016 and at 2.89% from September 2016 to September 2018.</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derivative instruments listed above qualified as cash flow hedging instruments for accounting purposes as of December 31, 2015.</w:t>
      </w:r>
    </w:p>
    <w:p>
      <w:pPr>
        <w:spacing w:after="0" w:line="131"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For the year ended December 31, 2016, the effective portion of changes in the fair value of derivatives designated as cash flow hedging instruments amounting to a loss of $7,550 has been recognized in Other comprehensive income (December 31, 2015: $7,279, December 31, 2014: $9,885). For the year ended December 31, 2016, a loss of $2,628, was recycled to profit or loss representing the realized loss on interest rate swaps in relation to the interest expenses component of the hedge (December 31, 2015: $6,300, December 31, 2014: $3,370).</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b w:val="1"/>
          <w:bCs w:val="1"/>
          <w:i w:val="1"/>
          <w:iCs w:val="1"/>
          <w:color w:val="auto"/>
        </w:rPr>
        <w:t>Interest rate swaps held for trading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principal terms of the interest rate swaps held for trading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6"/>
                <w:szCs w:val="16"/>
                <w:b w:val="1"/>
                <w:bCs w:val="1"/>
                <w:color w:val="auto"/>
              </w:rPr>
              <w:t>Notional Amount</w:t>
            </w:r>
          </w:p>
        </w:tc>
      </w:tr>
      <w:tr>
        <w:trPr>
          <w:trHeight w:val="145"/>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auto"/>
                <w:w w:val="85"/>
              </w:rPr>
              <w:t>December</w:t>
            </w:r>
          </w:p>
        </w:tc>
      </w:tr>
      <w:tr>
        <w:trPr>
          <w:trHeight w:val="176"/>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8"/>
              <w:spacing w:after="0" w:line="176" w:lineRule="exact"/>
              <w:rPr>
                <w:sz w:val="20"/>
                <w:szCs w:val="20"/>
                <w:color w:val="auto"/>
              </w:rPr>
            </w:pPr>
            <w:r>
              <w:rPr>
                <w:rFonts w:ascii="Arial" w:cs="Arial" w:eastAsia="Arial" w:hAnsi="Arial"/>
                <w:sz w:val="16"/>
                <w:szCs w:val="16"/>
                <w:b w:val="1"/>
                <w:bCs w:val="1"/>
                <w:color w:val="auto"/>
              </w:rPr>
              <w:t>Trade</w:t>
            </w:r>
          </w:p>
        </w:tc>
        <w:tc>
          <w:tcPr>
            <w:tcW w:w="280" w:type="dxa"/>
            <w:vAlign w:val="bottom"/>
          </w:tcPr>
          <w:p>
            <w:pPr>
              <w:spacing w:after="0"/>
              <w:rPr>
                <w:sz w:val="15"/>
                <w:szCs w:val="15"/>
                <w:color w:val="auto"/>
              </w:rPr>
            </w:pPr>
          </w:p>
        </w:tc>
        <w:tc>
          <w:tcPr>
            <w:tcW w:w="760" w:type="dxa"/>
            <w:vAlign w:val="bottom"/>
          </w:tcPr>
          <w:p>
            <w:pPr>
              <w:jc w:val="right"/>
              <w:ind w:right="8"/>
              <w:spacing w:after="0" w:line="176" w:lineRule="exact"/>
              <w:rPr>
                <w:sz w:val="20"/>
                <w:szCs w:val="20"/>
                <w:color w:val="auto"/>
              </w:rPr>
            </w:pPr>
            <w:r>
              <w:rPr>
                <w:rFonts w:ascii="Arial" w:cs="Arial" w:eastAsia="Arial" w:hAnsi="Arial"/>
                <w:sz w:val="16"/>
                <w:szCs w:val="16"/>
                <w:b w:val="1"/>
                <w:bCs w:val="1"/>
                <w:color w:val="auto"/>
                <w:w w:val="98"/>
              </w:rPr>
              <w:t>Effective</w:t>
            </w:r>
          </w:p>
        </w:tc>
        <w:tc>
          <w:tcPr>
            <w:tcW w:w="260" w:type="dxa"/>
            <w:vAlign w:val="bottom"/>
          </w:tcPr>
          <w:p>
            <w:pPr>
              <w:spacing w:after="0"/>
              <w:rPr>
                <w:sz w:val="15"/>
                <w:szCs w:val="15"/>
                <w:color w:val="auto"/>
              </w:rPr>
            </w:pPr>
          </w:p>
        </w:tc>
        <w:tc>
          <w:tcPr>
            <w:tcW w:w="1800" w:type="dxa"/>
            <w:vAlign w:val="bottom"/>
          </w:tcPr>
          <w:p>
            <w:pPr>
              <w:jc w:val="right"/>
              <w:ind w:right="108"/>
              <w:spacing w:after="0" w:line="176" w:lineRule="exact"/>
              <w:rPr>
                <w:sz w:val="20"/>
                <w:szCs w:val="20"/>
                <w:color w:val="auto"/>
              </w:rPr>
            </w:pPr>
            <w:r>
              <w:rPr>
                <w:rFonts w:ascii="Arial" w:cs="Arial" w:eastAsia="Arial" w:hAnsi="Arial"/>
                <w:sz w:val="16"/>
                <w:szCs w:val="16"/>
                <w:b w:val="1"/>
                <w:bCs w:val="1"/>
                <w:color w:val="auto"/>
              </w:rPr>
              <w:t>Original Termination</w:t>
            </w:r>
          </w:p>
        </w:tc>
        <w:tc>
          <w:tcPr>
            <w:tcW w:w="280" w:type="dxa"/>
            <w:vAlign w:val="bottom"/>
          </w:tcPr>
          <w:p>
            <w:pPr>
              <w:spacing w:after="0"/>
              <w:rPr>
                <w:sz w:val="15"/>
                <w:szCs w:val="15"/>
                <w:color w:val="auto"/>
              </w:rPr>
            </w:pPr>
          </w:p>
        </w:tc>
        <w:tc>
          <w:tcPr>
            <w:tcW w:w="1460" w:type="dxa"/>
            <w:vAlign w:val="bottom"/>
            <w:gridSpan w:val="2"/>
          </w:tcPr>
          <w:p>
            <w:pPr>
              <w:ind w:left="120"/>
              <w:spacing w:after="0" w:line="176" w:lineRule="exact"/>
              <w:rPr>
                <w:sz w:val="20"/>
                <w:szCs w:val="20"/>
                <w:color w:val="auto"/>
              </w:rPr>
            </w:pPr>
            <w:r>
              <w:rPr>
                <w:rFonts w:ascii="Arial" w:cs="Arial" w:eastAsia="Arial" w:hAnsi="Arial"/>
                <w:sz w:val="16"/>
                <w:szCs w:val="16"/>
                <w:b w:val="1"/>
                <w:bCs w:val="1"/>
                <w:color w:val="auto"/>
              </w:rPr>
              <w:t>Fixed Interest</w:t>
            </w:r>
          </w:p>
        </w:tc>
        <w:tc>
          <w:tcPr>
            <w:tcW w:w="1180" w:type="dxa"/>
            <w:vAlign w:val="bottom"/>
          </w:tcPr>
          <w:p>
            <w:pPr>
              <w:jc w:val="right"/>
              <w:ind w:right="48"/>
              <w:spacing w:after="0" w:line="176" w:lineRule="exact"/>
              <w:rPr>
                <w:sz w:val="20"/>
                <w:szCs w:val="20"/>
                <w:color w:val="auto"/>
              </w:rPr>
            </w:pPr>
            <w:r>
              <w:rPr>
                <w:rFonts w:ascii="Arial" w:cs="Arial" w:eastAsia="Arial" w:hAnsi="Arial"/>
                <w:sz w:val="16"/>
                <w:szCs w:val="16"/>
                <w:b w:val="1"/>
                <w:bCs w:val="1"/>
                <w:color w:val="auto"/>
                <w:w w:val="99"/>
              </w:rPr>
              <w:t>December 31,</w:t>
            </w:r>
          </w:p>
        </w:tc>
        <w:tc>
          <w:tcPr>
            <w:tcW w:w="980" w:type="dxa"/>
            <w:vAlign w:val="bottom"/>
            <w:gridSpan w:val="2"/>
          </w:tcPr>
          <w:p>
            <w:pPr>
              <w:jc w:val="right"/>
              <w:ind w:right="168"/>
              <w:spacing w:after="0" w:line="176" w:lineRule="exact"/>
              <w:rPr>
                <w:sz w:val="20"/>
                <w:szCs w:val="20"/>
                <w:color w:val="auto"/>
              </w:rPr>
            </w:pPr>
            <w:r>
              <w:rPr>
                <w:rFonts w:ascii="Arial" w:cs="Arial" w:eastAsia="Arial" w:hAnsi="Arial"/>
                <w:sz w:val="16"/>
                <w:szCs w:val="16"/>
                <w:b w:val="1"/>
                <w:bCs w:val="1"/>
                <w:color w:val="auto"/>
              </w:rPr>
              <w:t>31,</w:t>
            </w:r>
          </w:p>
        </w:tc>
      </w:tr>
      <w:tr>
        <w:trPr>
          <w:trHeight w:val="199"/>
        </w:trPr>
        <w:tc>
          <w:tcPr>
            <w:tcW w:w="15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Subsidiary</w:t>
            </w:r>
          </w:p>
        </w:tc>
        <w:tc>
          <w:tcPr>
            <w:tcW w:w="260" w:type="dxa"/>
            <w:vAlign w:val="bottom"/>
          </w:tcPr>
          <w:p>
            <w:pPr>
              <w:spacing w:after="0"/>
              <w:rPr>
                <w:sz w:val="17"/>
                <w:szCs w:val="17"/>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Counterparty</w:t>
            </w:r>
          </w:p>
        </w:tc>
        <w:tc>
          <w:tcPr>
            <w:tcW w:w="260" w:type="dxa"/>
            <w:vAlign w:val="bottom"/>
          </w:tcPr>
          <w:p>
            <w:pPr>
              <w:spacing w:after="0"/>
              <w:rPr>
                <w:sz w:val="17"/>
                <w:szCs w:val="17"/>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Date</w:t>
            </w: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Date</w:t>
            </w:r>
          </w:p>
        </w:tc>
        <w:tc>
          <w:tcPr>
            <w:tcW w:w="260" w:type="dxa"/>
            <w:vAlign w:val="bottom"/>
          </w:tcPr>
          <w:p>
            <w:pPr>
              <w:spacing w:after="0"/>
              <w:rPr>
                <w:sz w:val="17"/>
                <w:szCs w:val="17"/>
                <w:color w:val="auto"/>
              </w:rPr>
            </w:pP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6"/>
                <w:szCs w:val="16"/>
                <w:b w:val="1"/>
                <w:bCs w:val="1"/>
                <w:color w:val="auto"/>
              </w:rPr>
              <w:t>Date</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Rate</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2016</w:t>
            </w:r>
          </w:p>
        </w:tc>
      </w:tr>
      <w:tr>
        <w:trPr>
          <w:trHeight w:val="237"/>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shd w:val="clear" w:color="auto" w:fill="E5FFFF"/>
          </w:tcPr>
          <w:p>
            <w:pPr>
              <w:spacing w:after="0"/>
              <w:rPr>
                <w:sz w:val="20"/>
                <w:szCs w:val="20"/>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SEB</w:t>
            </w:r>
          </w:p>
        </w:tc>
        <w:tc>
          <w:tcPr>
            <w:tcW w:w="260" w:type="dxa"/>
            <w:vAlign w:val="bottom"/>
            <w:shd w:val="clear" w:color="auto" w:fill="E5FFFF"/>
          </w:tcPr>
          <w:p>
            <w:pPr>
              <w:spacing w:after="0"/>
              <w:rPr>
                <w:sz w:val="20"/>
                <w:szCs w:val="20"/>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Feb 2012</w:t>
            </w:r>
          </w:p>
        </w:tc>
        <w:tc>
          <w:tcPr>
            <w:tcW w:w="280" w:type="dxa"/>
            <w:vAlign w:val="bottom"/>
            <w:shd w:val="clear" w:color="auto" w:fill="E5FFFF"/>
          </w:tcPr>
          <w:p>
            <w:pPr>
              <w:spacing w:after="0"/>
              <w:rPr>
                <w:sz w:val="20"/>
                <w:szCs w:val="20"/>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shd w:val="clear" w:color="auto" w:fill="E5FFFF"/>
          </w:tcPr>
          <w:p>
            <w:pPr>
              <w:spacing w:after="0"/>
              <w:rPr>
                <w:sz w:val="20"/>
                <w:szCs w:val="20"/>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2.26%</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39,263</w:t>
            </w:r>
          </w:p>
        </w:tc>
        <w:tc>
          <w:tcPr>
            <w:tcW w:w="300" w:type="dxa"/>
            <w:vAlign w:val="bottom"/>
            <w:shd w:val="clear" w:color="auto" w:fill="E5FFFF"/>
          </w:tcPr>
          <w:p>
            <w:pPr>
              <w:spacing w:after="0"/>
              <w:rPr>
                <w:sz w:val="20"/>
                <w:szCs w:val="20"/>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ING Bank N.V.</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Feb 2012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2.26%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39,263</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SEB</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May 2012</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2.05%</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12,636</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ING Bank N.V.</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May 2012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2.05%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12,636</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DNB Bank ASA</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May 2012</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2.05%</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12,636</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GAS-eight Ltd.</w:t>
            </w:r>
            <w:r>
              <w:rPr>
                <w:rFonts w:ascii="Arial" w:cs="Arial" w:eastAsia="Arial" w:hAnsi="Arial"/>
                <w:sz w:val="8"/>
                <w:szCs w:val="8"/>
                <w:color w:val="auto"/>
              </w:rPr>
              <w:t>(1)</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CBA</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May 2012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Mar 2014</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Mar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2.06%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12,636</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GAS-one Ltd.</w:t>
            </w:r>
            <w:r>
              <w:rPr>
                <w:rFonts w:ascii="Arial" w:cs="Arial" w:eastAsia="Arial" w:hAnsi="Arial"/>
                <w:sz w:val="8"/>
                <w:szCs w:val="8"/>
                <w:color w:val="auto"/>
              </w:rPr>
              <w:t>(1)(2)</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Danish Ship Finance</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Oct 2011</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Nov 2011</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May 2020</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2.10%</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64,095</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GAS-one Ltd.</w:t>
            </w:r>
            <w:r>
              <w:rPr>
                <w:rFonts w:ascii="Arial" w:cs="Arial" w:eastAsia="Arial" w:hAnsi="Arial"/>
                <w:sz w:val="8"/>
                <w:szCs w:val="8"/>
                <w:color w:val="auto"/>
              </w:rPr>
              <w:t>(1)(2)</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Danish Ship Finance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June 2013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Aug 2013</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May 2020</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2.03%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55,554</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GAS-six Ltd.</w:t>
            </w:r>
            <w:r>
              <w:rPr>
                <w:rFonts w:ascii="Arial" w:cs="Arial" w:eastAsia="Arial" w:hAnsi="Arial"/>
                <w:sz w:val="8"/>
                <w:szCs w:val="8"/>
                <w:color w:val="auto"/>
              </w:rPr>
              <w:t>(1)(2)</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ABN-AMRO Bank</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May 2012</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2013</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2019</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1.72%</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55,096</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GAS-seven Ltd.</w:t>
            </w:r>
            <w:r>
              <w:rPr>
                <w:rFonts w:ascii="Arial" w:cs="Arial" w:eastAsia="Arial" w:hAnsi="Arial"/>
                <w:sz w:val="8"/>
                <w:szCs w:val="8"/>
                <w:color w:val="auto"/>
              </w:rPr>
              <w:t>(1)(2)</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Credit Suisse AG</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Mar 2012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Nov 2013</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Nov 2020</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2.23%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96,000</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GAS-seven Ltd.</w:t>
            </w:r>
            <w:r>
              <w:rPr>
                <w:rFonts w:ascii="Arial" w:cs="Arial" w:eastAsia="Arial" w:hAnsi="Arial"/>
                <w:sz w:val="8"/>
                <w:szCs w:val="8"/>
                <w:color w:val="auto"/>
              </w:rPr>
              <w:t>(1)(2)</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Credit Suisse AG</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April 2014</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May 2014</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May 2019</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1.77%</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32,000</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GAS-two Ltd.</w:t>
            </w:r>
            <w:r>
              <w:rPr>
                <w:rFonts w:ascii="Arial" w:cs="Arial" w:eastAsia="Arial" w:hAnsi="Arial"/>
                <w:sz w:val="8"/>
                <w:szCs w:val="8"/>
                <w:color w:val="auto"/>
              </w:rPr>
              <w:t>(1)(2)</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CBA</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Sept 2013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Feb 2014</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April 2018</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1.69%</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28,333</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GAS-two Ltd.</w:t>
            </w:r>
            <w:r>
              <w:rPr>
                <w:rFonts w:ascii="Arial" w:cs="Arial" w:eastAsia="Arial" w:hAnsi="Arial"/>
                <w:sz w:val="8"/>
                <w:szCs w:val="8"/>
                <w:color w:val="auto"/>
              </w:rPr>
              <w:t>(1)(2)</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DNB Bank ASA</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Sept 2013</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Feb 2014</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April 2018</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1.69%</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28,333</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GAS-two Ltd.</w:t>
            </w:r>
            <w:r>
              <w:rPr>
                <w:rFonts w:ascii="Arial" w:cs="Arial" w:eastAsia="Arial" w:hAnsi="Arial"/>
                <w:sz w:val="8"/>
                <w:szCs w:val="8"/>
                <w:color w:val="auto"/>
              </w:rPr>
              <w:t>(1)(2)</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SEB</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Sept 2013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Feb 2014</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April 2018</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1.66%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28,333</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Deutsche Bank AG</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2020</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1.98%</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Deutsche Bank AG</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1.98%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Deutsche Bank AG</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2022</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1.98%</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DNB Bank ASA</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2020</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1.784%</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73,333</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DNB Bank ASA</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2021</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1.729%</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73,333</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DNB Bank ASA</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2022</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1.719%</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73,333</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HSBC Bank Plc</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2020</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1.896%</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33,333</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HSBC Bank Plc</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1.818%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33,333</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HSBC Bank Plc</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2022</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1.79%</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33,333</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Nordea Bank Finland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2020</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1.905%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Nordea Bank Finland</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2021</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1.84%</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Nordea Bank Finland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2022</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1.815%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66,667</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SEB</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2020</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1.928%</w:t>
            </w:r>
          </w:p>
        </w:tc>
        <w:tc>
          <w:tcPr>
            <w:tcW w:w="11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50,000</w:t>
            </w:r>
          </w:p>
        </w:tc>
      </w:tr>
      <w:tr>
        <w:trPr>
          <w:trHeight w:val="243"/>
        </w:trPr>
        <w:tc>
          <w:tcPr>
            <w:tcW w:w="1500" w:type="dxa"/>
            <w:vAlign w:val="bottom"/>
            <w:gridSpan w:val="2"/>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SEB</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July 2021</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color w:val="auto"/>
              </w:rPr>
              <w:t>1.8405%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50,000</w:t>
            </w:r>
          </w:p>
        </w:tc>
      </w:tr>
      <w:tr>
        <w:trPr>
          <w:trHeight w:val="243"/>
        </w:trPr>
        <w:tc>
          <w:tcPr>
            <w:tcW w:w="150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GasLog</w:t>
            </w:r>
            <w:r>
              <w:rPr>
                <w:rFonts w:ascii="Arial" w:cs="Arial" w:eastAsia="Arial" w:hAnsi="Arial"/>
                <w:sz w:val="8"/>
                <w:szCs w:val="8"/>
                <w:color w:val="auto"/>
              </w:rPr>
              <w:t>(3)</w:t>
            </w:r>
          </w:p>
        </w:tc>
        <w:tc>
          <w:tcPr>
            <w:tcW w:w="260" w:type="dxa"/>
            <w:vAlign w:val="bottom"/>
            <w:shd w:val="clear" w:color="auto" w:fill="E5FFFF"/>
          </w:tcPr>
          <w:p>
            <w:pPr>
              <w:spacing w:after="0"/>
              <w:rPr>
                <w:sz w:val="21"/>
                <w:szCs w:val="21"/>
                <w:color w:val="auto"/>
              </w:rPr>
            </w:pPr>
          </w:p>
        </w:tc>
        <w:tc>
          <w:tcPr>
            <w:tcW w:w="1620" w:type="dxa"/>
            <w:vAlign w:val="bottom"/>
            <w:shd w:val="clear" w:color="auto" w:fill="E5FFFF"/>
          </w:tcPr>
          <w:p>
            <w:pPr>
              <w:spacing w:after="0"/>
              <w:rPr>
                <w:sz w:val="20"/>
                <w:szCs w:val="20"/>
                <w:color w:val="auto"/>
              </w:rPr>
            </w:pPr>
            <w:r>
              <w:rPr>
                <w:rFonts w:ascii="Arial" w:cs="Arial" w:eastAsia="Arial" w:hAnsi="Arial"/>
                <w:sz w:val="14"/>
                <w:szCs w:val="14"/>
                <w:color w:val="auto"/>
              </w:rPr>
              <w:t>SEB</w:t>
            </w:r>
          </w:p>
        </w:tc>
        <w:tc>
          <w:tcPr>
            <w:tcW w:w="26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July 2016</w:t>
            </w:r>
          </w:p>
        </w:tc>
        <w:tc>
          <w:tcPr>
            <w:tcW w:w="260" w:type="dxa"/>
            <w:vAlign w:val="bottom"/>
            <w:shd w:val="clear" w:color="auto" w:fill="E5FFFF"/>
          </w:tcPr>
          <w:p>
            <w:pPr>
              <w:spacing w:after="0"/>
              <w:rPr>
                <w:sz w:val="21"/>
                <w:szCs w:val="21"/>
                <w:color w:val="auto"/>
              </w:rPr>
            </w:pPr>
          </w:p>
        </w:tc>
        <w:tc>
          <w:tcPr>
            <w:tcW w:w="1800" w:type="dxa"/>
            <w:vAlign w:val="bottom"/>
            <w:shd w:val="clear" w:color="auto" w:fill="E5FFFF"/>
          </w:tcPr>
          <w:p>
            <w:pPr>
              <w:jc w:val="right"/>
              <w:ind w:right="68"/>
              <w:spacing w:after="0"/>
              <w:rPr>
                <w:sz w:val="20"/>
                <w:szCs w:val="20"/>
                <w:color w:val="auto"/>
              </w:rPr>
            </w:pPr>
            <w:r>
              <w:rPr>
                <w:rFonts w:ascii="Arial" w:cs="Arial" w:eastAsia="Arial" w:hAnsi="Arial"/>
                <w:sz w:val="14"/>
                <w:szCs w:val="14"/>
                <w:color w:val="auto"/>
              </w:rPr>
              <w:t>July 2022</w:t>
            </w:r>
          </w:p>
        </w:tc>
        <w:tc>
          <w:tcPr>
            <w:tcW w:w="17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1.814%</w:t>
            </w:r>
          </w:p>
        </w:tc>
        <w:tc>
          <w:tcPr>
            <w:tcW w:w="11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50,000</w:t>
            </w:r>
          </w:p>
        </w:tc>
      </w:tr>
      <w:tr>
        <w:trPr>
          <w:trHeight w:val="250"/>
        </w:trPr>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86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516,814</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870,000</w:t>
            </w: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1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142" w:lineRule="exact"/>
        <w:rPr>
          <w:sz w:val="20"/>
          <w:szCs w:val="20"/>
          <w:color w:val="auto"/>
        </w:rPr>
      </w:pPr>
    </w:p>
    <w:p>
      <w:pPr>
        <w:ind w:left="280" w:right="160" w:hanging="200"/>
        <w:spacing w:after="0" w:line="251" w:lineRule="auto"/>
        <w:tabs>
          <w:tab w:leader="none" w:pos="280" w:val="left"/>
        </w:tabs>
        <w:numPr>
          <w:ilvl w:val="0"/>
          <w:numId w:val="120"/>
        </w:numPr>
        <w:rPr>
          <w:rFonts w:ascii="Arial" w:cs="Arial" w:eastAsia="Arial" w:hAnsi="Arial"/>
          <w:sz w:val="9"/>
          <w:szCs w:val="9"/>
          <w:color w:val="auto"/>
        </w:rPr>
      </w:pPr>
      <w:r>
        <w:rPr>
          <w:rFonts w:ascii="Arial" w:cs="Arial" w:eastAsia="Arial" w:hAnsi="Arial"/>
          <w:sz w:val="16"/>
          <w:szCs w:val="16"/>
          <w:color w:val="auto"/>
        </w:rPr>
        <w:t>In July 2016, the Group terminated these interest rate swap agreements associated with the six legacy facilities that were refinanced by the Legacy Facility Refinancing (Note 13) paying their fair value on that date.</w:t>
      </w:r>
    </w:p>
    <w:p>
      <w:pPr>
        <w:spacing w:after="0" w:line="60" w:lineRule="exact"/>
        <w:rPr>
          <w:rFonts w:ascii="Arial" w:cs="Arial" w:eastAsia="Arial" w:hAnsi="Arial"/>
          <w:sz w:val="9"/>
          <w:szCs w:val="9"/>
          <w:color w:val="auto"/>
        </w:rPr>
      </w:pPr>
    </w:p>
    <w:p>
      <w:pPr>
        <w:ind w:left="280" w:right="260" w:hanging="200"/>
        <w:spacing w:after="0" w:line="251" w:lineRule="auto"/>
        <w:tabs>
          <w:tab w:leader="none" w:pos="280" w:val="left"/>
        </w:tabs>
        <w:numPr>
          <w:ilvl w:val="0"/>
          <w:numId w:val="120"/>
        </w:numPr>
        <w:rPr>
          <w:rFonts w:ascii="Arial" w:cs="Arial" w:eastAsia="Arial" w:hAnsi="Arial"/>
          <w:sz w:val="9"/>
          <w:szCs w:val="9"/>
          <w:color w:val="auto"/>
        </w:rPr>
      </w:pPr>
      <w:r>
        <w:rPr>
          <w:rFonts w:ascii="Arial" w:cs="Arial" w:eastAsia="Arial" w:hAnsi="Arial"/>
          <w:sz w:val="16"/>
          <w:szCs w:val="16"/>
          <w:color w:val="auto"/>
        </w:rPr>
        <w:t>During the year ended December 31, 2016, the amount of the cumulative loss from the period that these hedges were effective that was recycled to profit or loss was $4,978 (December 31, 2015: $1,129).</w:t>
      </w:r>
    </w:p>
    <w:p>
      <w:pPr>
        <w:spacing w:after="0" w:line="60" w:lineRule="exact"/>
        <w:rPr>
          <w:rFonts w:ascii="Arial" w:cs="Arial" w:eastAsia="Arial" w:hAnsi="Arial"/>
          <w:sz w:val="9"/>
          <w:szCs w:val="9"/>
          <w:color w:val="auto"/>
        </w:rPr>
      </w:pPr>
    </w:p>
    <w:p>
      <w:pPr>
        <w:ind w:left="280" w:hanging="200"/>
        <w:spacing w:after="0"/>
        <w:tabs>
          <w:tab w:leader="none" w:pos="280" w:val="left"/>
        </w:tabs>
        <w:numPr>
          <w:ilvl w:val="0"/>
          <w:numId w:val="120"/>
        </w:numPr>
        <w:rPr>
          <w:rFonts w:ascii="Arial" w:cs="Arial" w:eastAsia="Arial" w:hAnsi="Arial"/>
          <w:sz w:val="9"/>
          <w:szCs w:val="9"/>
          <w:color w:val="auto"/>
        </w:rPr>
      </w:pPr>
      <w:r>
        <w:rPr>
          <w:rFonts w:ascii="Arial" w:cs="Arial" w:eastAsia="Arial" w:hAnsi="Arial"/>
          <w:sz w:val="16"/>
          <w:szCs w:val="16"/>
          <w:color w:val="auto"/>
        </w:rPr>
        <w:t>In July 2016, GasLog entered into new interest rate swap agreements with a notional value of $870,000 in aggregate, maturing between 2020 and 2022.</w:t>
      </w:r>
    </w:p>
    <w:p>
      <w:pPr>
        <w:spacing w:after="0" w:line="106"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The derivative instruments listed above were not designated as cash flow hedging instruments. The change in the fair value of these contracts for the year ended December 31, 2016 amounted to a net gain of $18,448 (December 31, 2015: $149 loss, December 31, 2014: $7,873 loss), which was recognized against profit or loss in the period incurred and is included in Loss on swaps. During the year ended December 31, 2016, the net gain of $18,448 derived mainly from the fact that the LIBOR yield curve, which was used to calculate the present value of the estimated future cash flows, was higher than the agreed fixed interest rates resulting in a decrease in derivative liabilities from interest rate swaps held for trading.</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1" w:name="page192"/>
    <w:bookmarkEnd w:id="191"/>
    <w:p>
      <w:pPr>
        <w:spacing w:after="0"/>
        <w:rPr>
          <w:sz w:val="20"/>
          <w:szCs w:val="20"/>
          <w:color w:val="auto"/>
        </w:rPr>
      </w:pPr>
      <w:r>
        <w:rPr>
          <w:rFonts w:ascii="Arial" w:cs="Arial" w:eastAsia="Arial" w:hAnsi="Arial"/>
          <w:sz w:val="19"/>
          <w:szCs w:val="19"/>
          <w:b w:val="1"/>
          <w:bCs w:val="1"/>
          <w:color w:val="auto"/>
        </w:rPr>
        <w:t>Cross currency swap agreements</w:t>
      </w:r>
    </w:p>
    <w:p>
      <w:pPr>
        <w:spacing w:after="0" w:line="125" w:lineRule="exact"/>
        <w:rPr>
          <w:sz w:val="20"/>
          <w:szCs w:val="20"/>
          <w:color w:val="auto"/>
        </w:rPr>
      </w:pPr>
    </w:p>
    <w:p>
      <w:pPr>
        <w:ind w:right="260" w:firstLine="357"/>
        <w:spacing w:after="0" w:line="344" w:lineRule="auto"/>
        <w:rPr>
          <w:sz w:val="20"/>
          <w:szCs w:val="20"/>
          <w:color w:val="auto"/>
        </w:rPr>
      </w:pPr>
      <w:r>
        <w:rPr>
          <w:rFonts w:ascii="Arial" w:cs="Arial" w:eastAsia="Arial" w:hAnsi="Arial"/>
          <w:sz w:val="17"/>
          <w:szCs w:val="17"/>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Bonds.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CCSs qualified as cash flow hedging instruments for accounting purposes.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principal terms of the CCSs designated as cash flow hedging instruments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Trade</w:t>
            </w:r>
          </w:p>
        </w:tc>
        <w:tc>
          <w:tcPr>
            <w:tcW w:w="260" w:type="dxa"/>
            <w:vAlign w:val="bottom"/>
          </w:tcPr>
          <w:p>
            <w:pPr>
              <w:spacing w:after="0"/>
              <w:rPr>
                <w:sz w:val="17"/>
                <w:szCs w:val="17"/>
                <w:color w:val="auto"/>
              </w:rPr>
            </w:pPr>
          </w:p>
        </w:tc>
        <w:tc>
          <w:tcPr>
            <w:tcW w:w="8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Effective</w:t>
            </w:r>
          </w:p>
        </w:tc>
        <w:tc>
          <w:tcPr>
            <w:tcW w:w="260" w:type="dxa"/>
            <w:vAlign w:val="bottom"/>
          </w:tcPr>
          <w:p>
            <w:pPr>
              <w:spacing w:after="0"/>
              <w:rPr>
                <w:sz w:val="17"/>
                <w:szCs w:val="17"/>
                <w:color w:val="auto"/>
              </w:rPr>
            </w:pPr>
          </w:p>
        </w:tc>
        <w:tc>
          <w:tcPr>
            <w:tcW w:w="17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Original Termination</w:t>
            </w:r>
          </w:p>
        </w:tc>
        <w:tc>
          <w:tcPr>
            <w:tcW w:w="260" w:type="dxa"/>
            <w:vAlign w:val="bottom"/>
          </w:tcPr>
          <w:p>
            <w:pPr>
              <w:spacing w:after="0"/>
              <w:rPr>
                <w:sz w:val="17"/>
                <w:szCs w:val="1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Fixed Interest</w:t>
            </w:r>
          </w:p>
        </w:tc>
        <w:tc>
          <w:tcPr>
            <w:tcW w:w="236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80" w:type="dxa"/>
            <w:vAlign w:val="bottom"/>
          </w:tcPr>
          <w:p>
            <w:pPr>
              <w:jc w:val="right"/>
              <w:ind w:right="61"/>
              <w:spacing w:after="0" w:line="145" w:lineRule="exact"/>
              <w:rPr>
                <w:sz w:val="20"/>
                <w:szCs w:val="20"/>
                <w:color w:val="auto"/>
              </w:rPr>
            </w:pPr>
            <w:r>
              <w:rPr>
                <w:rFonts w:ascii="Arial" w:cs="Arial" w:eastAsia="Arial" w:hAnsi="Arial"/>
                <w:sz w:val="16"/>
                <w:szCs w:val="16"/>
                <w:b w:val="1"/>
                <w:bCs w:val="1"/>
                <w:color w:val="auto"/>
                <w:w w:val="97"/>
              </w:rPr>
              <w:t>December 31,</w:t>
            </w:r>
          </w:p>
        </w:tc>
        <w:tc>
          <w:tcPr>
            <w:tcW w:w="2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99"/>
        </w:trPr>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Company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Counterparty</w:t>
            </w:r>
          </w:p>
        </w:tc>
        <w:tc>
          <w:tcPr>
            <w:tcW w:w="260" w:type="dxa"/>
            <w:vAlign w:val="bottom"/>
          </w:tcPr>
          <w:p>
            <w:pPr>
              <w:spacing w:after="0"/>
              <w:rPr>
                <w:sz w:val="17"/>
                <w:szCs w:val="17"/>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Date</w:t>
            </w:r>
          </w:p>
        </w:tc>
        <w:tc>
          <w:tcPr>
            <w:tcW w:w="260" w:type="dxa"/>
            <w:vAlign w:val="bottom"/>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Date</w:t>
            </w:r>
          </w:p>
        </w:tc>
        <w:tc>
          <w:tcPr>
            <w:tcW w:w="260" w:type="dxa"/>
            <w:vAlign w:val="bottom"/>
          </w:tcPr>
          <w:p>
            <w:pPr>
              <w:spacing w:after="0"/>
              <w:rPr>
                <w:sz w:val="17"/>
                <w:szCs w:val="17"/>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Date</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106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780" w:type="dxa"/>
            <w:vAlign w:val="bottom"/>
            <w:shd w:val="clear" w:color="auto" w:fill="E5FFFF"/>
          </w:tcPr>
          <w:p>
            <w:pPr>
              <w:spacing w:after="0"/>
              <w:rPr>
                <w:sz w:val="20"/>
                <w:szCs w:val="20"/>
                <w:color w:val="auto"/>
              </w:rPr>
            </w:pPr>
            <w:r>
              <w:rPr>
                <w:rFonts w:ascii="Arial" w:cs="Arial" w:eastAsia="Arial" w:hAnsi="Arial"/>
                <w:sz w:val="16"/>
                <w:szCs w:val="16"/>
                <w:color w:val="auto"/>
              </w:rPr>
              <w:t>DNB Bank ASA</w:t>
            </w:r>
          </w:p>
        </w:tc>
        <w:tc>
          <w:tcPr>
            <w:tcW w:w="26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June 2013</w:t>
            </w:r>
          </w:p>
        </w:tc>
        <w:tc>
          <w:tcPr>
            <w:tcW w:w="260" w:type="dxa"/>
            <w:vAlign w:val="bottom"/>
            <w:shd w:val="clear" w:color="auto" w:fill="E5FFFF"/>
          </w:tcPr>
          <w:p>
            <w:pPr>
              <w:spacing w:after="0"/>
              <w:rPr>
                <w:sz w:val="20"/>
                <w:szCs w:val="20"/>
                <w:color w:val="auto"/>
              </w:rPr>
            </w:pPr>
          </w:p>
        </w:tc>
        <w:tc>
          <w:tcPr>
            <w:tcW w:w="84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0"/>
              </w:rPr>
              <w:t>June 2013</w:t>
            </w:r>
          </w:p>
        </w:tc>
        <w:tc>
          <w:tcPr>
            <w:tcW w:w="260" w:type="dxa"/>
            <w:vAlign w:val="bottom"/>
            <w:shd w:val="clear" w:color="auto" w:fill="E5FFFF"/>
          </w:tcPr>
          <w:p>
            <w:pPr>
              <w:spacing w:after="0"/>
              <w:rPr>
                <w:sz w:val="20"/>
                <w:szCs w:val="20"/>
                <w:color w:val="auto"/>
              </w:rPr>
            </w:pPr>
          </w:p>
        </w:tc>
        <w:tc>
          <w:tcPr>
            <w:tcW w:w="178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7.40%</w:t>
            </w:r>
          </w:p>
        </w:tc>
        <w:tc>
          <w:tcPr>
            <w:tcW w:w="11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27,732</w:t>
            </w:r>
          </w:p>
        </w:tc>
        <w:tc>
          <w:tcPr>
            <w:tcW w:w="240" w:type="dxa"/>
            <w:vAlign w:val="bottom"/>
            <w:shd w:val="clear" w:color="auto" w:fill="E5FFFF"/>
          </w:tcPr>
          <w:p>
            <w:pPr>
              <w:spacing w:after="0"/>
              <w:rPr>
                <w:sz w:val="20"/>
                <w:szCs w:val="20"/>
                <w:color w:val="auto"/>
              </w:rPr>
            </w:pP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SEB</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June 2013</w:t>
            </w:r>
          </w:p>
        </w:tc>
        <w:tc>
          <w:tcPr>
            <w:tcW w:w="26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Arial" w:cs="Arial" w:eastAsia="Arial" w:hAnsi="Arial"/>
                <w:sz w:val="16"/>
                <w:szCs w:val="16"/>
                <w:color w:val="auto"/>
                <w:w w:val="90"/>
              </w:rPr>
              <w:t>June 2013</w:t>
            </w:r>
          </w:p>
        </w:tc>
        <w:tc>
          <w:tcPr>
            <w:tcW w:w="260" w:type="dxa"/>
            <w:vAlign w:val="bottom"/>
          </w:tcPr>
          <w:p>
            <w:pPr>
              <w:spacing w:after="0"/>
              <w:rPr>
                <w:sz w:val="21"/>
                <w:szCs w:val="21"/>
                <w:color w:val="auto"/>
              </w:rPr>
            </w:pPr>
          </w:p>
        </w:tc>
        <w:tc>
          <w:tcPr>
            <w:tcW w:w="1780" w:type="dxa"/>
            <w:vAlign w:val="bottom"/>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tcPr>
          <w:p>
            <w:pPr>
              <w:jc w:val="right"/>
              <w:ind w:right="280"/>
              <w:spacing w:after="0"/>
              <w:rPr>
                <w:sz w:val="20"/>
                <w:szCs w:val="20"/>
                <w:color w:val="auto"/>
              </w:rPr>
            </w:pPr>
            <w:r>
              <w:rPr>
                <w:rFonts w:ascii="Arial" w:cs="Arial" w:eastAsia="Arial" w:hAnsi="Arial"/>
                <w:sz w:val="16"/>
                <w:szCs w:val="16"/>
                <w:color w:val="auto"/>
              </w:rPr>
              <w:t>7.41%</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27,731</w:t>
            </w: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780" w:type="dxa"/>
            <w:vAlign w:val="bottom"/>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June 2013</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0"/>
              </w:rPr>
              <w:t>June 2013</w:t>
            </w:r>
          </w:p>
        </w:tc>
        <w:tc>
          <w:tcPr>
            <w:tcW w:w="260" w:type="dxa"/>
            <w:vAlign w:val="bottom"/>
            <w:shd w:val="clear" w:color="auto" w:fill="E5FFFF"/>
          </w:tcPr>
          <w:p>
            <w:pPr>
              <w:spacing w:after="0"/>
              <w:rPr>
                <w:sz w:val="21"/>
                <w:szCs w:val="21"/>
                <w:color w:val="auto"/>
              </w:rPr>
            </w:pPr>
          </w:p>
        </w:tc>
        <w:tc>
          <w:tcPr>
            <w:tcW w:w="178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7.43%</w:t>
            </w:r>
          </w:p>
        </w:tc>
        <w:tc>
          <w:tcPr>
            <w:tcW w:w="11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27,743</w:t>
            </w:r>
          </w:p>
        </w:tc>
        <w:tc>
          <w:tcPr>
            <w:tcW w:w="2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DNB Bank ASA</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Arial" w:cs="Arial" w:eastAsia="Arial" w:hAnsi="Arial"/>
                <w:sz w:val="16"/>
                <w:szCs w:val="16"/>
                <w:color w:val="auto"/>
                <w:w w:val="96"/>
              </w:rPr>
              <w:t>May 2014</w:t>
            </w:r>
          </w:p>
        </w:tc>
        <w:tc>
          <w:tcPr>
            <w:tcW w:w="260" w:type="dxa"/>
            <w:vAlign w:val="bottom"/>
          </w:tcPr>
          <w:p>
            <w:pPr>
              <w:spacing w:after="0"/>
              <w:rPr>
                <w:sz w:val="21"/>
                <w:szCs w:val="21"/>
                <w:color w:val="auto"/>
              </w:rPr>
            </w:pPr>
          </w:p>
        </w:tc>
        <w:tc>
          <w:tcPr>
            <w:tcW w:w="1780" w:type="dxa"/>
            <w:vAlign w:val="bottom"/>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tcPr>
          <w:p>
            <w:pPr>
              <w:jc w:val="right"/>
              <w:ind w:right="280"/>
              <w:spacing w:after="0"/>
              <w:rPr>
                <w:sz w:val="20"/>
                <w:szCs w:val="20"/>
                <w:color w:val="auto"/>
              </w:rPr>
            </w:pPr>
            <w:r>
              <w:rPr>
                <w:rFonts w:ascii="Arial" w:cs="Arial" w:eastAsia="Arial" w:hAnsi="Arial"/>
                <w:sz w:val="16"/>
                <w:szCs w:val="16"/>
                <w:color w:val="auto"/>
              </w:rPr>
              <w:t>5.99%</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27,871</w:t>
            </w:r>
          </w:p>
        </w:tc>
        <w:tc>
          <w:tcPr>
            <w:tcW w:w="1180" w:type="dxa"/>
            <w:vAlign w:val="bottom"/>
            <w:gridSpan w:val="2"/>
          </w:tcPr>
          <w:p>
            <w:pPr>
              <w:jc w:val="right"/>
              <w:ind w:right="1"/>
              <w:spacing w:after="0"/>
              <w:rPr>
                <w:sz w:val="20"/>
                <w:szCs w:val="20"/>
                <w:color w:val="auto"/>
              </w:rPr>
            </w:pPr>
            <w:r>
              <w:rPr>
                <w:rFonts w:ascii="Arial" w:cs="Arial" w:eastAsia="Arial" w:hAnsi="Arial"/>
                <w:sz w:val="16"/>
                <w:szCs w:val="16"/>
                <w:color w:val="auto"/>
              </w:rPr>
              <w:t>22,965</w:t>
            </w:r>
          </w:p>
        </w:tc>
        <w:tc>
          <w:tcPr>
            <w:tcW w:w="0" w:type="dxa"/>
            <w:vAlign w:val="bottom"/>
          </w:tcPr>
          <w:p>
            <w:pPr>
              <w:spacing w:after="0"/>
              <w:rPr>
                <w:sz w:val="1"/>
                <w:szCs w:val="1"/>
                <w:color w:val="auto"/>
              </w:rPr>
            </w:pPr>
          </w:p>
        </w:tc>
      </w:tr>
      <w:tr>
        <w:trPr>
          <w:trHeight w:val="243"/>
        </w:trPr>
        <w:tc>
          <w:tcPr>
            <w:tcW w:w="106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780" w:type="dxa"/>
            <w:vAlign w:val="bottom"/>
            <w:shd w:val="clear" w:color="auto" w:fill="E5FFFF"/>
          </w:tcPr>
          <w:p>
            <w:pPr>
              <w:spacing w:after="0"/>
              <w:rPr>
                <w:sz w:val="20"/>
                <w:szCs w:val="20"/>
                <w:color w:val="auto"/>
              </w:rPr>
            </w:pPr>
            <w:r>
              <w:rPr>
                <w:rFonts w:ascii="Arial" w:cs="Arial" w:eastAsia="Arial" w:hAnsi="Arial"/>
                <w:sz w:val="16"/>
                <w:szCs w:val="16"/>
                <w:color w:val="auto"/>
              </w:rPr>
              <w:t>SEB</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6"/>
              </w:rPr>
              <w:t>May 2014</w:t>
            </w:r>
          </w:p>
        </w:tc>
        <w:tc>
          <w:tcPr>
            <w:tcW w:w="260" w:type="dxa"/>
            <w:vAlign w:val="bottom"/>
            <w:shd w:val="clear" w:color="auto" w:fill="E5FFFF"/>
          </w:tcPr>
          <w:p>
            <w:pPr>
              <w:spacing w:after="0"/>
              <w:rPr>
                <w:sz w:val="21"/>
                <w:szCs w:val="21"/>
                <w:color w:val="auto"/>
              </w:rPr>
            </w:pPr>
          </w:p>
        </w:tc>
        <w:tc>
          <w:tcPr>
            <w:tcW w:w="178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5.99%</w:t>
            </w:r>
          </w:p>
        </w:tc>
        <w:tc>
          <w:tcPr>
            <w:tcW w:w="11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27,871</w:t>
            </w:r>
          </w:p>
        </w:tc>
        <w:tc>
          <w:tcPr>
            <w:tcW w:w="11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22,965</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Nordea Bank Finland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April 2014</w:t>
            </w:r>
          </w:p>
        </w:tc>
        <w:tc>
          <w:tcPr>
            <w:tcW w:w="26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Arial" w:cs="Arial" w:eastAsia="Arial" w:hAnsi="Arial"/>
                <w:sz w:val="16"/>
                <w:szCs w:val="16"/>
                <w:color w:val="auto"/>
                <w:w w:val="96"/>
              </w:rPr>
              <w:t>May 2014</w:t>
            </w:r>
          </w:p>
        </w:tc>
        <w:tc>
          <w:tcPr>
            <w:tcW w:w="260" w:type="dxa"/>
            <w:vAlign w:val="bottom"/>
          </w:tcPr>
          <w:p>
            <w:pPr>
              <w:spacing w:after="0"/>
              <w:rPr>
                <w:sz w:val="21"/>
                <w:szCs w:val="21"/>
                <w:color w:val="auto"/>
              </w:rPr>
            </w:pPr>
          </w:p>
        </w:tc>
        <w:tc>
          <w:tcPr>
            <w:tcW w:w="1780" w:type="dxa"/>
            <w:vAlign w:val="bottom"/>
          </w:tcPr>
          <w:p>
            <w:pPr>
              <w:ind w:left="1000"/>
              <w:spacing w:after="0"/>
              <w:rPr>
                <w:sz w:val="20"/>
                <w:szCs w:val="20"/>
                <w:color w:val="auto"/>
              </w:rPr>
            </w:pPr>
            <w:r>
              <w:rPr>
                <w:rFonts w:ascii="Arial" w:cs="Arial" w:eastAsia="Arial" w:hAnsi="Arial"/>
                <w:sz w:val="16"/>
                <w:szCs w:val="16"/>
                <w:color w:val="auto"/>
              </w:rPr>
              <w:t>June 2018</w:t>
            </w:r>
          </w:p>
        </w:tc>
        <w:tc>
          <w:tcPr>
            <w:tcW w:w="1700" w:type="dxa"/>
            <w:vAlign w:val="bottom"/>
            <w:gridSpan w:val="3"/>
          </w:tcPr>
          <w:p>
            <w:pPr>
              <w:jc w:val="right"/>
              <w:ind w:right="280"/>
              <w:spacing w:after="0"/>
              <w:rPr>
                <w:sz w:val="20"/>
                <w:szCs w:val="20"/>
                <w:color w:val="auto"/>
              </w:rPr>
            </w:pPr>
            <w:r>
              <w:rPr>
                <w:rFonts w:ascii="Arial" w:cs="Arial" w:eastAsia="Arial" w:hAnsi="Arial"/>
                <w:sz w:val="16"/>
                <w:szCs w:val="16"/>
                <w:color w:val="auto"/>
              </w:rPr>
              <w:t>5.99%</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27,871</w:t>
            </w:r>
          </w:p>
        </w:tc>
        <w:tc>
          <w:tcPr>
            <w:tcW w:w="1180" w:type="dxa"/>
            <w:vAlign w:val="bottom"/>
            <w:gridSpan w:val="2"/>
          </w:tcPr>
          <w:p>
            <w:pPr>
              <w:jc w:val="right"/>
              <w:ind w:right="1"/>
              <w:spacing w:after="0"/>
              <w:rPr>
                <w:sz w:val="20"/>
                <w:szCs w:val="20"/>
                <w:color w:val="auto"/>
              </w:rPr>
            </w:pPr>
            <w:r>
              <w:rPr>
                <w:rFonts w:ascii="Arial" w:cs="Arial" w:eastAsia="Arial" w:hAnsi="Arial"/>
                <w:sz w:val="16"/>
                <w:szCs w:val="16"/>
                <w:color w:val="auto"/>
              </w:rPr>
              <w:t>22,965</w:t>
            </w:r>
          </w:p>
        </w:tc>
        <w:tc>
          <w:tcPr>
            <w:tcW w:w="0" w:type="dxa"/>
            <w:vAlign w:val="bottom"/>
          </w:tcPr>
          <w:p>
            <w:pPr>
              <w:spacing w:after="0"/>
              <w:rPr>
                <w:sz w:val="1"/>
                <w:szCs w:val="1"/>
                <w:color w:val="auto"/>
              </w:rPr>
            </w:pPr>
          </w:p>
        </w:tc>
      </w:tr>
      <w:tr>
        <w:trPr>
          <w:trHeight w:val="243"/>
        </w:trPr>
        <w:tc>
          <w:tcPr>
            <w:tcW w:w="106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(2)</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780" w:type="dxa"/>
            <w:vAlign w:val="bottom"/>
            <w:shd w:val="clear" w:color="auto" w:fill="E5FFFF"/>
          </w:tcPr>
          <w:p>
            <w:pPr>
              <w:spacing w:after="0"/>
              <w:rPr>
                <w:sz w:val="20"/>
                <w:szCs w:val="20"/>
                <w:color w:val="auto"/>
              </w:rPr>
            </w:pPr>
            <w:r>
              <w:rPr>
                <w:rFonts w:ascii="Arial" w:cs="Arial" w:eastAsia="Arial" w:hAnsi="Arial"/>
                <w:sz w:val="16"/>
                <w:szCs w:val="16"/>
                <w:color w:val="auto"/>
              </w:rPr>
              <w:t>DNB Bank ASA</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June 2016</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0"/>
              </w:rPr>
              <w:t>June 2016</w:t>
            </w:r>
          </w:p>
        </w:tc>
        <w:tc>
          <w:tcPr>
            <w:tcW w:w="260" w:type="dxa"/>
            <w:vAlign w:val="bottom"/>
            <w:shd w:val="clear" w:color="auto" w:fill="E5FFFF"/>
          </w:tcPr>
          <w:p>
            <w:pPr>
              <w:spacing w:after="0"/>
              <w:rPr>
                <w:sz w:val="21"/>
                <w:szCs w:val="21"/>
                <w:color w:val="auto"/>
              </w:rPr>
            </w:pPr>
          </w:p>
        </w:tc>
        <w:tc>
          <w:tcPr>
            <w:tcW w:w="178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May 2021</w:t>
            </w:r>
          </w:p>
        </w:tc>
        <w:tc>
          <w:tcPr>
            <w:tcW w:w="170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8.59%</w:t>
            </w:r>
          </w:p>
        </w:tc>
        <w:tc>
          <w:tcPr>
            <w:tcW w:w="118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SEB</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June 2016</w:t>
            </w:r>
          </w:p>
        </w:tc>
        <w:tc>
          <w:tcPr>
            <w:tcW w:w="26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Arial" w:cs="Arial" w:eastAsia="Arial" w:hAnsi="Arial"/>
                <w:sz w:val="16"/>
                <w:szCs w:val="16"/>
                <w:color w:val="auto"/>
                <w:w w:val="90"/>
              </w:rPr>
              <w:t>June 2016</w:t>
            </w:r>
          </w:p>
        </w:tc>
        <w:tc>
          <w:tcPr>
            <w:tcW w:w="260" w:type="dxa"/>
            <w:vAlign w:val="bottom"/>
          </w:tcPr>
          <w:p>
            <w:pPr>
              <w:spacing w:after="0"/>
              <w:rPr>
                <w:sz w:val="21"/>
                <w:szCs w:val="21"/>
                <w:color w:val="auto"/>
              </w:rPr>
            </w:pPr>
          </w:p>
        </w:tc>
        <w:tc>
          <w:tcPr>
            <w:tcW w:w="1780" w:type="dxa"/>
            <w:vAlign w:val="bottom"/>
          </w:tcPr>
          <w:p>
            <w:pPr>
              <w:ind w:left="1000"/>
              <w:spacing w:after="0"/>
              <w:rPr>
                <w:sz w:val="20"/>
                <w:szCs w:val="20"/>
                <w:color w:val="auto"/>
              </w:rPr>
            </w:pPr>
            <w:r>
              <w:rPr>
                <w:rFonts w:ascii="Arial" w:cs="Arial" w:eastAsia="Arial" w:hAnsi="Arial"/>
                <w:sz w:val="16"/>
                <w:szCs w:val="16"/>
                <w:color w:val="auto"/>
              </w:rPr>
              <w:t>May 2021</w:t>
            </w:r>
          </w:p>
        </w:tc>
        <w:tc>
          <w:tcPr>
            <w:tcW w:w="1700" w:type="dxa"/>
            <w:vAlign w:val="bottom"/>
            <w:gridSpan w:val="3"/>
          </w:tcPr>
          <w:p>
            <w:pPr>
              <w:jc w:val="right"/>
              <w:ind w:right="280"/>
              <w:spacing w:after="0"/>
              <w:rPr>
                <w:sz w:val="20"/>
                <w:szCs w:val="20"/>
                <w:color w:val="auto"/>
              </w:rPr>
            </w:pPr>
            <w:r>
              <w:rPr>
                <w:rFonts w:ascii="Arial" w:cs="Arial" w:eastAsia="Arial" w:hAnsi="Arial"/>
                <w:sz w:val="16"/>
                <w:szCs w:val="16"/>
                <w:color w:val="auto"/>
              </w:rPr>
              <w:t>8.59%</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243"/>
        </w:trPr>
        <w:tc>
          <w:tcPr>
            <w:tcW w:w="106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(2)</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780" w:type="dxa"/>
            <w:vAlign w:val="bottom"/>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June 2016</w:t>
            </w:r>
          </w:p>
        </w:tc>
        <w:tc>
          <w:tcPr>
            <w:tcW w:w="260" w:type="dxa"/>
            <w:vAlign w:val="bottom"/>
            <w:shd w:val="clear" w:color="auto" w:fill="E5FFFF"/>
          </w:tcPr>
          <w:p>
            <w:pPr>
              <w:spacing w:after="0"/>
              <w:rPr>
                <w:sz w:val="21"/>
                <w:szCs w:val="21"/>
                <w:color w:val="auto"/>
              </w:rPr>
            </w:pPr>
          </w:p>
        </w:tc>
        <w:tc>
          <w:tcPr>
            <w:tcW w:w="84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0"/>
              </w:rPr>
              <w:t>June 2016</w:t>
            </w:r>
          </w:p>
        </w:tc>
        <w:tc>
          <w:tcPr>
            <w:tcW w:w="260" w:type="dxa"/>
            <w:vAlign w:val="bottom"/>
            <w:shd w:val="clear" w:color="auto" w:fill="E5FFFF"/>
          </w:tcPr>
          <w:p>
            <w:pPr>
              <w:spacing w:after="0"/>
              <w:rPr>
                <w:sz w:val="21"/>
                <w:szCs w:val="21"/>
                <w:color w:val="auto"/>
              </w:rPr>
            </w:pPr>
          </w:p>
        </w:tc>
        <w:tc>
          <w:tcPr>
            <w:tcW w:w="178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May 2021</w:t>
            </w:r>
          </w:p>
        </w:tc>
        <w:tc>
          <w:tcPr>
            <w:tcW w:w="170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8.59%</w:t>
            </w:r>
          </w:p>
        </w:tc>
        <w:tc>
          <w:tcPr>
            <w:tcW w:w="1180" w:type="dxa"/>
            <w:vAlign w:val="bottom"/>
            <w:tcBorders>
              <w:bottom w:val="single" w:sz="8" w:color="auto"/>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166,819</w:t>
            </w:r>
          </w:p>
        </w:tc>
        <w:tc>
          <w:tcPr>
            <w:tcW w:w="11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159,045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80" w:right="160" w:hanging="200"/>
        <w:spacing w:after="0" w:line="283" w:lineRule="auto"/>
        <w:tabs>
          <w:tab w:leader="none" w:pos="280" w:val="left"/>
        </w:tabs>
        <w:numPr>
          <w:ilvl w:val="0"/>
          <w:numId w:val="121"/>
        </w:numPr>
        <w:rPr>
          <w:rFonts w:ascii="Arial" w:cs="Arial" w:eastAsia="Arial" w:hAnsi="Arial"/>
          <w:sz w:val="8"/>
          <w:szCs w:val="8"/>
          <w:color w:val="auto"/>
        </w:rPr>
      </w:pPr>
      <w:r>
        <w:rPr>
          <w:rFonts w:ascii="Arial" w:cs="Arial" w:eastAsia="Arial" w:hAnsi="Arial"/>
          <w:sz w:val="15"/>
          <w:szCs w:val="15"/>
          <w:color w:val="auto"/>
        </w:rPr>
        <w:t>On June 27, 2016, GasLog terminated the first three CCSs agreements and decreased the notional amount of the remaining three CCSs by paying their fair value on that date. The cumulative loss of $5,583 from the period that hedging was effective was recycled to profit or loss during the year ended December 31, 2016.</w:t>
      </w:r>
    </w:p>
    <w:p>
      <w:pPr>
        <w:spacing w:after="0" w:line="25" w:lineRule="exact"/>
        <w:rPr>
          <w:rFonts w:ascii="Arial" w:cs="Arial" w:eastAsia="Arial" w:hAnsi="Arial"/>
          <w:sz w:val="8"/>
          <w:szCs w:val="8"/>
          <w:color w:val="auto"/>
        </w:rPr>
      </w:pPr>
    </w:p>
    <w:p>
      <w:pPr>
        <w:ind w:left="280" w:right="40" w:hanging="200"/>
        <w:spacing w:after="0" w:line="251" w:lineRule="auto"/>
        <w:tabs>
          <w:tab w:leader="none" w:pos="280" w:val="left"/>
        </w:tabs>
        <w:numPr>
          <w:ilvl w:val="0"/>
          <w:numId w:val="121"/>
        </w:numPr>
        <w:rPr>
          <w:rFonts w:ascii="Arial" w:cs="Arial" w:eastAsia="Arial" w:hAnsi="Arial"/>
          <w:sz w:val="9"/>
          <w:szCs w:val="9"/>
          <w:color w:val="auto"/>
        </w:rPr>
      </w:pPr>
      <w:r>
        <w:rPr>
          <w:rFonts w:ascii="Arial" w:cs="Arial" w:eastAsia="Arial" w:hAnsi="Arial"/>
          <w:sz w:val="16"/>
          <w:szCs w:val="16"/>
          <w:color w:val="auto"/>
        </w:rPr>
        <w:t>On June 20, 2016, in conjunction with the issuance of the bond under the 2021 Bond Agreement (Note 13), GasLog entered into these CCSs to exchange interest payments and principal on maturity on the same terms as the 2021 Bond Agreement.</w:t>
      </w:r>
    </w:p>
    <w:p>
      <w:pPr>
        <w:spacing w:after="0" w:line="94"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For the year ended December 31, 2016, the effective portion of changes in the fair value of CCSs amounting to a loss of $2,559 has been recognized in Other comprehensive income (December 31, 2015: $23,584 loss, December 31, 2014: $37,722 loss). For the year ended December 31, 2016, a loss of $2,446 was recycled to profit or loss representing the realized loss on CCSs in relation to the interest expenses component of the hedge (December 31, 2015: $2,714 loss, December 31, 2014: $60 gain). Additionally, for the year ended December 31, 2016, a loss of $1,487, was recognized in Other comprehensive income in relation to the retranslation of the Bonds in U.S. dollars as of December 31, 2016 (December 31, 2015: $21,000 gain, December 31, 2014: $31,106 gain).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 foreign exchange contracts</w:t>
      </w:r>
    </w:p>
    <w:p>
      <w:pPr>
        <w:spacing w:after="0" w:line="125"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and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2" w:name="page193"/>
    <w:bookmarkEnd w:id="192"/>
    <w:p>
      <w:pPr>
        <w:ind w:left="360"/>
        <w:spacing w:after="0"/>
        <w:rPr>
          <w:sz w:val="20"/>
          <w:szCs w:val="20"/>
          <w:color w:val="auto"/>
        </w:rPr>
      </w:pPr>
      <w:r>
        <w:rPr>
          <w:rFonts w:ascii="Arial" w:cs="Arial" w:eastAsia="Arial" w:hAnsi="Arial"/>
          <w:sz w:val="19"/>
          <w:szCs w:val="19"/>
          <w:color w:val="auto"/>
        </w:rPr>
        <w:t>The principal terms of the forward foreign exchange contracts held for trading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Fixed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Exchange</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Exchange Rate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199"/>
        </w:trPr>
        <w:tc>
          <w:tcPr>
            <w:tcW w:w="188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rPr>
              <w:t>Company</w:t>
            </w:r>
          </w:p>
        </w:tc>
        <w:tc>
          <w:tcPr>
            <w:tcW w:w="7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Counterparty</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Trade Date</w:t>
            </w:r>
          </w:p>
        </w:tc>
        <w:tc>
          <w:tcPr>
            <w:tcW w:w="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38"/>
              <w:spacing w:after="0"/>
              <w:rPr>
                <w:sz w:val="20"/>
                <w:szCs w:val="20"/>
                <w:color w:val="auto"/>
              </w:rPr>
            </w:pPr>
            <w:r>
              <w:rPr>
                <w:rFonts w:ascii="Arial" w:cs="Arial" w:eastAsia="Arial" w:hAnsi="Arial"/>
                <w:sz w:val="16"/>
                <w:szCs w:val="16"/>
                <w:b w:val="1"/>
                <w:bCs w:val="1"/>
                <w:color w:val="auto"/>
                <w:w w:val="87"/>
              </w:rPr>
              <w:t>Settlement Date</w:t>
            </w:r>
          </w:p>
        </w:tc>
        <w:tc>
          <w:tcPr>
            <w:tcW w:w="3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(USD/GBP)</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thousands)</w:t>
            </w:r>
          </w:p>
        </w:tc>
        <w:tc>
          <w:tcPr>
            <w:tcW w:w="0" w:type="dxa"/>
            <w:vAlign w:val="bottom"/>
          </w:tcPr>
          <w:p>
            <w:pPr>
              <w:spacing w:after="0"/>
              <w:rPr>
                <w:sz w:val="1"/>
                <w:szCs w:val="1"/>
                <w:color w:val="auto"/>
              </w:rPr>
            </w:pPr>
          </w:p>
        </w:tc>
      </w:tr>
      <w:tr>
        <w:trPr>
          <w:trHeight w:val="237"/>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60" w:type="dxa"/>
            <w:vAlign w:val="bottom"/>
            <w:shd w:val="clear" w:color="auto" w:fill="E5FFFF"/>
          </w:tcPr>
          <w:p>
            <w:pPr>
              <w:jc w:val="center"/>
              <w:ind w:right="258"/>
              <w:spacing w:after="0"/>
              <w:rPr>
                <w:sz w:val="20"/>
                <w:szCs w:val="20"/>
                <w:color w:val="auto"/>
              </w:rPr>
            </w:pPr>
            <w:r>
              <w:rPr>
                <w:rFonts w:ascii="Arial" w:cs="Arial" w:eastAsia="Arial" w:hAnsi="Arial"/>
                <w:sz w:val="19"/>
                <w:szCs w:val="19"/>
                <w:color w:val="auto"/>
                <w:w w:val="90"/>
              </w:rPr>
              <w:t>January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tcPr>
          <w:p>
            <w:pPr>
              <w:spacing w:after="0"/>
              <w:rPr>
                <w:sz w:val="21"/>
                <w:szCs w:val="21"/>
                <w:color w:val="auto"/>
              </w:rPr>
            </w:pPr>
          </w:p>
        </w:tc>
        <w:tc>
          <w:tcPr>
            <w:tcW w:w="1740" w:type="dxa"/>
            <w:vAlign w:val="bottom"/>
            <w:gridSpan w:val="2"/>
          </w:tcPr>
          <w:p>
            <w:pPr>
              <w:jc w:val="center"/>
              <w:spacing w:after="0"/>
              <w:rPr>
                <w:sz w:val="20"/>
                <w:szCs w:val="20"/>
                <w:color w:val="auto"/>
              </w:rPr>
            </w:pPr>
            <w:r>
              <w:rPr>
                <w:rFonts w:ascii="Arial" w:cs="Arial" w:eastAsia="Arial" w:hAnsi="Arial"/>
                <w:sz w:val="19"/>
                <w:szCs w:val="19"/>
                <w:color w:val="auto"/>
                <w:w w:val="92"/>
              </w:rPr>
              <w:t>February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ind w:right="238"/>
              <w:spacing w:after="0"/>
              <w:rPr>
                <w:sz w:val="20"/>
                <w:szCs w:val="20"/>
                <w:color w:val="auto"/>
              </w:rPr>
            </w:pPr>
            <w:r>
              <w:rPr>
                <w:rFonts w:ascii="Arial" w:cs="Arial" w:eastAsia="Arial" w:hAnsi="Arial"/>
                <w:sz w:val="19"/>
                <w:szCs w:val="19"/>
                <w:color w:val="auto"/>
                <w:w w:val="93"/>
              </w:rPr>
              <w:t>March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£1,800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ind w:right="238"/>
              <w:spacing w:after="0"/>
              <w:rPr>
                <w:sz w:val="20"/>
                <w:szCs w:val="20"/>
                <w:color w:val="auto"/>
              </w:rPr>
            </w:pPr>
            <w:r>
              <w:rPr>
                <w:rFonts w:ascii="Arial" w:cs="Arial" w:eastAsia="Arial" w:hAnsi="Arial"/>
                <w:sz w:val="19"/>
                <w:szCs w:val="19"/>
                <w:color w:val="auto"/>
              </w:rPr>
              <w:t>April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ind w:right="238"/>
              <w:spacing w:after="0"/>
              <w:rPr>
                <w:sz w:val="20"/>
                <w:szCs w:val="20"/>
                <w:color w:val="auto"/>
              </w:rPr>
            </w:pPr>
            <w:r>
              <w:rPr>
                <w:rFonts w:ascii="Arial" w:cs="Arial" w:eastAsia="Arial" w:hAnsi="Arial"/>
                <w:sz w:val="19"/>
                <w:szCs w:val="19"/>
                <w:color w:val="auto"/>
                <w:w w:val="93"/>
              </w:rPr>
              <w:t>May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3"/>
              </w:rPr>
              <w:t>August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ind w:right="238"/>
              <w:spacing w:after="0"/>
              <w:rPr>
                <w:sz w:val="20"/>
                <w:szCs w:val="20"/>
                <w:color w:val="auto"/>
              </w:rPr>
            </w:pPr>
            <w:r>
              <w:rPr>
                <w:rFonts w:ascii="Arial" w:cs="Arial" w:eastAsia="Arial" w:hAnsi="Arial"/>
                <w:sz w:val="19"/>
                <w:szCs w:val="19"/>
                <w:color w:val="auto"/>
                <w:w w:val="87"/>
              </w:rPr>
              <w:t>June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1.3147</w:t>
            </w:r>
          </w:p>
        </w:tc>
        <w:tc>
          <w:tcPr>
            <w:tcW w:w="1580" w:type="dxa"/>
            <w:vAlign w:val="bottom"/>
            <w:gridSpan w:val="4"/>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ind w:right="258"/>
              <w:spacing w:after="0"/>
              <w:rPr>
                <w:sz w:val="20"/>
                <w:szCs w:val="20"/>
                <w:color w:val="auto"/>
              </w:rPr>
            </w:pPr>
            <w:r>
              <w:rPr>
                <w:rFonts w:ascii="Arial" w:cs="Arial" w:eastAsia="Arial" w:hAnsi="Arial"/>
                <w:sz w:val="19"/>
                <w:szCs w:val="19"/>
                <w:color w:val="auto"/>
                <w:w w:val="93"/>
              </w:rPr>
              <w:t>July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1.2541</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ind w:right="258"/>
              <w:spacing w:after="0"/>
              <w:rPr>
                <w:sz w:val="20"/>
                <w:szCs w:val="20"/>
                <w:color w:val="auto"/>
              </w:rPr>
            </w:pPr>
            <w:r>
              <w:rPr>
                <w:rFonts w:ascii="Arial" w:cs="Arial" w:eastAsia="Arial" w:hAnsi="Arial"/>
                <w:sz w:val="19"/>
                <w:szCs w:val="19"/>
                <w:color w:val="auto"/>
                <w:w w:val="93"/>
              </w:rPr>
              <w:t>August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1.2541</w:t>
            </w:r>
          </w:p>
        </w:tc>
        <w:tc>
          <w:tcPr>
            <w:tcW w:w="1580" w:type="dxa"/>
            <w:vAlign w:val="bottom"/>
            <w:gridSpan w:val="4"/>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shd w:val="clear" w:color="auto" w:fill="E5FFFF"/>
          </w:tcPr>
          <w:p>
            <w:pPr>
              <w:spacing w:after="0"/>
              <w:rPr>
                <w:sz w:val="21"/>
                <w:szCs w:val="21"/>
                <w:color w:val="auto"/>
              </w:rPr>
            </w:pPr>
          </w:p>
        </w:tc>
        <w:tc>
          <w:tcPr>
            <w:tcW w:w="174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89"/>
              </w:rPr>
              <w:t>September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1.2541</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ind w:right="238"/>
              <w:spacing w:after="0"/>
              <w:rPr>
                <w:sz w:val="20"/>
                <w:szCs w:val="20"/>
                <w:color w:val="auto"/>
              </w:rPr>
            </w:pPr>
            <w:r>
              <w:rPr>
                <w:rFonts w:ascii="Arial" w:cs="Arial" w:eastAsia="Arial" w:hAnsi="Arial"/>
                <w:sz w:val="19"/>
                <w:szCs w:val="19"/>
                <w:color w:val="auto"/>
                <w:w w:val="92"/>
              </w:rPr>
              <w:t>October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1.2541</w:t>
            </w:r>
          </w:p>
        </w:tc>
        <w:tc>
          <w:tcPr>
            <w:tcW w:w="1580" w:type="dxa"/>
            <w:vAlign w:val="bottom"/>
            <w:gridSpan w:val="4"/>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shd w:val="clear" w:color="auto" w:fill="E5FFFF"/>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shd w:val="clear" w:color="auto" w:fill="E5FFFF"/>
          </w:tcPr>
          <w:p>
            <w:pPr>
              <w:spacing w:after="0"/>
              <w:rPr>
                <w:sz w:val="21"/>
                <w:szCs w:val="21"/>
                <w:color w:val="auto"/>
              </w:rPr>
            </w:pPr>
          </w:p>
        </w:tc>
        <w:tc>
          <w:tcPr>
            <w:tcW w:w="174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93"/>
              </w:rPr>
              <w:t>November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9"/>
                <w:szCs w:val="19"/>
                <w:color w:val="auto"/>
              </w:rPr>
              <w:t>1.2541</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50"/>
        </w:trPr>
        <w:tc>
          <w:tcPr>
            <w:tcW w:w="1880" w:type="dxa"/>
            <w:vAlign w:val="bottom"/>
            <w:gridSpan w:val="3"/>
          </w:tcPr>
          <w:p>
            <w:pPr>
              <w:spacing w:after="0"/>
              <w:rPr>
                <w:sz w:val="20"/>
                <w:szCs w:val="20"/>
                <w:color w:val="auto"/>
              </w:rPr>
            </w:pPr>
            <w:r>
              <w:rPr>
                <w:rFonts w:ascii="Arial" w:cs="Arial" w:eastAsia="Arial" w:hAnsi="Arial"/>
                <w:sz w:val="19"/>
                <w:szCs w:val="19"/>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ind w:left="660"/>
              <w:spacing w:after="0"/>
              <w:rPr>
                <w:sz w:val="20"/>
                <w:szCs w:val="20"/>
                <w:color w:val="auto"/>
              </w:rPr>
            </w:pPr>
            <w:r>
              <w:rPr>
                <w:rFonts w:ascii="Arial" w:cs="Arial" w:eastAsia="Arial" w:hAnsi="Arial"/>
                <w:sz w:val="19"/>
                <w:szCs w:val="19"/>
                <w:color w:val="auto"/>
              </w:rPr>
              <w:t>SEB</w:t>
            </w:r>
          </w:p>
        </w:tc>
        <w:tc>
          <w:tcPr>
            <w:tcW w:w="2020" w:type="dxa"/>
            <w:vAlign w:val="bottom"/>
            <w:gridSpan w:val="4"/>
          </w:tcPr>
          <w:p>
            <w:pPr>
              <w:jc w:val="center"/>
              <w:ind w:right="300"/>
              <w:spacing w:after="0"/>
              <w:rPr>
                <w:sz w:val="20"/>
                <w:szCs w:val="20"/>
                <w:color w:val="auto"/>
              </w:rPr>
            </w:pPr>
            <w:r>
              <w:rPr>
                <w:rFonts w:ascii="Arial" w:cs="Arial" w:eastAsia="Arial" w:hAnsi="Arial"/>
                <w:sz w:val="19"/>
                <w:szCs w:val="19"/>
                <w:color w:val="auto"/>
                <w:w w:val="91"/>
              </w:rPr>
              <w:t>December 2016</w:t>
            </w:r>
          </w:p>
        </w:tc>
        <w:tc>
          <w:tcPr>
            <w:tcW w:w="60" w:type="dxa"/>
            <w:vAlign w:val="bottom"/>
          </w:tcPr>
          <w:p>
            <w:pPr>
              <w:spacing w:after="0"/>
              <w:rPr>
                <w:sz w:val="21"/>
                <w:szCs w:val="21"/>
                <w:color w:val="auto"/>
              </w:rPr>
            </w:pPr>
          </w:p>
        </w:tc>
        <w:tc>
          <w:tcPr>
            <w:tcW w:w="1740" w:type="dxa"/>
            <w:vAlign w:val="bottom"/>
            <w:gridSpan w:val="2"/>
          </w:tcPr>
          <w:p>
            <w:pPr>
              <w:jc w:val="center"/>
              <w:spacing w:after="0"/>
              <w:rPr>
                <w:sz w:val="20"/>
                <w:szCs w:val="20"/>
                <w:color w:val="auto"/>
              </w:rPr>
            </w:pPr>
            <w:r>
              <w:rPr>
                <w:rFonts w:ascii="Arial" w:cs="Arial" w:eastAsia="Arial" w:hAnsi="Arial"/>
                <w:sz w:val="19"/>
                <w:szCs w:val="19"/>
                <w:color w:val="auto"/>
                <w:w w:val="90"/>
              </w:rPr>
              <w:t>December 2017</w:t>
            </w:r>
          </w:p>
        </w:tc>
        <w:tc>
          <w:tcPr>
            <w:tcW w:w="1640" w:type="dxa"/>
            <w:vAlign w:val="bottom"/>
            <w:gridSpan w:val="2"/>
          </w:tcPr>
          <w:p>
            <w:pPr>
              <w:jc w:val="right"/>
              <w:ind w:right="39"/>
              <w:spacing w:after="0"/>
              <w:rPr>
                <w:sz w:val="20"/>
                <w:szCs w:val="20"/>
                <w:color w:val="auto"/>
              </w:rPr>
            </w:pPr>
            <w:r>
              <w:rPr>
                <w:rFonts w:ascii="Arial" w:cs="Arial" w:eastAsia="Arial" w:hAnsi="Arial"/>
                <w:sz w:val="19"/>
                <w:szCs w:val="19"/>
                <w:color w:val="auto"/>
              </w:rPr>
              <w:t>1.2541</w:t>
            </w:r>
          </w:p>
        </w:tc>
        <w:tc>
          <w:tcPr>
            <w:tcW w:w="300" w:type="dxa"/>
            <w:vAlign w:val="bottom"/>
            <w:gridSpan w:val="2"/>
          </w:tcPr>
          <w:p>
            <w:pPr>
              <w:spacing w:after="0"/>
              <w:rPr>
                <w:sz w:val="21"/>
                <w:szCs w:val="21"/>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43"/>
        </w:trPr>
        <w:tc>
          <w:tcPr>
            <w:tcW w:w="13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39"/>
              <w:spacing w:after="0"/>
              <w:rPr>
                <w:sz w:val="20"/>
                <w:szCs w:val="20"/>
                <w:color w:val="auto"/>
              </w:rPr>
            </w:pPr>
            <w:r>
              <w:rPr>
                <w:rFonts w:ascii="Arial" w:cs="Arial" w:eastAsia="Arial" w:hAnsi="Arial"/>
                <w:sz w:val="19"/>
                <w:szCs w:val="19"/>
                <w:b w:val="1"/>
                <w:bCs w:val="1"/>
                <w:color w:val="auto"/>
              </w:rPr>
              <w:t>Total</w:t>
            </w:r>
          </w:p>
        </w:tc>
        <w:tc>
          <w:tcPr>
            <w:tcW w:w="1580" w:type="dxa"/>
            <w:vAlign w:val="bottom"/>
            <w:gridSpan w:val="4"/>
            <w:shd w:val="clear" w:color="auto" w:fill="E5FFFF"/>
          </w:tcPr>
          <w:p>
            <w:pPr>
              <w:jc w:val="right"/>
              <w:ind w:right="21"/>
              <w:spacing w:after="0"/>
              <w:rPr>
                <w:sz w:val="20"/>
                <w:szCs w:val="20"/>
                <w:color w:val="auto"/>
              </w:rPr>
            </w:pPr>
            <w:r>
              <w:rPr>
                <w:rFonts w:ascii="Arial" w:cs="Arial" w:eastAsia="Arial" w:hAnsi="Arial"/>
                <w:sz w:val="19"/>
                <w:szCs w:val="19"/>
                <w:b w:val="1"/>
                <w:bCs w:val="1"/>
                <w:color w:val="auto"/>
              </w:rPr>
              <w:t>£6,200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0"/>
              </w:rPr>
              <w:t>Fixed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7"/>
              </w:rPr>
              <w:t>Exchange</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Exchange Rate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199"/>
        </w:trPr>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Company</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6"/>
                <w:szCs w:val="16"/>
                <w:b w:val="1"/>
                <w:bCs w:val="1"/>
                <w:color w:val="auto"/>
                <w:w w:val="91"/>
              </w:rPr>
              <w:t>Counterparty</w:t>
            </w:r>
          </w:p>
        </w:tc>
        <w:tc>
          <w:tcPr>
            <w:tcW w:w="3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Trade Date</w:t>
            </w:r>
          </w:p>
        </w:tc>
        <w:tc>
          <w:tcPr>
            <w:tcW w:w="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Settlement Date</w:t>
            </w:r>
          </w:p>
        </w:tc>
        <w:tc>
          <w:tcPr>
            <w:tcW w:w="3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(USD/EUR)</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thousands)</w:t>
            </w:r>
          </w:p>
        </w:tc>
        <w:tc>
          <w:tcPr>
            <w:tcW w:w="0" w:type="dxa"/>
            <w:vAlign w:val="bottom"/>
          </w:tcPr>
          <w:p>
            <w:pPr>
              <w:spacing w:after="0"/>
              <w:rPr>
                <w:sz w:val="1"/>
                <w:szCs w:val="1"/>
                <w:color w:val="auto"/>
              </w:rPr>
            </w:pPr>
          </w:p>
        </w:tc>
      </w:tr>
      <w:tr>
        <w:trPr>
          <w:trHeight w:val="237"/>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January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February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March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April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May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5"/>
              </w:rPr>
              <w:t>June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July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August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7"/>
              </w:rPr>
              <w:t>September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October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November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HSBC</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7"/>
              </w:rPr>
              <w:t>December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January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February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March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April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May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5"/>
              </w:rPr>
              <w:t>June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July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August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7"/>
              </w:rPr>
              <w:t>September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October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shd w:val="clear" w:color="auto" w:fill="E5FFFF"/>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November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2500" w:type="dxa"/>
            <w:vAlign w:val="bottom"/>
            <w:gridSpan w:val="4"/>
          </w:tcPr>
          <w:p>
            <w:pPr>
              <w:jc w:val="center"/>
              <w:ind w:left="61"/>
              <w:spacing w:after="0"/>
              <w:rPr>
                <w:sz w:val="20"/>
                <w:szCs w:val="20"/>
                <w:color w:val="auto"/>
              </w:rPr>
            </w:pPr>
            <w:r>
              <w:rPr>
                <w:rFonts w:ascii="Arial" w:cs="Arial" w:eastAsia="Arial" w:hAnsi="Arial"/>
                <w:sz w:val="16"/>
                <w:szCs w:val="16"/>
                <w:color w:val="auto"/>
                <w:w w:val="91"/>
              </w:rPr>
              <w:t>Nordea Bank AB, London Branch</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7"/>
              </w:rPr>
              <w:t>December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January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February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March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April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May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5"/>
              </w:rPr>
              <w:t>June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July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August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7"/>
              </w:rPr>
              <w:t>September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October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8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November 2017</w:t>
            </w:r>
          </w:p>
        </w:tc>
        <w:tc>
          <w:tcPr>
            <w:tcW w:w="16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shd w:val="clear" w:color="auto" w:fill="E5FFFF"/>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50"/>
        </w:trPr>
        <w:tc>
          <w:tcPr>
            <w:tcW w:w="18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900"/>
              <w:spacing w:after="0"/>
              <w:rPr>
                <w:sz w:val="20"/>
                <w:szCs w:val="20"/>
                <w:color w:val="auto"/>
              </w:rPr>
            </w:pPr>
            <w:r>
              <w:rPr>
                <w:rFonts w:ascii="Arial" w:cs="Arial" w:eastAsia="Arial" w:hAnsi="Arial"/>
                <w:sz w:val="16"/>
                <w:szCs w:val="16"/>
                <w:color w:val="auto"/>
                <w:w w:val="87"/>
              </w:rPr>
              <w:t>SEB</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87"/>
              </w:rPr>
              <w:t>December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7"/>
              </w:rPr>
              <w:t>December 2017</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1.0541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3"/>
        </w:trPr>
        <w:tc>
          <w:tcPr>
            <w:tcW w:w="13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60" w:type="dxa"/>
            <w:vAlign w:val="bottom"/>
            <w:tcBorders>
              <w:bottom w:val="single" w:sz="8" w:color="auto"/>
            </w:tcBorders>
            <w:shd w:val="clear" w:color="auto" w:fill="E5FFFF"/>
          </w:tcPr>
          <w:p>
            <w:pPr>
              <w:jc w:val="right"/>
              <w:ind w:right="61"/>
              <w:spacing w:after="0"/>
              <w:rPr>
                <w:sz w:val="20"/>
                <w:szCs w:val="20"/>
                <w:color w:val="auto"/>
              </w:rPr>
            </w:pPr>
            <w:r>
              <w:rPr>
                <w:rFonts w:ascii="Arial" w:cs="Arial" w:eastAsia="Arial" w:hAnsi="Arial"/>
                <w:sz w:val="16"/>
                <w:szCs w:val="16"/>
                <w:b w:val="1"/>
                <w:bCs w:val="1"/>
                <w:color w:val="auto"/>
              </w:rPr>
              <w:t>€43,200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vMerge w:val="restart"/>
          </w:tcPr>
          <w:p>
            <w:pPr>
              <w:ind w:left="480"/>
              <w:spacing w:after="0"/>
              <w:rPr>
                <w:sz w:val="20"/>
                <w:szCs w:val="20"/>
                <w:color w:val="auto"/>
              </w:rPr>
            </w:pPr>
            <w:r>
              <w:rPr>
                <w:rFonts w:ascii="Arial" w:cs="Arial" w:eastAsia="Arial" w:hAnsi="Arial"/>
                <w:sz w:val="19"/>
                <w:szCs w:val="19"/>
                <w:color w:val="auto"/>
              </w:rPr>
              <w:t>F-59</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93" w:name="page194"/>
    <w:bookmarkEnd w:id="193"/>
    <w:p>
      <w:pPr>
        <w:ind w:right="220" w:firstLine="357"/>
        <w:spacing w:after="0" w:line="289"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December 31, 2016. The change in the fair value of these contracts for the year ended December 31, 2016 amounted to a net gain of $82 (for the year ended December 31, 2015: $0, December 31, 2014: $0), which was recognized against profit or loss in the period incurred and is included in Loss on swaps.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An analysis of Loss on swaps is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99"/>
        </w:trPr>
        <w:tc>
          <w:tcPr>
            <w:tcW w:w="7360" w:type="dxa"/>
            <w:vAlign w:val="bottom"/>
          </w:tcPr>
          <w:p>
            <w:pPr>
              <w:spacing w:after="0"/>
              <w:rPr>
                <w:sz w:val="17"/>
                <w:szCs w:val="17"/>
                <w:color w:val="auto"/>
              </w:rPr>
            </w:pPr>
          </w:p>
        </w:tc>
        <w:tc>
          <w:tcPr>
            <w:tcW w:w="304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6"/>
                <w:szCs w:val="16"/>
                <w:b w:val="1"/>
                <w:bCs w:val="1"/>
                <w:color w:val="auto"/>
              </w:rPr>
              <w:t>For the year ended December 31,</w:t>
            </w:r>
          </w:p>
        </w:tc>
      </w:tr>
      <w:tr>
        <w:trPr>
          <w:trHeight w:val="169"/>
        </w:trPr>
        <w:tc>
          <w:tcPr>
            <w:tcW w:w="7360" w:type="dxa"/>
            <w:vAlign w:val="bottom"/>
          </w:tcPr>
          <w:p>
            <w:pPr>
              <w:spacing w:after="0"/>
              <w:rPr>
                <w:sz w:val="14"/>
                <w:szCs w:val="14"/>
                <w:color w:val="auto"/>
              </w:rPr>
            </w:pPr>
          </w:p>
        </w:tc>
        <w:tc>
          <w:tcPr>
            <w:tcW w:w="80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7360" w:type="dxa"/>
            <w:vAlign w:val="bottom"/>
            <w:shd w:val="clear" w:color="auto" w:fill="E5FFFF"/>
          </w:tcPr>
          <w:p>
            <w:pPr>
              <w:spacing w:after="0"/>
              <w:rPr>
                <w:sz w:val="20"/>
                <w:szCs w:val="20"/>
                <w:color w:val="auto"/>
              </w:rPr>
            </w:pPr>
            <w:r>
              <w:rPr>
                <w:rFonts w:ascii="Arial" w:cs="Arial" w:eastAsia="Arial" w:hAnsi="Arial"/>
                <w:sz w:val="19"/>
                <w:szCs w:val="19"/>
                <w:color w:val="auto"/>
              </w:rPr>
              <w:t>Unrealized (loss)/gain on interest rate swaps held for trading</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(7,873)</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(149)</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18,530</w:t>
            </w:r>
          </w:p>
        </w:tc>
      </w:tr>
      <w:tr>
        <w:trPr>
          <w:trHeight w:val="243"/>
        </w:trPr>
        <w:tc>
          <w:tcPr>
            <w:tcW w:w="7360" w:type="dxa"/>
            <w:vAlign w:val="bottom"/>
          </w:tcPr>
          <w:p>
            <w:pPr>
              <w:spacing w:after="0"/>
              <w:rPr>
                <w:sz w:val="20"/>
                <w:szCs w:val="20"/>
                <w:color w:val="auto"/>
              </w:rPr>
            </w:pPr>
            <w:r>
              <w:rPr>
                <w:rFonts w:ascii="Arial" w:cs="Arial" w:eastAsia="Arial" w:hAnsi="Arial"/>
                <w:sz w:val="19"/>
                <w:szCs w:val="19"/>
                <w:color w:val="auto"/>
              </w:rPr>
              <w:t>Realized loss on interest rate swaps held for trading</w:t>
            </w:r>
          </w:p>
        </w:tc>
        <w:tc>
          <w:tcPr>
            <w:tcW w:w="800" w:type="dxa"/>
            <w:vAlign w:val="bottom"/>
          </w:tcPr>
          <w:p>
            <w:pPr>
              <w:jc w:val="right"/>
              <w:spacing w:after="0"/>
              <w:rPr>
                <w:sz w:val="20"/>
                <w:szCs w:val="20"/>
                <w:color w:val="auto"/>
              </w:rPr>
            </w:pPr>
            <w:r>
              <w:rPr>
                <w:rFonts w:ascii="Arial" w:cs="Arial" w:eastAsia="Arial" w:hAnsi="Arial"/>
                <w:sz w:val="19"/>
                <w:szCs w:val="19"/>
                <w:color w:val="auto"/>
              </w:rPr>
              <w:t>(10,310)</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(8,904)</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(8,435)</w:t>
            </w:r>
          </w:p>
        </w:tc>
      </w:tr>
      <w:tr>
        <w:trPr>
          <w:trHeight w:val="243"/>
        </w:trPr>
        <w:tc>
          <w:tcPr>
            <w:tcW w:w="7360" w:type="dxa"/>
            <w:vAlign w:val="bottom"/>
            <w:shd w:val="clear" w:color="auto" w:fill="E5FFFF"/>
          </w:tcPr>
          <w:p>
            <w:pPr>
              <w:spacing w:after="0"/>
              <w:rPr>
                <w:sz w:val="20"/>
                <w:szCs w:val="20"/>
                <w:color w:val="auto"/>
              </w:rPr>
            </w:pPr>
            <w:r>
              <w:rPr>
                <w:rFonts w:ascii="Arial" w:cs="Arial" w:eastAsia="Arial" w:hAnsi="Arial"/>
                <w:sz w:val="19"/>
                <w:szCs w:val="19"/>
                <w:color w:val="auto"/>
              </w:rPr>
              <w:t>Recycled loss of cash flow hedges reclassified to profit or loss</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(6,641)</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(1,290)</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(23,514)</w:t>
            </w:r>
          </w:p>
        </w:tc>
      </w:tr>
      <w:tr>
        <w:trPr>
          <w:trHeight w:val="250"/>
        </w:trPr>
        <w:tc>
          <w:tcPr>
            <w:tcW w:w="7360" w:type="dxa"/>
            <w:vAlign w:val="bottom"/>
          </w:tcPr>
          <w:p>
            <w:pPr>
              <w:spacing w:after="0"/>
              <w:rPr>
                <w:sz w:val="20"/>
                <w:szCs w:val="20"/>
                <w:color w:val="auto"/>
              </w:rPr>
            </w:pPr>
            <w:r>
              <w:rPr>
                <w:rFonts w:ascii="Arial" w:cs="Arial" w:eastAsia="Arial" w:hAnsi="Arial"/>
                <w:sz w:val="19"/>
                <w:szCs w:val="19"/>
                <w:color w:val="auto"/>
              </w:rPr>
              <w:t>Ineffective portion of cash flow hedges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73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(24,787)</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(10,332)</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(13,419)</w:t>
            </w:r>
          </w:p>
        </w:tc>
      </w:tr>
      <w:tr>
        <w:trPr>
          <w:trHeight w:val="20"/>
        </w:trPr>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measurements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fair value of the Group’s financial assets and liabilities approximate to their carrying amounts at the reporting date.</w:t>
      </w:r>
    </w:p>
    <w:p>
      <w:pPr>
        <w:spacing w:after="0" w:line="106"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and cross currency swaps. The interest rate swaps, the forward foreign exchange contracts and the CCSs meet Level 2 classification, according to the fair value hierarchy as defined by IFRS 13 </w:t>
      </w:r>
      <w:r>
        <w:rPr>
          <w:rFonts w:ascii="Arial" w:cs="Arial" w:eastAsia="Arial" w:hAnsi="Arial"/>
          <w:sz w:val="19"/>
          <w:szCs w:val="19"/>
          <w:i w:val="1"/>
          <w:iCs w:val="1"/>
          <w:color w:val="auto"/>
        </w:rPr>
        <w:t>Fair Value Measurement.</w:t>
      </w:r>
      <w:r>
        <w:rPr>
          <w:rFonts w:ascii="Arial" w:cs="Arial" w:eastAsia="Arial" w:hAnsi="Arial"/>
          <w:sz w:val="19"/>
          <w:szCs w:val="19"/>
          <w:color w:val="auto"/>
        </w:rPr>
        <w:t xml:space="preserve"> There were no financial instruments in Levels 1 or 3 and no transfers between Levels 1, 2 or 3 during the periods presented. The definitions of the levels, provided by IFRS 13 are based on the degree to which the fair value is observable:</w:t>
      </w:r>
    </w:p>
    <w:p>
      <w:pPr>
        <w:spacing w:after="0" w:line="63" w:lineRule="exact"/>
        <w:rPr>
          <w:sz w:val="20"/>
          <w:szCs w:val="20"/>
          <w:color w:val="auto"/>
        </w:rPr>
      </w:pPr>
    </w:p>
    <w:p>
      <w:pPr>
        <w:ind w:left="540" w:hanging="168"/>
        <w:spacing w:after="0"/>
        <w:tabs>
          <w:tab w:leader="none" w:pos="54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Level 1 fair value measurements are those derived from quoted prices in active markets for identical assets or liabilities;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38" w:lineRule="exact"/>
        <w:rPr>
          <w:rFonts w:ascii="Arial" w:cs="Arial" w:eastAsia="Arial" w:hAnsi="Arial"/>
          <w:sz w:val="19"/>
          <w:szCs w:val="19"/>
          <w:color w:val="auto"/>
        </w:rPr>
      </w:pPr>
    </w:p>
    <w:p>
      <w:pPr>
        <w:ind w:left="540" w:right="100" w:hanging="168"/>
        <w:spacing w:after="0" w:line="283" w:lineRule="auto"/>
        <w:tabs>
          <w:tab w:leader="none" w:pos="54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Level 3 fair value measurements are those derived from valuation techniques that include inputs for the asset or liability that are not based on observable market data (unobservable inputs).</w:t>
      </w:r>
    </w:p>
    <w:p>
      <w:pPr>
        <w:spacing w:after="0" w:line="262" w:lineRule="exact"/>
        <w:rPr>
          <w:rFonts w:ascii="Arial" w:cs="Arial" w:eastAsia="Arial" w:hAnsi="Arial"/>
          <w:sz w:val="19"/>
          <w:szCs w:val="19"/>
          <w:color w:val="auto"/>
        </w:rPr>
      </w:pPr>
    </w:p>
    <w:p>
      <w:pPr>
        <w:ind w:left="300" w:hanging="292"/>
        <w:spacing w:after="0"/>
        <w:tabs>
          <w:tab w:leader="none" w:pos="30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Non-cash Items on Statements of Cash Flows</w:t>
      </w:r>
    </w:p>
    <w:p>
      <w:pPr>
        <w:spacing w:after="0" w:line="125"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As of December 31, 2016, there were capital expenditures for vessels and vessels under construction of $2,038 that were not paid during the year ended December 31, 2016 and were included in current liabilities (December 31, 2015: $12,576, December 31, 2014: $7,999).</w:t>
      </w:r>
    </w:p>
    <w:p>
      <w:pPr>
        <w:spacing w:after="0" w:line="7"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As of December 31, 2016, there were equity raising costs of $5 that were not paid during the year ended December 31, 2016 and were included in current liabilities (December 31, 2015: $59, December 31, 2014: $174).</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8" w:right="299" w:bottom="1440" w:gutter="0" w:footer="0" w:header="0"/>
        </w:sectPr>
      </w:pPr>
    </w:p>
    <w:bookmarkStart w:id="194" w:name="page195"/>
    <w:bookmarkEnd w:id="194"/>
    <w:p>
      <w:pPr>
        <w:ind w:left="360"/>
        <w:spacing w:after="0"/>
        <w:rPr>
          <w:sz w:val="20"/>
          <w:szCs w:val="20"/>
          <w:color w:val="auto"/>
        </w:rPr>
      </w:pPr>
      <w:r>
        <w:rPr>
          <w:rFonts w:ascii="Arial" w:cs="Arial" w:eastAsia="Arial" w:hAnsi="Arial"/>
          <w:sz w:val="18"/>
          <w:szCs w:val="18"/>
          <w:color w:val="auto"/>
        </w:rPr>
        <w:t>As of December 31, 2016, there were no loan issuance costs outstanding and included in current liabilities (December 31, 2015: $247,</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December 31, 2014: $903).</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2016, there were receivables from stock options exercise of $108 included in assets (December 31, 2015: $0, December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31, 2014: $0).</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27. Taxation</w:t>
      </w:r>
    </w:p>
    <w:p>
      <w:pPr>
        <w:spacing w:after="0" w:line="125"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54"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Group did not qualify for this exemption for the three years ended December 31, 2016; however, the effect on the results is insignificant.</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28. Earnings/(loss) per share (“EPS”)</w:t>
      </w:r>
    </w:p>
    <w:p>
      <w:pPr>
        <w:spacing w:after="0" w:line="125"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Basic earnings/(loss) per share was calculated by dividing the profit for the year attributable to the owners of the common shares by the weighted average number of common shares issued and outstanding during the year.</w:t>
      </w:r>
    </w:p>
    <w:p>
      <w:pPr>
        <w:spacing w:after="0" w:line="52" w:lineRule="exact"/>
        <w:rPr>
          <w:sz w:val="20"/>
          <w:szCs w:val="20"/>
          <w:color w:val="auto"/>
        </w:rPr>
      </w:pPr>
    </w:p>
    <w:p>
      <w:pPr>
        <w:ind w:right="260" w:firstLine="357"/>
        <w:spacing w:after="0" w:line="344" w:lineRule="auto"/>
        <w:rPr>
          <w:sz w:val="20"/>
          <w:szCs w:val="20"/>
          <w:color w:val="auto"/>
        </w:rPr>
      </w:pPr>
      <w:r>
        <w:rPr>
          <w:rFonts w:ascii="Arial" w:cs="Arial" w:eastAsia="Arial" w:hAnsi="Arial"/>
          <w:sz w:val="17"/>
          <w:szCs w:val="17"/>
          <w:color w:val="auto"/>
        </w:rPr>
        <w:t>Diluted EPS is calculated by dividing the profit for the year attributable to the owners of the Group by the weighted average number of all potential ordinary shares assumed to have been converted into common shares, unless such potential ordinary shares have an antidilutive effect.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reflects the earnings and share data used in the basic and diluted earnings per share computations: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960" w:type="dxa"/>
            <w:vAlign w:val="bottom"/>
            <w:tcBorders>
              <w:bottom w:val="single" w:sz="8" w:color="auto"/>
            </w:tcBorders>
            <w:gridSpan w:val="5"/>
          </w:tcPr>
          <w:p>
            <w:pPr>
              <w:jc w:val="right"/>
              <w:ind w:right="763"/>
              <w:spacing w:after="0"/>
              <w:rPr>
                <w:sz w:val="20"/>
                <w:szCs w:val="20"/>
                <w:color w:val="auto"/>
              </w:rPr>
            </w:pPr>
            <w:r>
              <w:rPr>
                <w:rFonts w:ascii="Arial" w:cs="Arial" w:eastAsia="Arial" w:hAnsi="Arial"/>
                <w:sz w:val="16"/>
                <w:szCs w:val="16"/>
                <w:b w:val="1"/>
                <w:bCs w:val="1"/>
                <w:color w:val="auto"/>
              </w:rPr>
              <w:t>For the year ended December 31,</w:t>
            </w:r>
          </w:p>
        </w:tc>
        <w:tc>
          <w:tcPr>
            <w:tcW w:w="520" w:type="dxa"/>
            <w:vAlign w:val="bottom"/>
          </w:tcPr>
          <w:p>
            <w:pPr>
              <w:spacing w:after="0"/>
              <w:rPr>
                <w:sz w:val="17"/>
                <w:szCs w:val="17"/>
                <w:color w:val="auto"/>
              </w:rPr>
            </w:pPr>
          </w:p>
        </w:tc>
      </w:tr>
      <w:tr>
        <w:trPr>
          <w:trHeight w:val="169"/>
        </w:trPr>
        <w:tc>
          <w:tcPr>
            <w:tcW w:w="5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tcPr>
          <w:p>
            <w:pPr>
              <w:jc w:val="right"/>
              <w:ind w:right="306"/>
              <w:spacing w:after="0" w:line="169" w:lineRule="exact"/>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jc w:val="right"/>
              <w:ind w:right="283"/>
              <w:spacing w:after="0" w:line="169" w:lineRule="exact"/>
              <w:rPr>
                <w:sz w:val="20"/>
                <w:szCs w:val="20"/>
                <w:color w:val="auto"/>
              </w:rPr>
            </w:pPr>
            <w:r>
              <w:rPr>
                <w:rFonts w:ascii="Arial" w:cs="Arial" w:eastAsia="Arial" w:hAnsi="Arial"/>
                <w:sz w:val="16"/>
                <w:szCs w:val="16"/>
                <w:b w:val="1"/>
                <w:bCs w:val="1"/>
                <w:color w:val="auto"/>
              </w:rPr>
              <w:t>2015</w:t>
            </w:r>
          </w:p>
        </w:tc>
        <w:tc>
          <w:tcPr>
            <w:tcW w:w="1460" w:type="dxa"/>
            <w:vAlign w:val="bottom"/>
            <w:gridSpan w:val="2"/>
          </w:tcPr>
          <w:p>
            <w:pPr>
              <w:jc w:val="right"/>
              <w:ind w:right="323"/>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r>
      <w:tr>
        <w:trPr>
          <w:trHeight w:val="223"/>
        </w:trPr>
        <w:tc>
          <w:tcPr>
            <w:tcW w:w="500" w:type="dxa"/>
            <w:vAlign w:val="bottom"/>
          </w:tcPr>
          <w:p>
            <w:pPr>
              <w:spacing w:after="0"/>
              <w:rPr>
                <w:sz w:val="19"/>
                <w:szCs w:val="19"/>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b w:val="1"/>
                <w:bCs w:val="1"/>
                <w:i w:val="1"/>
                <w:iCs w:val="1"/>
                <w:color w:val="auto"/>
              </w:rPr>
              <w:t>Basic earnings/(loss) per share</w:t>
            </w:r>
          </w:p>
        </w:tc>
        <w:tc>
          <w:tcPr>
            <w:tcW w:w="110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60" w:type="dxa"/>
            <w:vAlign w:val="bottom"/>
            <w:tcBorders>
              <w:top w:val="single" w:sz="8" w:color="auto"/>
            </w:tcBorders>
            <w:shd w:val="clear" w:color="auto" w:fill="E5FFFF"/>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9"/>
                <w:szCs w:val="19"/>
                <w:color w:val="auto"/>
              </w:rPr>
              <w:t>Profit/(loss) for the year attributable to owners of the Group</w:t>
            </w:r>
          </w:p>
        </w:tc>
        <w:tc>
          <w:tcPr>
            <w:tcW w:w="1100" w:type="dxa"/>
            <w:vAlign w:val="bottom"/>
          </w:tcPr>
          <w:p>
            <w:pPr>
              <w:jc w:val="right"/>
              <w:spacing w:after="0"/>
              <w:rPr>
                <w:sz w:val="20"/>
                <w:szCs w:val="20"/>
                <w:color w:val="auto"/>
              </w:rPr>
            </w:pPr>
            <w:r>
              <w:rPr>
                <w:rFonts w:ascii="Arial" w:cs="Arial" w:eastAsia="Arial" w:hAnsi="Arial"/>
                <w:sz w:val="19"/>
                <w:szCs w:val="19"/>
                <w:color w:val="auto"/>
              </w:rPr>
              <w:t>42,161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10,829</w:t>
            </w:r>
          </w:p>
        </w:tc>
        <w:tc>
          <w:tcPr>
            <w:tcW w:w="1460" w:type="dxa"/>
            <w:vAlign w:val="bottom"/>
            <w:gridSpan w:val="2"/>
          </w:tcPr>
          <w:p>
            <w:pPr>
              <w:jc w:val="right"/>
              <w:spacing w:after="0"/>
              <w:rPr>
                <w:sz w:val="20"/>
                <w:szCs w:val="20"/>
                <w:color w:val="auto"/>
              </w:rPr>
            </w:pPr>
            <w:r>
              <w:rPr>
                <w:rFonts w:ascii="Arial" w:cs="Arial" w:eastAsia="Arial" w:hAnsi="Arial"/>
                <w:sz w:val="19"/>
                <w:szCs w:val="19"/>
                <w:color w:val="auto"/>
              </w:rPr>
              <w:t>(21,486)</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Less: Dividends on preference shares</w:t>
            </w: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7,379</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(10,063)</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9"/>
                <w:szCs w:val="19"/>
                <w:color w:val="auto"/>
              </w:rPr>
              <w:t>Profit/(loss) for the year available to owners of the Group</w:t>
            </w:r>
          </w:p>
        </w:tc>
        <w:tc>
          <w:tcPr>
            <w:tcW w:w="1100" w:type="dxa"/>
            <w:vAlign w:val="bottom"/>
          </w:tcPr>
          <w:p>
            <w:pPr>
              <w:jc w:val="right"/>
              <w:spacing w:after="0"/>
              <w:rPr>
                <w:sz w:val="20"/>
                <w:szCs w:val="20"/>
                <w:color w:val="auto"/>
              </w:rPr>
            </w:pPr>
            <w:r>
              <w:rPr>
                <w:rFonts w:ascii="Arial" w:cs="Arial" w:eastAsia="Arial" w:hAnsi="Arial"/>
                <w:sz w:val="19"/>
                <w:szCs w:val="19"/>
                <w:color w:val="auto"/>
              </w:rPr>
              <w:t>42,161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3,450</w:t>
            </w:r>
          </w:p>
        </w:tc>
        <w:tc>
          <w:tcPr>
            <w:tcW w:w="1460" w:type="dxa"/>
            <w:vAlign w:val="bottom"/>
            <w:gridSpan w:val="2"/>
          </w:tcPr>
          <w:p>
            <w:pPr>
              <w:jc w:val="right"/>
              <w:spacing w:after="0"/>
              <w:rPr>
                <w:sz w:val="20"/>
                <w:szCs w:val="20"/>
                <w:color w:val="auto"/>
              </w:rPr>
            </w:pPr>
            <w:r>
              <w:rPr>
                <w:rFonts w:ascii="Arial" w:cs="Arial" w:eastAsia="Arial" w:hAnsi="Arial"/>
                <w:sz w:val="19"/>
                <w:szCs w:val="19"/>
                <w:color w:val="auto"/>
              </w:rPr>
              <w:t>(31,549)</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number of shares outstanding, basic</w:t>
            </w: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78,633,820</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80,496,314</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80,534,702</w:t>
            </w:r>
          </w:p>
        </w:tc>
        <w:tc>
          <w:tcPr>
            <w:tcW w:w="520" w:type="dxa"/>
            <w:vAlign w:val="bottom"/>
          </w:tcPr>
          <w:p>
            <w:pPr>
              <w:spacing w:after="0"/>
              <w:rPr>
                <w:sz w:val="21"/>
                <w:szCs w:val="21"/>
                <w:color w:val="auto"/>
              </w:rPr>
            </w:pPr>
          </w:p>
        </w:tc>
      </w:tr>
      <w:tr>
        <w:trPr>
          <w:trHeight w:val="257"/>
        </w:trPr>
        <w:tc>
          <w:tcPr>
            <w:tcW w:w="50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9"/>
                <w:szCs w:val="19"/>
                <w:b w:val="1"/>
                <w:bCs w:val="1"/>
                <w:color w:val="auto"/>
              </w:rPr>
              <w:t>Basic earnings/(loss) per share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0.54</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0.04</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(0.39)</w:t>
            </w:r>
          </w:p>
        </w:tc>
        <w:tc>
          <w:tcPr>
            <w:tcW w:w="520" w:type="dxa"/>
            <w:vAlign w:val="bottom"/>
          </w:tcPr>
          <w:p>
            <w:pPr>
              <w:spacing w:after="0"/>
              <w:rPr>
                <w:sz w:val="22"/>
                <w:szCs w:val="22"/>
                <w:color w:val="auto"/>
              </w:rPr>
            </w:pPr>
          </w:p>
        </w:tc>
      </w:tr>
      <w:tr>
        <w:trPr>
          <w:trHeight w:val="230"/>
        </w:trPr>
        <w:tc>
          <w:tcPr>
            <w:tcW w:w="500" w:type="dxa"/>
            <w:vAlign w:val="bottom"/>
          </w:tcPr>
          <w:p>
            <w:pPr>
              <w:spacing w:after="0"/>
              <w:rPr>
                <w:sz w:val="19"/>
                <w:szCs w:val="19"/>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b w:val="1"/>
                <w:bCs w:val="1"/>
                <w:i w:val="1"/>
                <w:iCs w:val="1"/>
                <w:color w:val="auto"/>
              </w:rPr>
              <w:t>Diluted earnings/(loss) per share</w:t>
            </w:r>
          </w:p>
        </w:tc>
        <w:tc>
          <w:tcPr>
            <w:tcW w:w="110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60" w:type="dxa"/>
            <w:vAlign w:val="bottom"/>
            <w:tcBorders>
              <w:top w:val="single" w:sz="8" w:color="auto"/>
            </w:tcBorders>
            <w:shd w:val="clear" w:color="auto" w:fill="E5FFFF"/>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6440" w:type="dxa"/>
            <w:vAlign w:val="bottom"/>
          </w:tcPr>
          <w:p>
            <w:pPr>
              <w:spacing w:after="0" w:line="216" w:lineRule="exact"/>
              <w:rPr>
                <w:sz w:val="20"/>
                <w:szCs w:val="20"/>
                <w:color w:val="auto"/>
              </w:rPr>
            </w:pPr>
            <w:r>
              <w:rPr>
                <w:rFonts w:ascii="Arial" w:cs="Arial" w:eastAsia="Arial" w:hAnsi="Arial"/>
                <w:sz w:val="19"/>
                <w:szCs w:val="19"/>
                <w:color w:val="auto"/>
              </w:rPr>
              <w:t>Profit/(loss) for the year available to owners of the Group used in the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6440" w:type="dxa"/>
            <w:vAlign w:val="bottom"/>
          </w:tcPr>
          <w:p>
            <w:pPr>
              <w:ind w:left="180"/>
              <w:spacing w:after="0"/>
              <w:rPr>
                <w:sz w:val="20"/>
                <w:szCs w:val="20"/>
                <w:color w:val="auto"/>
              </w:rPr>
            </w:pPr>
            <w:r>
              <w:rPr>
                <w:rFonts w:ascii="Arial" w:cs="Arial" w:eastAsia="Arial" w:hAnsi="Arial"/>
                <w:sz w:val="19"/>
                <w:szCs w:val="19"/>
                <w:color w:val="auto"/>
              </w:rPr>
              <w:t>calculation of diluted EPS</w:t>
            </w:r>
          </w:p>
        </w:tc>
        <w:tc>
          <w:tcPr>
            <w:tcW w:w="1100" w:type="dxa"/>
            <w:vAlign w:val="bottom"/>
          </w:tcPr>
          <w:p>
            <w:pPr>
              <w:jc w:val="right"/>
              <w:spacing w:after="0"/>
              <w:rPr>
                <w:sz w:val="20"/>
                <w:szCs w:val="20"/>
                <w:color w:val="auto"/>
              </w:rPr>
            </w:pPr>
            <w:r>
              <w:rPr>
                <w:rFonts w:ascii="Arial" w:cs="Arial" w:eastAsia="Arial" w:hAnsi="Arial"/>
                <w:sz w:val="19"/>
                <w:szCs w:val="19"/>
                <w:color w:val="auto"/>
              </w:rPr>
              <w:t>42,161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3,450</w:t>
            </w:r>
          </w:p>
        </w:tc>
        <w:tc>
          <w:tcPr>
            <w:tcW w:w="1460" w:type="dxa"/>
            <w:vAlign w:val="bottom"/>
            <w:gridSpan w:val="2"/>
          </w:tcPr>
          <w:p>
            <w:pPr>
              <w:jc w:val="right"/>
              <w:spacing w:after="0"/>
              <w:rPr>
                <w:sz w:val="20"/>
                <w:szCs w:val="20"/>
                <w:color w:val="auto"/>
              </w:rPr>
            </w:pPr>
            <w:r>
              <w:rPr>
                <w:rFonts w:ascii="Arial" w:cs="Arial" w:eastAsia="Arial" w:hAnsi="Arial"/>
                <w:sz w:val="19"/>
                <w:szCs w:val="19"/>
                <w:color w:val="auto"/>
              </w:rPr>
              <w:t>(31,549)</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number of shares outstanding, basic</w:t>
            </w: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78,633,820</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80,496,314</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80,534,702</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9"/>
                <w:szCs w:val="19"/>
                <w:color w:val="auto"/>
              </w:rPr>
              <w:t>Dilutive potential ordinary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166,372</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114,106</w:t>
            </w:r>
          </w:p>
        </w:tc>
        <w:tc>
          <w:tcPr>
            <w:tcW w:w="3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number of shares used in the calculation of diluted EPS</w:t>
            </w: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78,800,192</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80,610,420</w:t>
            </w:r>
          </w:p>
        </w:tc>
        <w:tc>
          <w:tcPr>
            <w:tcW w:w="30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80,534,702</w:t>
            </w: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9"/>
                <w:szCs w:val="19"/>
                <w:b w:val="1"/>
                <w:bCs w:val="1"/>
                <w:color w:val="auto"/>
              </w:rPr>
              <w:t>Diluted earnings/(loss) per share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0.54</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0.04</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(0.39)</w:t>
            </w:r>
          </w:p>
        </w:tc>
        <w:tc>
          <w:tcPr>
            <w:tcW w:w="520" w:type="dxa"/>
            <w:vAlign w:val="bottom"/>
          </w:tcPr>
          <w:p>
            <w:pPr>
              <w:spacing w:after="0"/>
              <w:rPr>
                <w:sz w:val="21"/>
                <w:szCs w:val="21"/>
                <w:color w:val="auto"/>
              </w:rPr>
            </w:pPr>
          </w:p>
        </w:tc>
      </w:tr>
      <w:tr>
        <w:trPr>
          <w:trHeight w:val="349"/>
        </w:trPr>
        <w:tc>
          <w:tcPr>
            <w:tcW w:w="500" w:type="dxa"/>
            <w:vAlign w:val="bottom"/>
          </w:tcPr>
          <w:p>
            <w:pPr>
              <w:spacing w:after="0"/>
              <w:rPr>
                <w:sz w:val="24"/>
                <w:szCs w:val="24"/>
                <w:color w:val="auto"/>
              </w:rPr>
            </w:pPr>
          </w:p>
        </w:tc>
        <w:tc>
          <w:tcPr>
            <w:tcW w:w="6440" w:type="dxa"/>
            <w:vAlign w:val="bottom"/>
          </w:tcPr>
          <w:p>
            <w:pPr>
              <w:ind w:left="5040"/>
              <w:spacing w:after="0"/>
              <w:rPr>
                <w:sz w:val="20"/>
                <w:szCs w:val="20"/>
                <w:color w:val="auto"/>
              </w:rPr>
            </w:pPr>
            <w:r>
              <w:rPr>
                <w:rFonts w:ascii="Arial" w:cs="Arial" w:eastAsia="Arial" w:hAnsi="Arial"/>
                <w:sz w:val="19"/>
                <w:szCs w:val="19"/>
                <w:color w:val="auto"/>
              </w:rPr>
              <w:t>F-61</w:t>
            </w: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0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95" w:name="page196"/>
    <w:bookmarkEnd w:id="195"/>
    <w:p>
      <w:pPr>
        <w:ind w:right="260" w:firstLine="357"/>
        <w:spacing w:after="0" w:line="344" w:lineRule="auto"/>
        <w:rPr>
          <w:sz w:val="20"/>
          <w:szCs w:val="20"/>
          <w:color w:val="auto"/>
        </w:rPr>
      </w:pPr>
      <w:r>
        <w:rPr>
          <w:rFonts w:ascii="Arial" w:cs="Arial" w:eastAsia="Arial" w:hAnsi="Arial"/>
          <w:sz w:val="17"/>
          <w:szCs w:val="17"/>
          <w:color w:val="auto"/>
        </w:rPr>
        <w:t>The Group excluded the effect of 1,713,702 SARs and 368,437 RSUs in calculating diluted EPS for the year ended December 31, 2016, as they were anti-dilutive (December 31, 2015: 576,014 SARs and 83,751 RSUs, December 31, 2014: 285,024 SARs and 74,877 RSUs).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29. Subsequent Events</w:t>
      </w:r>
    </w:p>
    <w:p>
      <w:pPr>
        <w:spacing w:after="0" w:line="125"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In January 2017, Simon Crowe, GasLog and GasLog Partners’ Chief Financial Officer (“CFO”) informed the board of directors of his intention to step down from the position of CFO in March 2017.</w:t>
      </w:r>
    </w:p>
    <w:p>
      <w:pPr>
        <w:spacing w:after="0" w:line="52"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On January 27, 2017, GasLog Partners completed an equity offering of 3,750,000 common units and issued 76,531 general partner units to its general partner (in order for GasLog to retain its 2.0% general partner interest in GasLog Partners) at a public offering price of $20.50 per unit, raising net proceeds of $75,488 (after excluding $1,569 from the sale of the general partner units to GasLog). The Partnership plans to use the net proceeds from the public offering for general partnership purposes, which may include future acquisitions, debt repayment, capital expenditures and additions to working capital. On February 24, 2017, GasLog Partners issued additional 120,000 common units and 2,449 general partner units in relation to the exercise of the underwriters’ overallotment option resulting to additional net proceeds of $2,435 (after excluding $50 from the sale of the general partner units to GasLog).</w:t>
      </w:r>
    </w:p>
    <w:p>
      <w:pPr>
        <w:spacing w:after="0" w:line="64"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On February 1, 2017, GasLog and GasLog Partners announced that, following Simon Crowe’s decision to step down from his position as CFO, the board of directors appointed Alastair Maxwell as CFO with effective date early March 2017.</w:t>
      </w:r>
    </w:p>
    <w:p>
      <w:pPr>
        <w:spacing w:after="0" w:line="52"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On February 9, 2017, GasLog acquired a 20% ownership interest in Gastrade, a private limited company licensed to develop an independent natural gas system offshore Alexandroupolis in Northern Greece utilizing a FSRU along with other fixed infrastructure.</w:t>
      </w:r>
    </w:p>
    <w:p>
      <w:pPr>
        <w:spacing w:after="0" w:line="52"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On February 16, 2017, the board of directors declared a quarterly cash dividend of $0.14 per common share payable on March 16, 2017 to shareholders of record as of March 6, 2017.</w:t>
      </w:r>
    </w:p>
    <w:p>
      <w:pPr>
        <w:spacing w:after="0" w:line="5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On February 24, 2017, GasLog entered into three new interest rate swap agreements with a notional value of $300,000 in aggregate, maturing in February and March 2022.</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8" w:right="27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8240" w:type="dxa"/>
            <w:vAlign w:val="bottom"/>
            <w:gridSpan w:val="2"/>
          </w:tcPr>
          <w:p>
            <w:pPr>
              <w:ind w:left="4300"/>
              <w:spacing w:after="0"/>
              <w:rPr>
                <w:sz w:val="20"/>
                <w:szCs w:val="20"/>
                <w:color w:val="auto"/>
              </w:rPr>
            </w:pPr>
            <w:r>
              <w:rPr>
                <w:rFonts w:ascii="Arial" w:cs="Arial" w:eastAsia="Arial" w:hAnsi="Arial"/>
                <w:sz w:val="18"/>
                <w:szCs w:val="18"/>
                <w:b w:val="1"/>
                <w:bCs w:val="1"/>
                <w:color w:val="auto"/>
              </w:rPr>
              <w:t>SUBSIDIARIES OF GASLOG LTD.</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The following companies are subsidiaries of GasLog Ltd.</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Proportion</w:t>
            </w:r>
          </w:p>
        </w:tc>
      </w:tr>
      <w:tr>
        <w:trPr>
          <w:trHeight w:val="216"/>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Jurisdiction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Incorporation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10"/>
        </w:trPr>
        <w:tc>
          <w:tcPr>
            <w:tcW w:w="79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 Investments Ltd.</w:t>
            </w:r>
          </w:p>
        </w:tc>
        <w:tc>
          <w:tcPr>
            <w:tcW w:w="34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rPr>
              <w:t>BVI</w:t>
            </w:r>
          </w:p>
        </w:tc>
        <w:tc>
          <w:tcPr>
            <w:tcW w:w="34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Monaco S.A.M.</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Monaco</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LNG Services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Carriers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Shipping Company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Shipping Limited.</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rPr>
              <w:t>BVI</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Services US Inc.</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Delaware, U.S.</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Services UK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England and Wales</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Asia Pte. Ltd.</w:t>
            </w:r>
          </w:p>
        </w:tc>
        <w:tc>
          <w:tcPr>
            <w:tcW w:w="2060" w:type="dxa"/>
            <w:vAlign w:val="bottom"/>
            <w:gridSpan w:val="2"/>
            <w:shd w:val="clear" w:color="auto" w:fill="E5FFFF"/>
          </w:tcPr>
          <w:p>
            <w:pPr>
              <w:jc w:val="center"/>
              <w:ind w:right="340"/>
              <w:spacing w:after="0"/>
              <w:rPr>
                <w:sz w:val="20"/>
                <w:szCs w:val="20"/>
                <w:color w:val="auto"/>
              </w:rPr>
            </w:pPr>
            <w:r>
              <w:rPr>
                <w:rFonts w:ascii="Arial" w:cs="Arial" w:eastAsia="Arial" w:hAnsi="Arial"/>
                <w:sz w:val="18"/>
                <w:szCs w:val="18"/>
                <w:color w:val="auto"/>
                <w:w w:val="87"/>
              </w:rPr>
              <w:t>Singapore</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Cyprus Investments Ltd</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Cyprus</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GAS-one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GAS-six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GAS-nine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GAS-eleven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GAS-twelve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GAS-thirteen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GAS-fifteen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GAS-eighteen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two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GAS-twenty three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four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GAS-twenty five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six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GAS-twenty seven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eight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GAS-twenty nine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Partners GP LLC</w:t>
            </w:r>
          </w:p>
        </w:tc>
        <w:tc>
          <w:tcPr>
            <w:tcW w:w="2060" w:type="dxa"/>
            <w:vAlign w:val="bottom"/>
            <w:gridSpan w:val="2"/>
            <w:shd w:val="clear" w:color="auto" w:fill="E5FFFF"/>
          </w:tcPr>
          <w:p>
            <w:pPr>
              <w:jc w:val="center"/>
              <w:ind w:right="340"/>
              <w:spacing w:after="0"/>
              <w:rPr>
                <w:sz w:val="20"/>
                <w:szCs w:val="20"/>
                <w:color w:val="auto"/>
              </w:rPr>
            </w:pPr>
            <w:r>
              <w:rPr>
                <w:rFonts w:ascii="Arial" w:cs="Arial" w:eastAsia="Arial" w:hAnsi="Arial"/>
                <w:sz w:val="18"/>
                <w:szCs w:val="18"/>
                <w:color w:val="auto"/>
                <w:w w:val="92"/>
              </w:rPr>
              <w:t>Marshall Islands</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100%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GasLog Partners LP</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Marshall Islands</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Partners Holdings LLC</w:t>
            </w:r>
          </w:p>
        </w:tc>
        <w:tc>
          <w:tcPr>
            <w:tcW w:w="2060" w:type="dxa"/>
            <w:vAlign w:val="bottom"/>
            <w:gridSpan w:val="2"/>
            <w:shd w:val="clear" w:color="auto" w:fill="E5FFFF"/>
          </w:tcPr>
          <w:p>
            <w:pPr>
              <w:jc w:val="center"/>
              <w:ind w:right="340"/>
              <w:spacing w:after="0"/>
              <w:rPr>
                <w:sz w:val="20"/>
                <w:szCs w:val="20"/>
                <w:color w:val="auto"/>
              </w:rPr>
            </w:pPr>
            <w:r>
              <w:rPr>
                <w:rFonts w:ascii="Arial" w:cs="Arial" w:eastAsia="Arial" w:hAnsi="Arial"/>
                <w:sz w:val="18"/>
                <w:szCs w:val="18"/>
                <w:color w:val="auto"/>
                <w:w w:val="92"/>
              </w:rPr>
              <w:t>Marshall Islands</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GAS-four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GAS-seven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GAS-seventeen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16"/>
        </w:trPr>
        <w:tc>
          <w:tcPr>
            <w:tcW w:w="8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Ltd.</w:t>
            </w:r>
          </w:p>
        </w:tc>
        <w:tc>
          <w:tcPr>
            <w:tcW w:w="20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rPr>
              <w:t>27.57%</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Bermuda</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27.57%</w:t>
            </w:r>
          </w:p>
        </w:tc>
      </w:tr>
      <w:tr>
        <w:trPr>
          <w:trHeight w:val="263"/>
        </w:trPr>
        <w:tc>
          <w:tcPr>
            <w:tcW w:w="790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172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11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29"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840" w:right="360" w:hanging="319"/>
        <w:spacing w:after="0" w:line="264" w:lineRule="auto"/>
        <w:tabs>
          <w:tab w:leader="none" w:pos="8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40" w:right="60" w:hanging="319"/>
        <w:spacing w:after="0" w:line="264" w:lineRule="auto"/>
        <w:tabs>
          <w:tab w:leader="none" w:pos="8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40" w:right="840" w:hanging="319"/>
        <w:spacing w:after="0" w:line="342" w:lineRule="auto"/>
        <w:tabs>
          <w:tab w:leader="none" w:pos="8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40" w:right="100" w:hanging="319"/>
        <w:spacing w:after="0" w:line="342" w:lineRule="auto"/>
        <w:tabs>
          <w:tab w:leader="none" w:pos="8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840" w:right="260" w:hanging="319"/>
        <w:spacing w:after="0" w:line="277" w:lineRule="auto"/>
        <w:tabs>
          <w:tab w:leader="none" w:pos="8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840" w:right="200" w:hanging="319"/>
        <w:spacing w:after="0" w:line="277" w:lineRule="auto"/>
        <w:tabs>
          <w:tab w:leader="none" w:pos="8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March 1, 2017</w:t>
      </w:r>
    </w:p>
    <w:p>
      <w:pPr>
        <w:spacing w:after="0" w:line="2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By:</w:t>
        <w:tab/>
        <w:t>/s/ Paul A. Wogan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2466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Simon Crowe, certify that:</w:t>
      </w:r>
    </w:p>
    <w:p>
      <w:pPr>
        <w:spacing w:after="0" w:line="229"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840" w:right="360" w:hanging="319"/>
        <w:spacing w:after="0" w:line="264" w:lineRule="auto"/>
        <w:tabs>
          <w:tab w:leader="none" w:pos="8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40" w:right="60" w:hanging="319"/>
        <w:spacing w:after="0" w:line="264" w:lineRule="auto"/>
        <w:tabs>
          <w:tab w:leader="none" w:pos="8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40" w:right="840" w:hanging="319"/>
        <w:spacing w:after="0" w:line="342" w:lineRule="auto"/>
        <w:tabs>
          <w:tab w:leader="none" w:pos="8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40" w:right="100" w:hanging="319"/>
        <w:spacing w:after="0" w:line="342" w:lineRule="auto"/>
        <w:tabs>
          <w:tab w:leader="none" w:pos="8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840" w:right="260" w:hanging="319"/>
        <w:spacing w:after="0" w:line="277" w:lineRule="auto"/>
        <w:tabs>
          <w:tab w:leader="none" w:pos="8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840" w:right="200" w:hanging="319"/>
        <w:spacing w:after="0" w:line="277" w:lineRule="auto"/>
        <w:tabs>
          <w:tab w:leader="none" w:pos="8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Dated: March 1, 2017</w:t>
      </w:r>
    </w:p>
    <w:p>
      <w:pPr>
        <w:spacing w:after="0" w:line="23"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18"/>
          <w:szCs w:val="18"/>
          <w:color w:val="auto"/>
        </w:rPr>
        <w:t>By:</w:t>
        <w:tab/>
        <w:t>/s/ Simon Crowe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Simon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21012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ind w:right="100" w:firstLine="357"/>
        <w:spacing w:after="0" w:line="264" w:lineRule="auto"/>
        <w:rPr>
          <w:sz w:val="20"/>
          <w:szCs w:val="20"/>
          <w:color w:val="auto"/>
        </w:rPr>
      </w:pPr>
      <w:r>
        <w:rPr>
          <w:rFonts w:ascii="Arial" w:cs="Arial" w:eastAsia="Arial" w:hAnsi="Arial"/>
          <w:sz w:val="18"/>
          <w:szCs w:val="18"/>
          <w:color w:val="auto"/>
        </w:rPr>
        <w:t>In connection with the annual report on Form 20-F of GasLog Ltd., a Bermuda exempted company (the “Company”), for the period ending December 31, 2016, as filed with the Securities and Exchange Commission on the date hereof (the “Report”), the undersigned officer of the Company certifies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March 1, 2017</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18783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0" w:name="page201"/>
    <w:bookmarkEnd w:id="200"/>
    <w:p>
      <w:pPr>
        <w:ind w:left="1028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In connection with the annual report on Form 20-F of GasLog Ltd., a Bermuda exempted company (the “Company”), for the period ending December 31, 2016, as filed with the Securities and Exchange Commission on the date hereof (the “Report”), the undersigned officer of the Company certifies pursuant to 18 U.S.C. Section 1350, as adopted pursuant to Section 906 of the Sarbanes-Oxley Act of 2002, that:</w:t>
      </w:r>
    </w:p>
    <w:p>
      <w:pPr>
        <w:spacing w:after="0" w:line="181" w:lineRule="exact"/>
        <w:rPr>
          <w:sz w:val="20"/>
          <w:szCs w:val="20"/>
          <w:color w:val="auto"/>
        </w:rPr>
      </w:pPr>
    </w:p>
    <w:p>
      <w:pPr>
        <w:ind w:left="680" w:hanging="321"/>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March 1, 2017</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Simon Crowe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Simon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18783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23.2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consent to the incorporation by reference in Registration Statements No. 333-210169 and 333-194894 on Form F-3 and No. 333-187020 on Form S-8, of our reports dated March 1, 2017, relating to the consolidated financial statements of GasLog Ltd., and the effectiveness of GasLog Ltd.’s internal control over financial reporting, appearing in this Annual Report on Form 20-F of GasLog Ltd.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o"/>
      <w:numFmt w:val="bullet"/>
      <w:start w:val="1"/>
    </w:lvl>
  </w:abstractNum>
  <w:abstractNum w:abstractNumId="1">
    <w:nsid w:val="310C50B3"/>
    <w:multiLevelType w:val="hybridMultilevel"/>
    <w:lvl w:ilvl="0">
      <w:lvlJc w:val="left"/>
      <w:lvlText w:val="x"/>
      <w:numFmt w:val="bullet"/>
      <w:start w:val="1"/>
    </w:lvl>
  </w:abstractNum>
  <w:abstractNum w:abstractNumId="2">
    <w:nsid w:val="5FF87E05"/>
    <w:multiLevelType w:val="hybridMultilevel"/>
    <w:lvl w:ilvl="0">
      <w:lvlJc w:val="left"/>
      <w:lvlText w:val="o"/>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1)"/>
      <w:numFmt w:val="decimal"/>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1)"/>
      <w:numFmt w:val="decimal"/>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lowerRoman"/>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decimal"/>
      <w:start w:val="1"/>
    </w:lvl>
    <w:lvl w:ilvl="1">
      <w:lvlJc w:val="left"/>
      <w:lvlText w:val="(%2)"/>
      <w:numFmt w:val="lowerLetter"/>
      <w:start w:val="3"/>
    </w:lvl>
  </w:abstractNum>
  <w:abstractNum w:abstractNumId="63">
    <w:nsid w:val="7F01579B"/>
    <w:multiLevelType w:val="hybridMultilevel"/>
    <w:lvl w:ilvl="0">
      <w:lvlJc w:val="left"/>
      <w:lvlText w:val="%1"/>
      <w:numFmt w:val="decimal"/>
      <w:start w:val="1"/>
    </w:lvl>
    <w:lvl w:ilvl="1">
      <w:lvlJc w:val="left"/>
      <w:lvlText w:val="(%2)."/>
      <w:numFmt w:val="lowerLetter"/>
      <w:start w:val="4"/>
    </w:lvl>
  </w:abstractNum>
  <w:abstractNum w:abstractNumId="64">
    <w:nsid w:val="49DA307D"/>
    <w:multiLevelType w:val="hybridMultilevel"/>
    <w:lvl w:ilvl="0">
      <w:lvlJc w:val="left"/>
      <w:lvlText w:val="(%1)"/>
      <w:numFmt w:val="decimal"/>
      <w:start w:val="2"/>
    </w:lvl>
    <w:lvl w:ilvl="1">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9">
    <w:nsid w:val="5FB8011C"/>
    <w:multiLevelType w:val="hybridMultilevel"/>
    <w:lvl w:ilvl="0">
      <w:lvlJc w:val="left"/>
      <w:lvlText w:val="(%1)"/>
      <w:numFmt w:val="decimal"/>
      <w:start w:val="1"/>
    </w:lvl>
    <w:lvl w:ilvl="1">
      <w:lvlJc w:val="left"/>
      <w:lvlText w:val="(%2)"/>
      <w:numFmt w:val="lowerLetter"/>
      <w:start w:val="1"/>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upperLetter"/>
      <w:start w:val="1"/>
    </w:lvl>
    <w:lvl w:ilvl="1">
      <w:lvlJc w:val="left"/>
      <w:lvlText w:val="(%2)"/>
      <w:numFmt w:val="lowerLetter"/>
      <w:start w:val="11"/>
    </w:lvl>
  </w:abstractNum>
  <w:abstractNum w:abstractNumId="76">
    <w:nsid w:val="73A1821B"/>
    <w:multiLevelType w:val="hybridMultilevel"/>
    <w:lvl w:ilvl="0">
      <w:lvlJc w:val="left"/>
      <w:lvlText w:val="%1."/>
      <w:numFmt w:val="upperLetter"/>
      <w:start w:val="4"/>
    </w:lvl>
    <w:lvl w:ilvl="1">
      <w:lvlJc w:val="left"/>
      <w:lvlText w:val="%2"/>
      <w:numFmt w:val="lowerLetter"/>
      <w:start w:val="1"/>
    </w:lvl>
  </w:abstractNum>
  <w:abstractNum w:abstractNumId="77">
    <w:nsid w:val="7DE67713"/>
    <w:multiLevelType w:val="hybridMultilevel"/>
    <w:lvl w:ilvl="0">
      <w:lvlJc w:val="left"/>
      <w:lvlText w:val="(%1)"/>
      <w:numFmt w:val="lowerRoman"/>
      <w:start w:val="1"/>
    </w:lvl>
  </w:abstractNum>
  <w:abstractNum w:abstractNumId="78">
    <w:nsid w:val="555C55B5"/>
    <w:multiLevelType w:val="hybridMultilevel"/>
    <w:lvl w:ilvl="0">
      <w:lvlJc w:val="left"/>
      <w:lvlText w:val="(%1)"/>
      <w:numFmt w:val="lowerRoman"/>
      <w:start w:val="1"/>
    </w:lvl>
    <w:lvl w:ilvl="1">
      <w:lvlJc w:val="left"/>
      <w:lvlText w:val="(%2)"/>
      <w:numFmt w:val="lowerLetter"/>
      <w:start w:val="1"/>
    </w:lvl>
  </w:abstractNum>
  <w:abstractNum w:abstractNumId="79">
    <w:nsid w:val="3FA62ACA"/>
    <w:multiLevelType w:val="hybridMultilevel"/>
    <w:lvl w:ilvl="0">
      <w:lvlJc w:val="left"/>
      <w:lvlText w:val="(%1)"/>
      <w:numFmt w:val="lowerRoman"/>
      <w:start w:val="1"/>
    </w:lvl>
  </w:abstractNum>
  <w:abstractNum w:abstractNumId="80">
    <w:nsid w:val="14FCE74E"/>
    <w:multiLevelType w:val="hybridMultilevel"/>
    <w:lvl w:ilvl="0">
      <w:lvlJc w:val="left"/>
      <w:lvlText w:val="(%1)"/>
      <w:numFmt w:val="lowerRoman"/>
      <w:start w:val="1"/>
    </w:lvl>
  </w:abstractNum>
  <w:abstractNum w:abstractNumId="81">
    <w:nsid w:val="6A3DD3E8"/>
    <w:multiLevelType w:val="hybridMultilevel"/>
    <w:lvl w:ilvl="0">
      <w:lvlJc w:val="left"/>
      <w:lvlText w:val="(%1)"/>
      <w:numFmt w:val="lowerRoman"/>
      <w:start w:val="4"/>
    </w:lvl>
  </w:abstractNum>
  <w:abstractNum w:abstractNumId="82">
    <w:nsid w:val="71C91298"/>
    <w:multiLevelType w:val="hybridMultilevel"/>
    <w:lvl w:ilvl="0">
      <w:lvlJc w:val="left"/>
      <w:lvlText w:val="(%1)"/>
      <w:numFmt w:val="lowerRoman"/>
      <w:start w:val="1"/>
    </w:lvl>
  </w:abstractNum>
  <w:abstractNum w:abstractNumId="83">
    <w:nsid w:val="9DAF632"/>
    <w:multiLevelType w:val="hybridMultilevel"/>
    <w:lvl w:ilvl="0">
      <w:lvlJc w:val="left"/>
      <w:lvlText w:val="(%1)"/>
      <w:numFmt w:val="lowerRoman"/>
      <w:start w:val="1"/>
    </w:lvl>
  </w:abstractNum>
  <w:abstractNum w:abstractNumId="84">
    <w:nsid w:val="53299938"/>
    <w:multiLevelType w:val="hybridMultilevel"/>
    <w:lvl w:ilvl="0">
      <w:lvlJc w:val="left"/>
      <w:lvlText w:val="(%1)"/>
      <w:numFmt w:val="lowerRoman"/>
      <w:start w:val="1"/>
    </w:lvl>
  </w:abstractNum>
  <w:abstractNum w:abstractNumId="85">
    <w:nsid w:val="1FBFE8E0"/>
    <w:multiLevelType w:val="hybridMultilevel"/>
    <w:lvl w:ilvl="0">
      <w:lvlJc w:val="left"/>
      <w:lvlText w:val="(%1)"/>
      <w:numFmt w:val="lowerRoman"/>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decimal"/>
      <w:start w:val="1"/>
    </w:lvl>
    <w:lvl w:ilvl="1">
      <w:lvlJc w:val="left"/>
      <w:lvlText w:val="*"/>
      <w:numFmt w:val="bullet"/>
      <w:start w:val="1"/>
    </w:lvl>
  </w:abstractNum>
  <w:abstractNum w:abstractNumId="88">
    <w:nsid w:val="59ADEA3D"/>
    <w:multiLevelType w:val="hybridMultilevel"/>
    <w:lvl w:ilvl="0">
      <w:lvlJc w:val="left"/>
      <w:lvlText w:val="(%1)"/>
      <w:numFmt w:val="lowerRoman"/>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1)"/>
      <w:numFmt w:val="lowerLetter"/>
      <w:start w:val="2"/>
    </w:lvl>
  </w:abstractNum>
  <w:abstractNum w:abstractNumId="98">
    <w:nsid w:val="23D86AAC"/>
    <w:multiLevelType w:val="hybridMultilevel"/>
    <w:lvl w:ilvl="0">
      <w:lvlJc w:val="left"/>
      <w:lvlText w:val="(%1)"/>
      <w:numFmt w:val="lowerRoman"/>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lowerLetter"/>
      <w:start w:val="2"/>
    </w:lvl>
  </w:abstractNum>
  <w:abstractNum w:abstractNumId="102">
    <w:nsid w:val="3C5991AA"/>
    <w:multiLevelType w:val="hybridMultilevel"/>
    <w:lvl w:ilvl="0">
      <w:lvlJc w:val="left"/>
      <w:lvlText w:val="(%1)"/>
      <w:numFmt w:val="lowerLetter"/>
      <w:start w:val="5"/>
    </w:lvl>
  </w:abstractNum>
  <w:abstractNum w:abstractNumId="103">
    <w:nsid w:val="4BD8591A"/>
    <w:multiLevelType w:val="hybridMultilevel"/>
    <w:lvl w:ilvl="0">
      <w:lvlJc w:val="left"/>
      <w:lvlText w:val="(%1)"/>
      <w:numFmt w:val="lowerLetter"/>
      <w:start w:val="8"/>
    </w:lvl>
  </w:abstractNum>
  <w:abstractNum w:abstractNumId="104">
    <w:nsid w:val="78DF6A55"/>
    <w:multiLevelType w:val="hybridMultilevel"/>
    <w:lvl w:ilvl="0">
      <w:lvlJc w:val="left"/>
      <w:lvlText w:val="(%1)"/>
      <w:numFmt w:val="lowerRoman"/>
      <w:start w:val="1"/>
    </w:lvl>
  </w:abstractNum>
  <w:abstractNum w:abstractNumId="105">
    <w:nsid w:val="39B7AAA2"/>
    <w:multiLevelType w:val="hybridMultilevel"/>
    <w:lvl w:ilvl="0">
      <w:lvlJc w:val="left"/>
      <w:lvlText w:val="(%1)"/>
      <w:numFmt w:val="lowerLetter"/>
      <w:start w:val="10"/>
    </w:lvl>
  </w:abstractNum>
  <w:abstractNum w:abstractNumId="106">
    <w:nsid w:val="2B0D8DBE"/>
    <w:multiLevelType w:val="hybridMultilevel"/>
    <w:lvl w:ilvl="0">
      <w:lvlJc w:val="left"/>
      <w:lvlText w:val="(%1)"/>
      <w:numFmt w:val="lowerLetter"/>
      <w:start w:val="11"/>
    </w:lvl>
  </w:abstractNum>
  <w:abstractNum w:abstractNumId="107">
    <w:nsid w:val="6C80EC70"/>
    <w:multiLevelType w:val="hybridMultilevel"/>
    <w:lvl w:ilvl="0">
      <w:lvlJc w:val="left"/>
      <w:lvlText w:val="(%1)"/>
      <w:numFmt w:val="lowerLetter"/>
      <w:start w:val="12"/>
    </w:lvl>
  </w:abstractNum>
  <w:abstractNum w:abstractNumId="108">
    <w:nsid w:val="379E21B5"/>
    <w:multiLevelType w:val="hybridMultilevel"/>
    <w:lvl w:ilvl="0">
      <w:lvlJc w:val="left"/>
      <w:lvlText w:val="(%1)"/>
      <w:numFmt w:val="lowerRoman"/>
      <w:start w:val="1"/>
    </w:lvl>
  </w:abstractNum>
  <w:abstractNum w:abstractNumId="109">
    <w:nsid w:val="69E373"/>
    <w:multiLevelType w:val="hybridMultilevel"/>
    <w:lvl w:ilvl="0">
      <w:lvlJc w:val="left"/>
      <w:lvlText w:val="(%1)"/>
      <w:numFmt w:val="lowerRoman"/>
      <w:start w:val="1"/>
    </w:lvl>
  </w:abstractNum>
  <w:abstractNum w:abstractNumId="110">
    <w:nsid w:val="2C27173B"/>
    <w:multiLevelType w:val="hybridMultilevel"/>
    <w:lvl w:ilvl="0">
      <w:lvlJc w:val="left"/>
      <w:lvlText w:val="(%1)"/>
      <w:numFmt w:val="lowerLetter"/>
      <w:start w:val="1"/>
    </w:lvl>
  </w:abstractNum>
  <w:abstractNum w:abstractNumId="111">
    <w:nsid w:val="4C9B0904"/>
    <w:multiLevelType w:val="hybridMultilevel"/>
    <w:lvl w:ilvl="0">
      <w:lvlJc w:val="left"/>
      <w:lvlText w:val="(%1)"/>
      <w:numFmt w:val="lowerLetter"/>
      <w:start w:val="2"/>
    </w:lvl>
  </w:abstractNum>
  <w:abstractNum w:abstractNumId="112">
    <w:nsid w:val="6AA7B75C"/>
    <w:multiLevelType w:val="hybridMultilevel"/>
    <w:lvl w:ilvl="0">
      <w:lvlJc w:val="left"/>
      <w:lvlText w:val="%1."/>
      <w:numFmt w:val="decimal"/>
      <w:start w:val="22"/>
    </w:lvl>
    <w:lvl w:ilvl="1">
      <w:lvlJc w:val="left"/>
      <w:lvlText w:val="(%2)"/>
      <w:numFmt w:val="lowerLetter"/>
      <w:start w:val="1"/>
    </w:lvl>
  </w:abstractNum>
  <w:abstractNum w:abstractNumId="113">
    <w:nsid w:val="1DF029D3"/>
    <w:multiLevelType w:val="hybridMultilevel"/>
    <w:lvl w:ilvl="0">
      <w:lvlJc w:val="left"/>
      <w:lvlText w:val="(%1)"/>
      <w:numFmt w:val="lowerLetter"/>
      <w:start w:val="2"/>
    </w:lvl>
  </w:abstractNum>
  <w:abstractNum w:abstractNumId="114">
    <w:nsid w:val="5675FF36"/>
    <w:multiLevelType w:val="hybridMultilevel"/>
    <w:lvl w:ilvl="0">
      <w:lvlJc w:val="left"/>
      <w:lvlText w:val="(%1)"/>
      <w:numFmt w:val="lowerLetter"/>
      <w:start w:val="3"/>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lowerLetter"/>
      <w:start w:val="4"/>
    </w:lvl>
  </w:abstractNum>
  <w:abstractNum w:abstractNumId="117">
    <w:nsid w:val="2708C9AF"/>
    <w:multiLevelType w:val="hybridMultilevel"/>
    <w:lvl w:ilvl="0">
      <w:lvlJc w:val="left"/>
      <w:lvlText w:val="%1."/>
      <w:numFmt w:val="decimal"/>
      <w:start w:val="22"/>
    </w:lvl>
    <w:lvl w:ilvl="1">
      <w:lvlJc w:val="left"/>
      <w:lvlText w:val="•"/>
      <w:numFmt w:val="bullet"/>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1)"/>
      <w:numFmt w:val="decimal"/>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25"/>
    </w:lvl>
    <w:lvl w:ilvl="1">
      <w:lvlJc w:val="left"/>
      <w:lvlText w:val="•"/>
      <w:numFmt w:val="bullet"/>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2019-12-07T16:40:17Z</dcterms:created>
  <dcterms:modified xsi:type="dcterms:W3CDTF">2019-12-07T16:40:17Z</dcterms:modified>
</cp:coreProperties>
</file>